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3)*</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Ordinary Shares, NIS 15.00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28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(Page 1 of 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20"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Ordinary Shares do not have a CUSIP number. The CINS number for the Ordinary Shares is M87915274.</w:t>
      </w:r>
    </w:p>
    <w:p>
      <w:pPr>
        <w:spacing w:after="0" w:line="18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420"/>
          </w:cols>
          <w:pgMar w:left="240" w:top="460" w:right="239" w:bottom="1440" w:gutter="0" w:footer="0" w:header="0"/>
        </w:sectPr>
      </w:pPr>
    </w:p>
    <w:bookmarkStart w:id="1" w:name="page2"/>
    <w:bookmarkEnd w:id="1"/>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ind w:left="1960" w:hanging="1099"/>
        <w:spacing w:after="0" w:line="226" w:lineRule="auto"/>
        <w:tabs>
          <w:tab w:leader="none" w:pos="196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4802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80" w:type="dxa"/>
            <w:vAlign w:val="bottom"/>
          </w:tcPr>
          <w:p>
            <w:pPr>
              <w:spacing w:after="0"/>
              <w:rPr>
                <w:sz w:val="21"/>
                <w:szCs w:val="21"/>
                <w:color w:val="auto"/>
              </w:rPr>
            </w:pPr>
          </w:p>
        </w:tc>
        <w:tc>
          <w:tcPr>
            <w:tcW w:w="6820" w:type="dxa"/>
            <w:vAlign w:val="bottom"/>
          </w:tcPr>
          <w:p>
            <w:pPr>
              <w:ind w:left="820"/>
              <w:spacing w:after="0"/>
              <w:rPr>
                <w:sz w:val="20"/>
                <w:szCs w:val="20"/>
                <w:color w:val="auto"/>
              </w:rPr>
            </w:pPr>
            <w:r>
              <w:rPr>
                <w:rFonts w:ascii="Arial" w:cs="Arial" w:eastAsia="Arial" w:hAnsi="Arial"/>
                <w:sz w:val="20"/>
                <w:szCs w:val="20"/>
                <w:color w:val="auto"/>
              </w:rPr>
              <w:t>Senvest Management, LLC</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6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4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64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44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64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644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20"/>
                <w:szCs w:val="20"/>
                <w:color w:val="auto"/>
                <w:w w:val="97"/>
              </w:rPr>
              <w:t>4,173,056 (including 50,000 shares of Common Stock issuable upon exercise of options)</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64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644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4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644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4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4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20"/>
                <w:szCs w:val="20"/>
                <w:color w:val="auto"/>
                <w:w w:val="97"/>
              </w:rPr>
              <w:t>4,173,056 (including 50,000 shares of Common Stock issuable upon exercise of options)</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960" w:type="dxa"/>
            <w:vAlign w:val="bottom"/>
            <w:gridSpan w:val="2"/>
            <w:vMerge w:val="restart"/>
          </w:tcPr>
          <w:p>
            <w:pPr>
              <w:ind w:left="460"/>
              <w:spacing w:after="0"/>
              <w:rPr>
                <w:sz w:val="20"/>
                <w:szCs w:val="20"/>
                <w:color w:val="auto"/>
              </w:rPr>
            </w:pPr>
            <w:r>
              <w:rPr>
                <w:rFonts w:ascii="Arial" w:cs="Arial" w:eastAsia="Arial" w:hAnsi="Arial"/>
                <w:sz w:val="20"/>
                <w:szCs w:val="20"/>
                <w:color w:val="auto"/>
                <w:w w:val="95"/>
              </w:rPr>
              <w:t>4,173,056 (including 50,000 shares of Common Stock issuable upon exercise of options)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96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9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620" w:type="dxa"/>
            <w:vAlign w:val="bottom"/>
          </w:tcPr>
          <w:p>
            <w:pPr>
              <w:ind w:left="4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960" w:type="dxa"/>
            <w:vAlign w:val="bottom"/>
            <w:gridSpan w:val="2"/>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4.26%</w:t>
            </w:r>
          </w:p>
        </w:tc>
        <w:tc>
          <w:tcPr>
            <w:tcW w:w="6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 IA</w:t>
            </w:r>
          </w:p>
        </w:tc>
        <w:tc>
          <w:tcPr>
            <w:tcW w:w="6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pacing w:after="0" w:line="192" w:lineRule="exact"/>
        <w:rPr>
          <w:sz w:val="20"/>
          <w:szCs w:val="20"/>
          <w:color w:val="auto"/>
        </w:rPr>
      </w:pPr>
    </w:p>
    <w:p>
      <w:pPr>
        <w:ind w:left="1960" w:hanging="1099"/>
        <w:spacing w:after="0"/>
        <w:tabs>
          <w:tab w:leader="none" w:pos="196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4802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80" w:type="dxa"/>
            <w:vAlign w:val="bottom"/>
          </w:tcPr>
          <w:p>
            <w:pPr>
              <w:spacing w:after="0"/>
              <w:rPr>
                <w:sz w:val="21"/>
                <w:szCs w:val="21"/>
                <w:color w:val="auto"/>
              </w:rPr>
            </w:pPr>
          </w:p>
        </w:tc>
        <w:tc>
          <w:tcPr>
            <w:tcW w:w="6820" w:type="dxa"/>
            <w:vAlign w:val="bottom"/>
          </w:tcPr>
          <w:p>
            <w:pPr>
              <w:ind w:left="820"/>
              <w:spacing w:after="0"/>
              <w:rPr>
                <w:sz w:val="20"/>
                <w:szCs w:val="20"/>
                <w:color w:val="auto"/>
              </w:rPr>
            </w:pPr>
            <w:r>
              <w:rPr>
                <w:rFonts w:ascii="Arial" w:cs="Arial" w:eastAsia="Arial" w:hAnsi="Arial"/>
                <w:sz w:val="20"/>
                <w:szCs w:val="20"/>
                <w:color w:val="auto"/>
              </w:rPr>
              <w:t>Richard Mashaal</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82"/>
              </w:rPr>
              <w:t>Canada</w:t>
            </w:r>
          </w:p>
        </w:tc>
        <w:tc>
          <w:tcPr>
            <w:tcW w:w="6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64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64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644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6</w:t>
            </w:r>
          </w:p>
        </w:tc>
        <w:tc>
          <w:tcPr>
            <w:tcW w:w="64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644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20"/>
                <w:szCs w:val="20"/>
                <w:color w:val="auto"/>
                <w:w w:val="97"/>
              </w:rPr>
              <w:t>4,173,056 (including 50,000 shares of Common Stock issuable upon exercise of options)</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7</w:t>
            </w:r>
          </w:p>
        </w:tc>
        <w:tc>
          <w:tcPr>
            <w:tcW w:w="64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644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4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644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8</w:t>
            </w:r>
          </w:p>
        </w:tc>
        <w:tc>
          <w:tcPr>
            <w:tcW w:w="64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4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20"/>
                <w:szCs w:val="20"/>
                <w:color w:val="auto"/>
                <w:w w:val="97"/>
              </w:rPr>
              <w:t>4,173,056 (including 50,000 shares of Common Stock issuable upon exercise of options)</w:t>
            </w: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960" w:type="dxa"/>
            <w:vAlign w:val="bottom"/>
            <w:gridSpan w:val="2"/>
            <w:vMerge w:val="restart"/>
          </w:tcPr>
          <w:p>
            <w:pPr>
              <w:ind w:left="460"/>
              <w:spacing w:after="0"/>
              <w:rPr>
                <w:sz w:val="20"/>
                <w:szCs w:val="20"/>
                <w:color w:val="auto"/>
              </w:rPr>
            </w:pPr>
            <w:r>
              <w:rPr>
                <w:rFonts w:ascii="Arial" w:cs="Arial" w:eastAsia="Arial" w:hAnsi="Arial"/>
                <w:sz w:val="20"/>
                <w:szCs w:val="20"/>
                <w:color w:val="auto"/>
                <w:w w:val="95"/>
              </w:rPr>
              <w:t>4,173,056 (including 50,000 shares of Common Stock issuable upon exercise of options)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96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9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620" w:type="dxa"/>
            <w:vAlign w:val="bottom"/>
          </w:tcPr>
          <w:p>
            <w:pPr>
              <w:ind w:left="4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960" w:type="dxa"/>
            <w:vAlign w:val="bottom"/>
            <w:gridSpan w:val="2"/>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4.26%</w:t>
            </w:r>
          </w:p>
        </w:tc>
        <w:tc>
          <w:tcPr>
            <w:tcW w:w="6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96"/>
              </w:rPr>
              <w:t>IN, HC</w:t>
            </w:r>
          </w:p>
        </w:tc>
        <w:tc>
          <w:tcPr>
            <w:tcW w:w="6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420"/>
          </w:cols>
          <w:pgMar w:left="240" w:top="229" w:right="239" w:bottom="1440" w:gutter="0" w:footer="0" w:header="0"/>
        </w:sectPr>
      </w:pP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15"/>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Tower Semiconductor Ltd. (the "Issuer")</w:t>
            </w: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8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Ramat Gavriel Industrial Park</w:t>
            </w:r>
          </w:p>
        </w:tc>
      </w:tr>
      <w:tr>
        <w:trPr>
          <w:trHeight w:val="230"/>
        </w:trPr>
        <w:tc>
          <w:tcPr>
            <w:tcW w:w="128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P.O. Box 619</w:t>
            </w:r>
          </w:p>
        </w:tc>
      </w:tr>
      <w:tr>
        <w:trPr>
          <w:trHeight w:val="230"/>
        </w:trPr>
        <w:tc>
          <w:tcPr>
            <w:tcW w:w="128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Migdal Haemek, 2310502</w:t>
            </w:r>
          </w:p>
        </w:tc>
      </w:tr>
      <w:tr>
        <w:trPr>
          <w:trHeight w:val="250"/>
        </w:trPr>
        <w:tc>
          <w:tcPr>
            <w:tcW w:w="128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Israel</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This statement is filed by Senvest Management, LLC and Richard Mashaal.</w:t>
            </w:r>
          </w:p>
        </w:tc>
      </w:tr>
      <w:tr>
        <w:trPr>
          <w:trHeight w:val="438"/>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0"/>
              </w:rPr>
              <w:t>The reported securities are held in the accounts of Senvest Master Fund, LP, Senvest Israel Partners Master Fund, LP</w:t>
            </w:r>
          </w:p>
        </w:tc>
      </w:tr>
      <w:tr>
        <w:trPr>
          <w:trHeight w:val="206"/>
        </w:trPr>
        <w:tc>
          <w:tcPr>
            <w:tcW w:w="1280" w:type="dxa"/>
            <w:vAlign w:val="bottom"/>
          </w:tcPr>
          <w:p>
            <w:pPr>
              <w:spacing w:after="0"/>
              <w:rPr>
                <w:sz w:val="17"/>
                <w:szCs w:val="17"/>
                <w:color w:val="auto"/>
              </w:rPr>
            </w:pPr>
          </w:p>
        </w:tc>
        <w:tc>
          <w:tcPr>
            <w:tcW w:w="990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and Senvest Global (KY), LP (collectively, the "Investment Vehicles").</w:t>
            </w:r>
          </w:p>
        </w:tc>
      </w:tr>
      <w:tr>
        <w:trPr>
          <w:trHeight w:val="20"/>
        </w:trPr>
        <w:tc>
          <w:tcPr>
            <w:tcW w:w="128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63"/>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89"/>
              </w:rPr>
              <w:t>Senvest Management, LLC may be deemed to beneficially own the securities held by the Investment Vehicles by virtue</w:t>
            </w:r>
          </w:p>
        </w:tc>
      </w:tr>
      <w:tr>
        <w:trPr>
          <w:trHeight w:val="230"/>
        </w:trPr>
        <w:tc>
          <w:tcPr>
            <w:tcW w:w="128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0"/>
              </w:rPr>
              <w:t>of Senvest Management, LLC's position as investment manager of each of the Investment Vehicles. Mr. Mashaal may</w:t>
            </w:r>
          </w:p>
        </w:tc>
      </w:tr>
      <w:tr>
        <w:trPr>
          <w:trHeight w:val="230"/>
        </w:trPr>
        <w:tc>
          <w:tcPr>
            <w:tcW w:w="128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1"/>
              </w:rPr>
              <w:t>be deemed to beneficially own the securities held by the Investment Vehicles by virtue of Mr. Mashaal's status as the</w:t>
            </w:r>
          </w:p>
        </w:tc>
      </w:tr>
      <w:tr>
        <w:trPr>
          <w:trHeight w:val="230"/>
        </w:trPr>
        <w:tc>
          <w:tcPr>
            <w:tcW w:w="128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w w:val="93"/>
              </w:rPr>
              <w:t>managing member of Senvest Management, LLC. None of the foregoing should be construed in and of itself as an</w:t>
            </w:r>
          </w:p>
        </w:tc>
      </w:tr>
      <w:tr>
        <w:trPr>
          <w:trHeight w:val="250"/>
        </w:trPr>
        <w:tc>
          <w:tcPr>
            <w:tcW w:w="128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admission by any Reporting Person as to beneficial ownership of the Ordinary Shares reported herein.</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443"/>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Senvest Management, LLC</w:t>
            </w:r>
          </w:p>
        </w:tc>
      </w:tr>
      <w:tr>
        <w:trPr>
          <w:trHeight w:val="279"/>
        </w:trPr>
        <w:tc>
          <w:tcPr>
            <w:tcW w:w="1280" w:type="dxa"/>
            <w:vAlign w:val="bottom"/>
          </w:tcPr>
          <w:p>
            <w:pPr>
              <w:spacing w:after="0"/>
              <w:rPr>
                <w:sz w:val="24"/>
                <w:szCs w:val="24"/>
                <w:color w:val="auto"/>
              </w:rPr>
            </w:pPr>
          </w:p>
        </w:tc>
        <w:tc>
          <w:tcPr>
            <w:tcW w:w="9900" w:type="dxa"/>
            <w:vAlign w:val="bottom"/>
            <w:gridSpan w:val="5"/>
          </w:tcPr>
          <w:p>
            <w:pPr>
              <w:ind w:left="440"/>
              <w:spacing w:after="0" w:line="280" w:lineRule="exact"/>
              <w:rPr>
                <w:sz w:val="20"/>
                <w:szCs w:val="20"/>
                <w:color w:val="auto"/>
              </w:rPr>
            </w:pPr>
            <w:r>
              <w:rPr>
                <w:rFonts w:ascii="Arial" w:cs="Arial" w:eastAsia="Arial" w:hAnsi="Arial"/>
                <w:sz w:val="19"/>
                <w:szCs w:val="19"/>
                <w:color w:val="auto"/>
              </w:rPr>
              <w:t>540 Madison Avenue, 32</w:t>
            </w:r>
            <w:r>
              <w:rPr>
                <w:rFonts w:ascii="Arial" w:cs="Arial" w:eastAsia="Arial" w:hAnsi="Arial"/>
                <w:sz w:val="32"/>
                <w:szCs w:val="32"/>
                <w:color w:val="auto"/>
                <w:vertAlign w:val="superscript"/>
              </w:rPr>
              <w:t>nd</w:t>
            </w:r>
            <w:r>
              <w:rPr>
                <w:rFonts w:ascii="Arial" w:cs="Arial" w:eastAsia="Arial" w:hAnsi="Arial"/>
                <w:sz w:val="19"/>
                <w:szCs w:val="19"/>
                <w:color w:val="auto"/>
              </w:rPr>
              <w:t xml:space="preserve"> Floor</w:t>
            </w:r>
          </w:p>
        </w:tc>
      </w:tr>
      <w:tr>
        <w:trPr>
          <w:trHeight w:val="250"/>
        </w:trPr>
        <w:tc>
          <w:tcPr>
            <w:tcW w:w="128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New York, New York 10022</w:t>
            </w:r>
          </w:p>
        </w:tc>
      </w:tr>
      <w:tr>
        <w:trPr>
          <w:trHeight w:val="438"/>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Richard Mashaal</w:t>
            </w:r>
          </w:p>
        </w:tc>
      </w:tr>
      <w:tr>
        <w:trPr>
          <w:trHeight w:val="230"/>
        </w:trPr>
        <w:tc>
          <w:tcPr>
            <w:tcW w:w="128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c/o Senvest Management, LLC</w:t>
            </w:r>
          </w:p>
        </w:tc>
      </w:tr>
      <w:tr>
        <w:trPr>
          <w:trHeight w:val="230"/>
        </w:trPr>
        <w:tc>
          <w:tcPr>
            <w:tcW w:w="1280" w:type="dxa"/>
            <w:vAlign w:val="bottom"/>
          </w:tcPr>
          <w:p>
            <w:pPr>
              <w:spacing w:after="0"/>
              <w:rPr>
                <w:sz w:val="19"/>
                <w:szCs w:val="19"/>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540 Madison Avenue, 32nd Floor</w:t>
            </w:r>
          </w:p>
        </w:tc>
      </w:tr>
      <w:tr>
        <w:trPr>
          <w:trHeight w:val="250"/>
        </w:trPr>
        <w:tc>
          <w:tcPr>
            <w:tcW w:w="128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New York, New York 10022</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Place of Organization.</w:t>
            </w:r>
          </w:p>
        </w:tc>
      </w:tr>
      <w:tr>
        <w:trPr>
          <w:trHeight w:val="438"/>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Senvest Management, LLC – Delaware</w:t>
            </w:r>
          </w:p>
        </w:tc>
      </w:tr>
      <w:tr>
        <w:trPr>
          <w:trHeight w:val="250"/>
        </w:trPr>
        <w:tc>
          <w:tcPr>
            <w:tcW w:w="1280" w:type="dxa"/>
            <w:vAlign w:val="bottom"/>
          </w:tcPr>
          <w:p>
            <w:pPr>
              <w:spacing w:after="0"/>
              <w:rPr>
                <w:sz w:val="21"/>
                <w:szCs w:val="21"/>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Richard Mashaal – Canada</w:t>
            </w:r>
          </w:p>
        </w:tc>
      </w:tr>
      <w:tr>
        <w:trPr>
          <w:trHeight w:val="459"/>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0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80" w:type="dxa"/>
            <w:vAlign w:val="bottom"/>
          </w:tcPr>
          <w:p>
            <w:pPr>
              <w:spacing w:after="0"/>
              <w:rPr>
                <w:sz w:val="24"/>
                <w:szCs w:val="24"/>
                <w:color w:val="auto"/>
              </w:rPr>
            </w:pPr>
          </w:p>
        </w:tc>
        <w:tc>
          <w:tcPr>
            <w:tcW w:w="9900" w:type="dxa"/>
            <w:vAlign w:val="bottom"/>
            <w:gridSpan w:val="5"/>
          </w:tcPr>
          <w:p>
            <w:pPr>
              <w:ind w:left="440"/>
              <w:spacing w:after="0"/>
              <w:rPr>
                <w:sz w:val="20"/>
                <w:szCs w:val="20"/>
                <w:color w:val="auto"/>
              </w:rPr>
            </w:pPr>
            <w:r>
              <w:rPr>
                <w:rFonts w:ascii="Arial" w:cs="Arial" w:eastAsia="Arial" w:hAnsi="Arial"/>
                <w:sz w:val="20"/>
                <w:szCs w:val="20"/>
                <w:color w:val="auto"/>
              </w:rPr>
              <w:t>Ordinary Shares, NIS 15.00 par value</w:t>
            </w:r>
          </w:p>
        </w:tc>
      </w:tr>
    </w:tbl>
    <w:p>
      <w:pPr>
        <w:sectPr>
          <w:pgSz w:w="11900" w:h="16838" w:orient="portrait"/>
          <w:cols w:equalWidth="0" w:num="1">
            <w:col w:w="11420"/>
          </w:cols>
          <w:pgMar w:left="240" w:top="229" w:right="239" w:bottom="1440" w:gutter="0" w:footer="0" w:header="0"/>
          <w:type w:val="continuous"/>
        </w:sectPr>
      </w:pPr>
    </w:p>
    <w:bookmarkStart w:id="4" w:name="page5"/>
    <w:bookmarkEnd w:id="4"/>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420"/>
          </w:cols>
          <w:pgMar w:left="240" w:top="229" w:right="2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2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80" w:type="dxa"/>
            <w:vAlign w:val="bottom"/>
            <w:gridSpan w:val="3"/>
          </w:tcPr>
          <w:p>
            <w:pPr>
              <w:ind w:left="40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20" w:type="dxa"/>
            <w:vAlign w:val="bottom"/>
          </w:tcPr>
          <w:p>
            <w:pPr>
              <w:spacing w:after="0"/>
              <w:rPr>
                <w:sz w:val="24"/>
                <w:szCs w:val="24"/>
                <w:color w:val="auto"/>
              </w:rPr>
            </w:pPr>
          </w:p>
        </w:tc>
        <w:tc>
          <w:tcPr>
            <w:tcW w:w="9980" w:type="dxa"/>
            <w:vAlign w:val="bottom"/>
            <w:gridSpan w:val="3"/>
          </w:tcPr>
          <w:p>
            <w:pPr>
              <w:ind w:left="400"/>
              <w:spacing w:after="0"/>
              <w:rPr>
                <w:sz w:val="20"/>
                <w:szCs w:val="20"/>
                <w:color w:val="auto"/>
              </w:rPr>
            </w:pPr>
            <w:r>
              <w:rPr>
                <w:rFonts w:ascii="Arial" w:cs="Arial" w:eastAsia="Arial" w:hAnsi="Arial"/>
                <w:sz w:val="20"/>
                <w:szCs w:val="20"/>
                <w:color w:val="auto"/>
                <w:w w:val="98"/>
              </w:rPr>
              <w:t>The Ordinary Shares do not have a CUSIP number. The CINS number for the Ordinary Shares is M87915274.</w:t>
            </w:r>
          </w:p>
        </w:tc>
      </w:tr>
      <w:tr>
        <w:trPr>
          <w:trHeight w:val="459"/>
        </w:trPr>
        <w:tc>
          <w:tcPr>
            <w:tcW w:w="122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3"/>
          </w:tcPr>
          <w:p>
            <w:pPr>
              <w:ind w:left="400"/>
              <w:spacing w:after="0"/>
              <w:rPr>
                <w:sz w:val="20"/>
                <w:szCs w:val="20"/>
                <w:color w:val="auto"/>
              </w:rPr>
            </w:pPr>
            <w:r>
              <w:rPr>
                <w:rFonts w:ascii="Arial" w:cs="Arial" w:eastAsia="Arial" w:hAnsi="Arial"/>
                <w:sz w:val="20"/>
                <w:szCs w:val="20"/>
                <w:b w:val="1"/>
                <w:bCs w:val="1"/>
                <w:color w:val="auto"/>
                <w:w w:val="89"/>
              </w:rPr>
              <w:t>If this Statement is Filed Pursuant to §§ 240.13d-1(b) or 240.13d-2(b), or (c), check whether the Person Filing is a:</w:t>
            </w:r>
          </w:p>
        </w:tc>
      </w:tr>
      <w:tr>
        <w:trPr>
          <w:trHeight w:val="495"/>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(a)</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tc>
      </w:tr>
      <w:tr>
        <w:trPr>
          <w:trHeight w:val="459"/>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(b)</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tc>
      </w:tr>
      <w:tr>
        <w:trPr>
          <w:trHeight w:val="459"/>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(c)</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tc>
      </w:tr>
      <w:tr>
        <w:trPr>
          <w:trHeight w:val="403"/>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(d)</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w w:val="95"/>
              </w:rPr>
              <w:t>☐</w:t>
            </w:r>
            <w:r>
              <w:rPr>
                <w:rFonts w:ascii="Arial" w:cs="Arial" w:eastAsia="Arial" w:hAnsi="Arial"/>
                <w:sz w:val="20"/>
                <w:szCs w:val="20"/>
                <w:color w:val="auto"/>
                <w:w w:val="95"/>
              </w:rPr>
              <w:t xml:space="preserve">  Investment company registered under section 8 of the Investment Company Act of 1940 (15 U.S.C.</w:t>
            </w:r>
          </w:p>
        </w:tc>
      </w:tr>
      <w:tr>
        <w:trPr>
          <w:trHeight w:val="250"/>
        </w:trPr>
        <w:tc>
          <w:tcPr>
            <w:tcW w:w="1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360" w:type="dxa"/>
            <w:vAlign w:val="bottom"/>
          </w:tcPr>
          <w:p>
            <w:pPr>
              <w:ind w:left="140"/>
              <w:spacing w:after="0"/>
              <w:rPr>
                <w:sz w:val="20"/>
                <w:szCs w:val="20"/>
                <w:color w:val="auto"/>
              </w:rPr>
            </w:pPr>
            <w:r>
              <w:rPr>
                <w:rFonts w:ascii="Arial" w:cs="Arial" w:eastAsia="Arial" w:hAnsi="Arial"/>
                <w:sz w:val="20"/>
                <w:szCs w:val="20"/>
                <w:color w:val="auto"/>
              </w:rPr>
              <w:t>80a-8);</w:t>
            </w:r>
          </w:p>
        </w:tc>
      </w:tr>
      <w:tr>
        <w:trPr>
          <w:trHeight w:val="481"/>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(e)</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 240.13d-1(b)(1)(ii)(E);</w:t>
            </w:r>
          </w:p>
        </w:tc>
      </w:tr>
      <w:tr>
        <w:trPr>
          <w:trHeight w:val="459"/>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(f)</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360" w:type="dxa"/>
            <w:vAlign w:val="bottom"/>
          </w:tcPr>
          <w:p>
            <w:pPr>
              <w:ind w:left="180"/>
              <w:spacing w:after="0"/>
              <w:rPr>
                <w:sz w:val="20"/>
                <w:szCs w:val="20"/>
                <w:color w:val="auto"/>
              </w:rPr>
            </w:pPr>
            <w:r>
              <w:rPr>
                <w:rFonts w:ascii="Arial" w:cs="Arial" w:eastAsia="Arial" w:hAnsi="Arial"/>
                <w:sz w:val="20"/>
                <w:szCs w:val="20"/>
                <w:color w:val="auto"/>
              </w:rPr>
              <w:t>An employee benefit plan or endowment fund in accordance with § 240.13d-1(b)(1)(ii)(F);</w:t>
            </w:r>
          </w:p>
        </w:tc>
      </w:tr>
      <w:tr>
        <w:trPr>
          <w:trHeight w:val="459"/>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(g)</w:t>
            </w:r>
          </w:p>
        </w:tc>
        <w:tc>
          <w:tcPr>
            <w:tcW w:w="66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8360" w:type="dxa"/>
            <w:vAlign w:val="bottom"/>
          </w:tcPr>
          <w:p>
            <w:pPr>
              <w:ind w:left="180"/>
              <w:spacing w:after="0"/>
              <w:rPr>
                <w:sz w:val="20"/>
                <w:szCs w:val="20"/>
                <w:color w:val="auto"/>
              </w:rPr>
            </w:pPr>
            <w:r>
              <w:rPr>
                <w:rFonts w:ascii="Arial" w:cs="Arial" w:eastAsia="Arial" w:hAnsi="Arial"/>
                <w:sz w:val="20"/>
                <w:szCs w:val="20"/>
                <w:color w:val="auto"/>
              </w:rPr>
              <w:t>A parent holding company or control person in accordance with §240.13d-1(b)(1)(ii)(G);</w:t>
            </w:r>
          </w:p>
        </w:tc>
      </w:tr>
      <w:tr>
        <w:trPr>
          <w:trHeight w:val="459"/>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(h)</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w w:val="92"/>
              </w:rPr>
              <w:t>☐</w:t>
            </w:r>
            <w:r>
              <w:rPr>
                <w:rFonts w:ascii="Arial" w:cs="Arial" w:eastAsia="Arial" w:hAnsi="Arial"/>
                <w:sz w:val="20"/>
                <w:szCs w:val="20"/>
                <w:color w:val="auto"/>
                <w:w w:val="92"/>
              </w:rPr>
              <w:t xml:space="preserve">  A savings association as defined in Section 3(b) of the Federal Deposit Insurance Act (12 U.S.C.1813);</w:t>
            </w:r>
          </w:p>
        </w:tc>
      </w:tr>
      <w:tr>
        <w:trPr>
          <w:trHeight w:val="403"/>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(i)</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w w:val="93"/>
              </w:rPr>
              <w:t>☐</w:t>
            </w:r>
            <w:r>
              <w:rPr>
                <w:rFonts w:ascii="Arial" w:cs="Arial" w:eastAsia="Arial" w:hAnsi="Arial"/>
                <w:sz w:val="20"/>
                <w:szCs w:val="20"/>
                <w:color w:val="auto"/>
                <w:w w:val="93"/>
              </w:rPr>
              <w:t xml:space="preserve">  A church plan that is excluded from the definition of an investment company under section 3(c)(14) of</w:t>
            </w:r>
          </w:p>
        </w:tc>
      </w:tr>
      <w:tr>
        <w:trPr>
          <w:trHeight w:val="250"/>
        </w:trPr>
        <w:tc>
          <w:tcPr>
            <w:tcW w:w="1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360" w:type="dxa"/>
            <w:vAlign w:val="bottom"/>
          </w:tcPr>
          <w:p>
            <w:pPr>
              <w:ind w:left="140"/>
              <w:spacing w:after="0"/>
              <w:rPr>
                <w:sz w:val="20"/>
                <w:szCs w:val="20"/>
                <w:color w:val="auto"/>
              </w:rPr>
            </w:pPr>
            <w:r>
              <w:rPr>
                <w:rFonts w:ascii="Arial" w:cs="Arial" w:eastAsia="Arial" w:hAnsi="Arial"/>
                <w:sz w:val="20"/>
                <w:szCs w:val="20"/>
                <w:color w:val="auto"/>
              </w:rPr>
              <w:t>the Investment Company Act of 1940 (15 U.S.C. 80a-3);</w:t>
            </w:r>
          </w:p>
        </w:tc>
      </w:tr>
      <w:tr>
        <w:trPr>
          <w:trHeight w:val="495"/>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(j)</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§240.13d-1(b)(1)(ii)(J);</w:t>
            </w:r>
          </w:p>
        </w:tc>
      </w:tr>
      <w:tr>
        <w:trPr>
          <w:trHeight w:val="459"/>
        </w:trPr>
        <w:tc>
          <w:tcPr>
            <w:tcW w:w="122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20"/>
                <w:szCs w:val="20"/>
                <w:color w:val="auto"/>
              </w:rPr>
              <w:t>(k)</w:t>
            </w:r>
          </w:p>
        </w:tc>
        <w:tc>
          <w:tcPr>
            <w:tcW w:w="9020" w:type="dxa"/>
            <w:vAlign w:val="bottom"/>
            <w:gridSpan w:val="2"/>
          </w:tcPr>
          <w:p>
            <w:pPr>
              <w:ind w:left="3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§240.13d-1(b)(1)(ii)(K).</w:t>
            </w:r>
          </w:p>
        </w:tc>
      </w:tr>
    </w:tbl>
    <w:p>
      <w:pPr>
        <w:spacing w:after="0" w:line="187" w:lineRule="exact"/>
        <w:rPr>
          <w:sz w:val="20"/>
          <w:szCs w:val="20"/>
          <w:color w:val="auto"/>
        </w:rPr>
      </w:pPr>
    </w:p>
    <w:p>
      <w:pPr>
        <w:ind w:left="1720" w:right="3120"/>
        <w:spacing w:after="0" w:line="287" w:lineRule="auto"/>
        <w:rPr>
          <w:sz w:val="20"/>
          <w:szCs w:val="20"/>
          <w:color w:val="auto"/>
        </w:rPr>
      </w:pPr>
      <w:r>
        <w:rPr>
          <w:rFonts w:ascii="Arial" w:cs="Arial" w:eastAsia="Arial" w:hAnsi="Arial"/>
          <w:sz w:val="19"/>
          <w:szCs w:val="19"/>
          <w:color w:val="auto"/>
        </w:rPr>
        <w:t>If filing as a non-U.S. institution in accordance with §240.13d-1(b)(1)(ii)(J), please specify the type of institution. _______________________________</w:t>
      </w:r>
    </w:p>
    <w:p>
      <w:pPr>
        <w:spacing w:after="0" w:line="160"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5" w:lineRule="exact"/>
        <w:rPr>
          <w:sz w:val="20"/>
          <w:szCs w:val="20"/>
          <w:color w:val="auto"/>
        </w:rPr>
      </w:pPr>
    </w:p>
    <w:p>
      <w:pPr>
        <w:jc w:val="both"/>
        <w:ind w:left="1720" w:right="100"/>
        <w:spacing w:after="0" w:line="244"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 The percentages set forth in this Schedule 13G/A are calculated based upon an aggregate of 97,893,000 Ordinary Shares outstanding as of June 30, 2017 as reported in the Issuer's Report of Foreign Private Issuer on Form 6-K filed with the Securities and Exchange Commission on August 3, 2017.</w:t>
      </w:r>
    </w:p>
    <w:p>
      <w:pPr>
        <w:sectPr>
          <w:pgSz w:w="11900" w:h="16838" w:orient="portrait"/>
          <w:cols w:equalWidth="0" w:num="1">
            <w:col w:w="11420"/>
          </w:cols>
          <w:pgMar w:left="240" w:top="229" w:right="239" w:bottom="1440" w:gutter="0" w:footer="0" w:header="0"/>
          <w:type w:val="continuous"/>
        </w:sectPr>
      </w:pPr>
    </w:p>
    <w:bookmarkStart w:id="5" w:name="page6"/>
    <w:bookmarkEnd w:id="5"/>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420"/>
          </w:cols>
          <w:pgMar w:left="240" w:top="229" w:right="239" w:bottom="1440" w:gutter="0" w:footer="0" w:header="0"/>
        </w:sectPr>
      </w:pPr>
    </w:p>
    <w:p>
      <w:pPr>
        <w:spacing w:after="0" w:line="342"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left="1720" w:right="10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ý</w:t>
      </w:r>
    </w:p>
    <w:p>
      <w:pPr>
        <w:spacing w:after="0" w:line="18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ind w:left="1720" w:right="100"/>
        <w:spacing w:after="0" w:line="260" w:lineRule="auto"/>
        <w:rPr>
          <w:sz w:val="20"/>
          <w:szCs w:val="20"/>
          <w:color w:val="auto"/>
        </w:rPr>
      </w:pPr>
      <w:r>
        <w:rPr>
          <w:rFonts w:ascii="Arial" w:cs="Arial" w:eastAsia="Arial" w:hAnsi="Arial"/>
          <w:sz w:val="20"/>
          <w:szCs w:val="20"/>
          <w:color w:val="auto"/>
        </w:rPr>
        <w:t>The Investment Vehicles have the right to receive and the power to direct the receipt of dividends from, and the proceeds from the sale of, the Ordinary Shares.</w:t>
      </w:r>
    </w:p>
    <w:p>
      <w:pPr>
        <w:spacing w:after="0" w:line="18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Holding Company or Control Person.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By signing below each Reporting Person certifies that, to the best of his or its knowledge and belief, the securities</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referred to above were not acquired and are not held for the purpose of or with the effect of changing or influencing the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transaction having that purpose or effect.</w:t>
      </w:r>
    </w:p>
    <w:p>
      <w:pPr>
        <w:sectPr>
          <w:pgSz w:w="11900" w:h="16838" w:orient="portrait"/>
          <w:cols w:equalWidth="0" w:num="1">
            <w:col w:w="11420"/>
          </w:cols>
          <w:pgMar w:left="240" w:top="229" w:right="239" w:bottom="1440" w:gutter="0" w:footer="0" w:header="0"/>
          <w:type w:val="continuous"/>
        </w:sectPr>
      </w:pPr>
    </w:p>
    <w:bookmarkStart w:id="6" w:name="page7"/>
    <w:bookmarkEnd w:id="6"/>
    <w:p>
      <w:pPr>
        <w:spacing w:after="0"/>
        <w:tabs>
          <w:tab w:leader="none" w:pos="5460" w:val="left"/>
          <w:tab w:leader="none" w:pos="10080" w:val="left"/>
        </w:tabs>
        <w:rPr>
          <w:sz w:val="20"/>
          <w:szCs w:val="20"/>
          <w:color w:val="auto"/>
        </w:rPr>
      </w:pPr>
      <w:r>
        <w:rPr>
          <w:rFonts w:ascii="Arial" w:cs="Arial" w:eastAsia="Arial" w:hAnsi="Arial"/>
          <w:sz w:val="18"/>
          <w:szCs w:val="18"/>
          <w:b w:val="1"/>
          <w:bCs w:val="1"/>
          <w:color w:val="auto"/>
        </w:rPr>
        <w:t>CUSIP No. M87915274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12, 2018</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tbl>
      <w:tblPr>
        <w:tblLayout w:type="fixed"/>
        <w:tblInd w:w="5580" w:type="dxa"/>
        <w:tblCellMar>
          <w:top w:w="0" w:type="dxa"/>
          <w:left w:w="0" w:type="dxa"/>
          <w:bottom w:w="0" w:type="dxa"/>
          <w:right w:w="0" w:type="dxa"/>
        </w:tblCellMar>
      </w:tblPr>
      <w:tr>
        <w:trPr>
          <w:trHeight w:val="24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Bobby Trahanas</w:t>
            </w:r>
          </w:p>
        </w:tc>
      </w:tr>
      <w:tr>
        <w:trPr>
          <w:trHeight w:val="213"/>
        </w:trPr>
        <w:tc>
          <w:tcPr>
            <w:tcW w:w="820" w:type="dxa"/>
            <w:vAlign w:val="bottom"/>
          </w:tcPr>
          <w:p>
            <w:pPr>
              <w:spacing w:after="0" w:line="213" w:lineRule="exact"/>
              <w:rPr>
                <w:sz w:val="20"/>
                <w:szCs w:val="20"/>
                <w:color w:val="auto"/>
              </w:rPr>
            </w:pPr>
            <w:r>
              <w:rPr>
                <w:rFonts w:ascii="Arial" w:cs="Arial" w:eastAsia="Arial" w:hAnsi="Arial"/>
                <w:sz w:val="20"/>
                <w:szCs w:val="20"/>
                <w:color w:val="auto"/>
              </w:rPr>
              <w:t>Name:</w:t>
            </w:r>
          </w:p>
        </w:tc>
        <w:tc>
          <w:tcPr>
            <w:tcW w:w="5020" w:type="dxa"/>
            <w:vAlign w:val="bottom"/>
          </w:tcPr>
          <w:p>
            <w:pPr>
              <w:ind w:left="100"/>
              <w:spacing w:after="0" w:line="213" w:lineRule="exact"/>
              <w:rPr>
                <w:sz w:val="20"/>
                <w:szCs w:val="20"/>
                <w:color w:val="auto"/>
              </w:rPr>
            </w:pPr>
            <w:r>
              <w:rPr>
                <w:rFonts w:ascii="Arial" w:cs="Arial" w:eastAsia="Arial" w:hAnsi="Arial"/>
                <w:sz w:val="20"/>
                <w:szCs w:val="20"/>
                <w:color w:val="auto"/>
              </w:rPr>
              <w:t>Bobby Trahanas</w:t>
            </w:r>
          </w:p>
        </w:tc>
      </w:t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5020" w:type="dxa"/>
            <w:vAlign w:val="bottom"/>
          </w:tcPr>
          <w:p>
            <w:pPr>
              <w:ind w:left="100"/>
              <w:spacing w:after="0"/>
              <w:rPr>
                <w:sz w:val="20"/>
                <w:szCs w:val="20"/>
                <w:color w:val="auto"/>
              </w:rPr>
            </w:pPr>
            <w:r>
              <w:rPr>
                <w:rFonts w:ascii="Arial" w:cs="Arial" w:eastAsia="Arial" w:hAnsi="Arial"/>
                <w:sz w:val="20"/>
                <w:szCs w:val="20"/>
                <w:color w:val="auto"/>
              </w:rPr>
              <w:t>Chief Compliance Officer</w:t>
            </w:r>
          </w:p>
        </w:tc>
      </w:tr>
    </w:tbl>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10160</wp:posOffset>
            </wp:positionV>
            <wp:extent cx="3764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2019-12-16T08:20:58Z</dcterms:created>
  <dcterms:modified xsi:type="dcterms:W3CDTF">2019-12-16T08:20:58Z</dcterms:modified>
</cp:coreProperties>
</file>