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month of June 2004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jc w:val="right"/>
        <w:ind w:right="3899"/>
        <w:spacing w:after="0"/>
        <w:rPr>
          <w:sz w:val="20"/>
          <w:szCs w:val="20"/>
          <w:color w:val="auto"/>
        </w:rPr>
      </w:pPr>
      <w:r>
        <w:rPr>
          <w:rFonts w:ascii="Courier New" w:cs="Courier New" w:eastAsia="Courier New" w:hAnsi="Courier New"/>
          <w:sz w:val="18"/>
          <w:szCs w:val="18"/>
          <w:color w:val="auto"/>
        </w:rPr>
        <w:t>P.O. BOX 619, MIGDAL HAEMEK, ISRAEL 23105</w:t>
      </w:r>
    </w:p>
    <w:p>
      <w:pPr>
        <w:jc w:val="right"/>
        <w:ind w:right="389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both"/>
        <w:ind w:right="1779" w:firstLine="115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jc w:val="right"/>
        <w:ind w:right="1779"/>
        <w:spacing w:after="0"/>
        <w:tabs>
          <w:tab w:leader="none" w:pos="1360" w:val="left"/>
        </w:tabs>
        <w:rPr>
          <w:sz w:val="20"/>
          <w:szCs w:val="20"/>
          <w:color w:val="auto"/>
        </w:rPr>
      </w:pPr>
      <w:r>
        <w:rPr>
          <w:rFonts w:ascii="Courier New" w:cs="Courier New" w:eastAsia="Courier New" w:hAnsi="Courier New"/>
          <w:sz w:val="18"/>
          <w:szCs w:val="18"/>
          <w:color w:val="auto"/>
        </w:rPr>
        <w:t>Form 20-F _x_</w:t>
      </w:r>
      <w:r>
        <w:rPr>
          <w:sz w:val="20"/>
          <w:szCs w:val="20"/>
          <w:color w:val="auto"/>
        </w:rPr>
        <w:tab/>
      </w:r>
      <w:r>
        <w:rPr>
          <w:rFonts w:ascii="Courier New" w:cs="Courier New" w:eastAsia="Courier New" w:hAnsi="Courier New"/>
          <w:sz w:val="16"/>
          <w:szCs w:val="16"/>
          <w:color w:val="auto"/>
        </w:rPr>
        <w:t>Form 40-F ___</w:t>
      </w:r>
    </w:p>
    <w:p>
      <w:pPr>
        <w:spacing w:after="0" w:line="200" w:lineRule="exact"/>
        <w:rPr>
          <w:sz w:val="24"/>
          <w:szCs w:val="24"/>
          <w:color w:val="auto"/>
        </w:rPr>
      </w:pPr>
    </w:p>
    <w:p>
      <w:pPr>
        <w:spacing w:after="0" w:line="209" w:lineRule="exact"/>
        <w:rPr>
          <w:sz w:val="24"/>
          <w:szCs w:val="24"/>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2" w:lineRule="exact"/>
        <w:rPr>
          <w:sz w:val="24"/>
          <w:szCs w:val="24"/>
          <w:color w:val="auto"/>
        </w:rPr>
      </w:pPr>
    </w:p>
    <w:p>
      <w:pPr>
        <w:jc w:val="right"/>
        <w:ind w:right="1779"/>
        <w:spacing w:after="0"/>
        <w:tabs>
          <w:tab w:leader="none" w:pos="720" w:val="left"/>
          <w:tab w:leader="none" w:pos="300" w:val="left"/>
        </w:tabs>
        <w:rPr>
          <w:sz w:val="20"/>
          <w:szCs w:val="20"/>
          <w:color w:val="auto"/>
        </w:rPr>
      </w:pPr>
      <w:r>
        <w:rPr>
          <w:rFonts w:ascii="Courier New" w:cs="Courier New" w:eastAsia="Courier New" w:hAnsi="Courier New"/>
          <w:sz w:val="18"/>
          <w:szCs w:val="18"/>
          <w:color w:val="auto"/>
        </w:rPr>
        <w:t>Yes ___</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_x_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On May 17, 2004, the Registrant announced that it has signed a foundry agreement with Vishay Siliconix for long-term production of semiconductors. A copy of the press release is attached hereto.</w:t>
      </w:r>
    </w:p>
    <w:p>
      <w:pPr>
        <w:spacing w:after="0" w:line="209" w:lineRule="exact"/>
        <w:rPr>
          <w:sz w:val="24"/>
          <w:szCs w:val="24"/>
          <w:color w:val="auto"/>
        </w:rPr>
      </w:pPr>
    </w:p>
    <w:p>
      <w:pPr>
        <w:jc w:val="both"/>
        <w:ind w:right="1779" w:firstLine="1159"/>
        <w:spacing w:after="0" w:line="235" w:lineRule="auto"/>
        <w:rPr>
          <w:sz w:val="20"/>
          <w:szCs w:val="20"/>
          <w:color w:val="auto"/>
        </w:rPr>
      </w:pPr>
      <w:r>
        <w:rPr>
          <w:rFonts w:ascii="Courier New" w:cs="Courier New" w:eastAsia="Courier New" w:hAnsi="Courier New"/>
          <w:sz w:val="18"/>
          <w:szCs w:val="18"/>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28,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Tamar Cohen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Tamar Cohen</w:t>
      </w:r>
    </w:p>
    <w:p>
      <w:pPr>
        <w:ind w:left="420"/>
        <w:spacing w:after="0" w:line="238" w:lineRule="auto"/>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right"/>
        <w:ind w:left="1380" w:right="3259"/>
        <w:spacing w:after="0" w:line="290" w:lineRule="auto"/>
        <w:rPr>
          <w:sz w:val="20"/>
          <w:szCs w:val="20"/>
          <w:color w:val="auto"/>
        </w:rPr>
      </w:pPr>
      <w:r>
        <w:rPr>
          <w:rFonts w:ascii="Courier New" w:cs="Courier New" w:eastAsia="Courier New" w:hAnsi="Courier New"/>
          <w:sz w:val="16"/>
          <w:szCs w:val="16"/>
          <w:color w:val="auto"/>
        </w:rPr>
        <w:t>VISHAY SILICONIX AND TOWER SEMICONDUCTOR SIGN FOUNDRY AGREEMENT FOR LONG-TERM PRODUCTION OF SEMICONDUCTORS</w:t>
      </w:r>
    </w:p>
    <w:p>
      <w:pPr>
        <w:spacing w:after="0" w:line="17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SANTA CLARA, California and MIGDAL HAEMEK, Israel - May 17, 2004 - Chip maker Siliconix Inc. (NASDAQ: SILI), an 80.4% subsidiary of Vishay Intertechnology, Inc. (NYSE: VSH), and Semiconductor wafer foundry Tower Semiconductor (NASDAQ: TSEM, TASE: TSEM) announced today that they have signed a definitive long term foundry agreement for semiconductor manufacturing.</w:t>
      </w:r>
    </w:p>
    <w:p>
      <w:pPr>
        <w:spacing w:after="0" w:line="209"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As previously announced, Siliconix will place with Tower orders valued at approximately $200 million for the purchase of semiconductor wafers to be manufactured in Tower's Fab 1 over a seven to ten year period. Approximately $53 million of that amount will be delivered over an initial three year period starting after the completion of the technology transfer. The first phase of technology transfer from Siliconix to Tower has started and is estimated to last approximately 12 months. Siliconix will advance to Tower $20 million to be used for the purchase of additional equipment required to satisfy Siliconix's orders, which will be credited towards the purchase price of the wafers.</w:t>
      </w:r>
    </w:p>
    <w:p>
      <w:pPr>
        <w:spacing w:after="0" w:line="184"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Dr. King Owyang, Siliconix CEO commented: "We at Siliconix were very impressed with Tower's technical capabilities and its experience in technology transfers. We are very pleased to add Tower to our strategic suppliers list, and confident this foundry deal will strengthen our competitive position in the market."</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Carmel Vernia, chairman and CEO of Tower noted: "It is a great achievement for Tower to become one of the major suppliers for a challenging and professional customer such as Siliconix. This $200 million deal should start generating revenues for Tower in 2005, and by 2007 we expect to ramp to substantial volume utilizing up to 50percent of our Fab 1 capacity."</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Dr. Felix Zandman, chairman of the board and CEO of Vishay added: "Vishay is extremely pleased with this agreement. We already have a very strong cluster of Vishay activities in Israel, and the addition of wafer manufacturing services for Vishay Siliconix by Tower will increase the synergies between our activities in Israel and will make our offerings even more competitive."</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closing of the agreement is subject to the approval of Tower's lending banks and the Israeli investment center.</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VISHAY SILICONIX</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Siliconix, an 80.4% subsidiary of Vishay Intertechnology, Inc., is a leading manufacturer of power MOSFETs, power ICs, analog switches, and multiplexers for computers, cell phones, fixed communications networks, automobiles, and other consumer and industrial electronic systems. With 2003 worldwide sales of $392.1 million, the Company's facilities include a Class 1 wafer fab dedicated to the manufacture of power products in Santa Clara, California, and an affiliated Class 1 wafer fab located in Itzehoe, Germany. The Company's products are also fabricated by subcontractors in Japan, Germany, China, Taiwan, and the United States. Assembly and test facilities include a company-owned facility in Taiwan, a joint venture in Shanghai, China, and subcontractors in the Philippines, China, Taiwan, and Israel.</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16,000 150mm wafers per month. Fab 2 features 0.18-micron and below process technologies, including foundry-standard technology. When complete, Fab 2 is expected to offer full production capacity of 33,000 200mm wafers per month. The Tower Web site is located at www.towersemi.com.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VISHAY INTERTECHNOLOGY, INC.</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Vishay, a Fortune 1,000 Company listed on the NYSE, is one of the world's largest manufacturers of discrete semiconductors (diodes, rectifiers, transistors, and optoelectronics), selected ICs, and passive electronic components (resistors, capacitors, inductors, and transducers). The Company's components can be found in products manufactured in a very broad range of industries worldwide. Vishay is headquartered in Malvern, Pennsylvania, and has plants in 17 countries employing over 26,000 people. Vishay can be found on the Internet at www.vishay.com.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these forward-looking statements. Potential risks and uncertainties include, without limitation, those associated with (i) obtaining the approval of the Israeli Investment Center and any other approvals required for the transaction;</w:t>
      </w:r>
    </w:p>
    <w:p>
      <w:pPr>
        <w:spacing w:after="0" w:line="1" w:lineRule="exact"/>
        <w:rPr>
          <w:sz w:val="20"/>
          <w:szCs w:val="20"/>
          <w:color w:val="auto"/>
        </w:rPr>
      </w:pPr>
    </w:p>
    <w:p>
      <w:pPr>
        <w:jc w:val="both"/>
        <w:ind w:right="177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satisfaction of any conditions to effectiveness contained in the definitive documentation; (iii) any difficulties encountered in adaptation of Tower's production facilities, technologies and processes to accommodate the Siliconix orders, which may affect the timing and quality of production; and</w:t>
      </w:r>
    </w:p>
    <w:p>
      <w:pPr>
        <w:spacing w:after="0" w:line="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in the market for discrete  semiconductor products generally and</w:t>
      </w:r>
    </w:p>
    <w:p>
      <w:pPr>
        <w:sectPr>
          <w:pgSz w:w="11900" w:h="16838" w:orient="portrait"/>
          <w:cols w:equalWidth="0" w:num="1">
            <w:col w:w="10219"/>
          </w:cols>
          <w:pgMar w:left="240" w:top="717" w:right="1440" w:bottom="1440" w:gutter="0" w:footer="0" w:header="0"/>
        </w:sectPr>
      </w:pPr>
    </w:p>
    <w:bookmarkStart w:id="4" w:name="page5"/>
    <w:bookmarkEnd w:id="4"/>
    <w:p>
      <w:pPr>
        <w:jc w:val="both"/>
        <w:ind w:right="1779"/>
        <w:spacing w:after="0" w:line="279" w:lineRule="auto"/>
        <w:rPr>
          <w:sz w:val="20"/>
          <w:szCs w:val="20"/>
          <w:color w:val="auto"/>
        </w:rPr>
      </w:pPr>
      <w:r>
        <w:rPr>
          <w:rFonts w:ascii="Courier New" w:cs="Courier New" w:eastAsia="Courier New" w:hAnsi="Courier New"/>
          <w:sz w:val="16"/>
          <w:szCs w:val="16"/>
          <w:color w:val="auto"/>
        </w:rPr>
        <w:t>general economic and business conditions affecting each of Tower and Siliconix, as a result of which the amount of the orders under the definitive transaction documentation and the timing of their delivery may vary from those anticipated.</w:t>
      </w:r>
    </w:p>
    <w:p>
      <w:pPr>
        <w:spacing w:after="0" w:line="17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affecting the businesses of Tower and Siliconix generally is included in Tower's most recent Annual Report on Form 20-F under the heading "Risk Factors" and in Siliconix's most recent Annual Report on Form 10-K, which have been filed with the Securities and Exchange Commission, and in Tower's filings with the Israel Securities Authority.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VISHAY SILICONIX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Minh Nguyen</w:t>
      </w:r>
    </w:p>
    <w:p>
      <w:pPr>
        <w:spacing w:after="0" w:line="238" w:lineRule="auto"/>
        <w:rPr>
          <w:sz w:val="20"/>
          <w:szCs w:val="20"/>
          <w:color w:val="auto"/>
        </w:rPr>
      </w:pPr>
      <w:r>
        <w:rPr>
          <w:rFonts w:ascii="Courier New" w:cs="Courier New" w:eastAsia="Courier New" w:hAnsi="Courier New"/>
          <w:sz w:val="18"/>
          <w:szCs w:val="18"/>
          <w:color w:val="auto"/>
        </w:rPr>
        <w:t>Siliconix incorporated</w:t>
      </w:r>
    </w:p>
    <w:p>
      <w:pPr>
        <w:spacing w:after="0"/>
        <w:rPr>
          <w:sz w:val="20"/>
          <w:szCs w:val="20"/>
          <w:color w:val="auto"/>
        </w:rPr>
      </w:pPr>
      <w:r>
        <w:rPr>
          <w:rFonts w:ascii="Courier New" w:cs="Courier New" w:eastAsia="Courier New" w:hAnsi="Courier New"/>
          <w:sz w:val="18"/>
          <w:szCs w:val="18"/>
          <w:color w:val="auto"/>
        </w:rPr>
        <w:t>+1 (408) 567-8345</w:t>
      </w:r>
    </w:p>
    <w:p>
      <w:pPr>
        <w:spacing w:after="0" w:line="237" w:lineRule="auto"/>
        <w:rPr>
          <w:sz w:val="20"/>
          <w:szCs w:val="20"/>
          <w:color w:val="auto"/>
        </w:rPr>
      </w:pPr>
      <w:r>
        <w:rPr>
          <w:rFonts w:ascii="Courier New" w:cs="Courier New" w:eastAsia="Courier New" w:hAnsi="Courier New"/>
          <w:sz w:val="18"/>
          <w:szCs w:val="18"/>
          <w:color w:val="auto"/>
        </w:rPr>
        <w:t>minh.nguyen@vishay.com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rPr>
              <w:t>TOWER CONTACTS:</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rPr>
              <w:t>PR Agency Contact</w:t>
            </w:r>
          </w:p>
        </w:tc>
        <w:tc>
          <w:tcPr>
            <w:tcW w:w="326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Investor Relations Contact</w:t>
            </w:r>
          </w:p>
        </w:tc>
        <w:tc>
          <w:tcPr>
            <w:tcW w:w="270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Julie Lass</w:t>
            </w:r>
          </w:p>
        </w:tc>
        <w:tc>
          <w:tcPr>
            <w:tcW w:w="1160" w:type="dxa"/>
            <w:vAlign w:val="bottom"/>
          </w:tcPr>
          <w:p>
            <w:pPr>
              <w:spacing w:after="0"/>
              <w:rPr>
                <w:sz w:val="17"/>
                <w:szCs w:val="17"/>
                <w:color w:val="auto"/>
              </w:rPr>
            </w:pPr>
          </w:p>
        </w:tc>
        <w:tc>
          <w:tcPr>
            <w:tcW w:w="164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Sheldon Lutch</w:t>
            </w:r>
          </w:p>
        </w:tc>
        <w:tc>
          <w:tcPr>
            <w:tcW w:w="1620" w:type="dxa"/>
            <w:vAlign w:val="bottom"/>
          </w:tcPr>
          <w:p>
            <w:pPr>
              <w:spacing w:after="0"/>
              <w:rPr>
                <w:sz w:val="17"/>
                <w:szCs w:val="17"/>
                <w:color w:val="auto"/>
              </w:rPr>
            </w:pPr>
          </w:p>
        </w:tc>
        <w:tc>
          <w:tcPr>
            <w:tcW w:w="27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Michael Axelrod</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Loomis Group</w:t>
            </w:r>
          </w:p>
        </w:tc>
        <w:tc>
          <w:tcPr>
            <w:tcW w:w="1160" w:type="dxa"/>
            <w:vAlign w:val="bottom"/>
          </w:tcPr>
          <w:p>
            <w:pPr>
              <w:spacing w:after="0"/>
              <w:rPr>
                <w:sz w:val="17"/>
                <w:szCs w:val="17"/>
                <w:color w:val="auto"/>
              </w:rPr>
            </w:pPr>
          </w:p>
        </w:tc>
        <w:tc>
          <w:tcPr>
            <w:tcW w:w="32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Fusion IR &amp; Communications</w:t>
            </w:r>
          </w:p>
        </w:tc>
        <w:tc>
          <w:tcPr>
            <w:tcW w:w="27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6"/>
              </w:rPr>
              <w:t>Tower Semiconductor USA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 (713)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w:t>
            </w: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3737</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(212)</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w:t>
            </w:r>
          </w:p>
        </w:tc>
        <w:tc>
          <w:tcPr>
            <w:tcW w:w="162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2"/>
              </w:rPr>
              <w:t>1816</w:t>
            </w:r>
          </w:p>
        </w:tc>
        <w:tc>
          <w:tcPr>
            <w:tcW w:w="1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+1 (408)</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330 6871</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2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7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pr@towersemi.com</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VISHAY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N. Grubb</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320"/>
        <w:spacing w:after="0"/>
        <w:rPr>
          <w:sz w:val="20"/>
          <w:szCs w:val="20"/>
          <w:color w:val="auto"/>
        </w:rPr>
      </w:pPr>
      <w:r>
        <w:rPr>
          <w:rFonts w:ascii="Courier New" w:cs="Courier New" w:eastAsia="Courier New" w:hAnsi="Courier New"/>
          <w:sz w:val="18"/>
          <w:szCs w:val="18"/>
          <w:color w:val="auto"/>
        </w:rPr>
        <w:t>and Chief Financial Officer</w:t>
      </w:r>
    </w:p>
    <w:p>
      <w:pPr>
        <w:spacing w:after="0" w:line="237" w:lineRule="auto"/>
        <w:rPr>
          <w:sz w:val="20"/>
          <w:szCs w:val="20"/>
          <w:color w:val="auto"/>
        </w:rPr>
      </w:pPr>
      <w:r>
        <w:rPr>
          <w:rFonts w:ascii="Courier New" w:cs="Courier New" w:eastAsia="Courier New" w:hAnsi="Courier New"/>
          <w:sz w:val="18"/>
          <w:szCs w:val="18"/>
          <w:color w:val="auto"/>
        </w:rPr>
        <w:t>Robert A. Freece, Executive Vice President</w:t>
      </w:r>
    </w:p>
    <w:p>
      <w:pPr>
        <w:spacing w:after="0" w:line="238" w:lineRule="auto"/>
        <w:rPr>
          <w:sz w:val="20"/>
          <w:szCs w:val="20"/>
          <w:color w:val="auto"/>
        </w:rPr>
      </w:pPr>
      <w:r>
        <w:rPr>
          <w:rFonts w:ascii="Courier New" w:cs="Courier New" w:eastAsia="Courier New" w:hAnsi="Courier New"/>
          <w:sz w:val="18"/>
          <w:szCs w:val="18"/>
          <w:color w:val="auto"/>
        </w:rPr>
        <w:t>Vishay Intertechnology, Inc.</w:t>
      </w:r>
    </w:p>
    <w:p>
      <w:pPr>
        <w:spacing w:after="0"/>
        <w:rPr>
          <w:sz w:val="20"/>
          <w:szCs w:val="20"/>
          <w:color w:val="auto"/>
        </w:rPr>
      </w:pPr>
      <w:r>
        <w:rPr>
          <w:rFonts w:ascii="Courier New" w:cs="Courier New" w:eastAsia="Courier New" w:hAnsi="Courier New"/>
          <w:sz w:val="18"/>
          <w:szCs w:val="18"/>
          <w:color w:val="auto"/>
        </w:rPr>
        <w:t>+1 (610) 644-1300</w:t>
      </w:r>
    </w:p>
    <w:p>
      <w:pPr>
        <w:spacing w:after="0" w:line="237" w:lineRule="auto"/>
        <w:rPr>
          <w:sz w:val="20"/>
          <w:szCs w:val="20"/>
          <w:color w:val="auto"/>
        </w:rPr>
      </w:pPr>
      <w:r>
        <w:rPr>
          <w:rFonts w:ascii="Courier New" w:cs="Courier New" w:eastAsia="Courier New" w:hAnsi="Courier New"/>
          <w:sz w:val="18"/>
          <w:szCs w:val="18"/>
          <w:color w:val="auto"/>
        </w:rPr>
        <w:t>dick.grubb@vishay.com</w:t>
      </w:r>
    </w:p>
    <w:p>
      <w:pPr>
        <w:spacing w:after="0"/>
        <w:rPr>
          <w:sz w:val="20"/>
          <w:szCs w:val="20"/>
          <w:color w:val="auto"/>
        </w:rPr>
      </w:pPr>
      <w:r>
        <w:rPr>
          <w:rFonts w:ascii="Courier New" w:cs="Courier New" w:eastAsia="Courier New" w:hAnsi="Courier New"/>
          <w:sz w:val="18"/>
          <w:szCs w:val="18"/>
          <w:color w:val="auto"/>
        </w:rPr>
        <w:t>bob.freece@vishay.com</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2"/>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2019-12-14T04:15:27Z</dcterms:created>
  <dcterms:modified xsi:type="dcterms:W3CDTF">2019-12-14T04:15:27Z</dcterms:modified>
</cp:coreProperties>
</file>