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4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480"/>
        <w:spacing w:after="0"/>
        <w:rPr>
          <w:sz w:val="20"/>
          <w:szCs w:val="20"/>
          <w:color w:val="auto"/>
        </w:rPr>
      </w:pPr>
      <w:r>
        <w:rPr>
          <w:rFonts w:ascii="Arial" w:cs="Arial" w:eastAsia="Arial" w:hAnsi="Arial"/>
          <w:sz w:val="25"/>
          <w:szCs w:val="25"/>
          <w:b w:val="1"/>
          <w:bCs w:val="1"/>
          <w:color w:val="auto"/>
        </w:rPr>
        <w:t>FORM 6-K</w:t>
      </w:r>
    </w:p>
    <w:p>
      <w:pPr>
        <w:spacing w:after="0" w:line="244"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8"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For the month of September 2023 No.3</w:t>
      </w:r>
    </w:p>
    <w:p>
      <w:pPr>
        <w:spacing w:after="0" w:line="23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0-24790</w:t>
      </w:r>
    </w:p>
    <w:p>
      <w:pPr>
        <w:spacing w:after="0" w:line="234" w:lineRule="exact"/>
        <w:rPr>
          <w:sz w:val="24"/>
          <w:szCs w:val="24"/>
          <w:color w:val="auto"/>
        </w:rPr>
      </w:pPr>
    </w:p>
    <w:p>
      <w:pPr>
        <w:jc w:val="center"/>
        <w:ind w:right="-480"/>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(Translation of registrant's name into English)</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7" w:lineRule="exact"/>
        <w:rPr>
          <w:sz w:val="24"/>
          <w:szCs w:val="24"/>
          <w:color w:val="auto"/>
        </w:rPr>
      </w:pPr>
    </w:p>
    <w:p>
      <w:pPr>
        <w:ind w:left="3620"/>
        <w:spacing w:after="0" w:line="207" w:lineRule="exact"/>
        <w:tabs>
          <w:tab w:leader="none" w:pos="53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846" w:right="1440" w:bottom="1440" w:gutter="0" w:footer="0" w:header="0"/>
        </w:sectPr>
      </w:pPr>
    </w:p>
    <w:bookmarkStart w:id="1" w:name="page2"/>
    <w:bookmarkEnd w:id="1"/>
    <w:p>
      <w:pPr>
        <w:jc w:val="center"/>
        <w:ind w:left="1100" w:right="1119"/>
        <w:spacing w:after="0" w:line="269" w:lineRule="auto"/>
        <w:rPr>
          <w:sz w:val="20"/>
          <w:szCs w:val="20"/>
          <w:color w:val="auto"/>
        </w:rPr>
      </w:pPr>
      <w:r>
        <w:rPr>
          <w:rFonts w:ascii="Arial" w:cs="Arial" w:eastAsia="Arial" w:hAnsi="Arial"/>
          <w:sz w:val="22"/>
          <w:szCs w:val="22"/>
          <w:b w:val="1"/>
          <w:bCs w:val="1"/>
          <w:color w:val="auto"/>
        </w:rPr>
        <w:t>On September 11, 2023, the Registrant announced Tower Semiconductor and Fortsense Introduce a Co-Developed Highly Advanced 3D Imager for LiDAR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240030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63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September 11, 2023</w:t>
      </w:r>
      <w:r>
        <w:rPr>
          <w:sz w:val="20"/>
          <w:szCs w:val="20"/>
          <w:color w:val="auto"/>
        </w:rPr>
        <w:tab/>
      </w: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Nati Somekh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Nati Somekh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351" w:right="659" w:bottom="1440" w:gutter="0" w:footer="0" w:header="0"/>
        </w:sectPr>
      </w:pPr>
    </w:p>
    <w:bookmarkStart w:id="3" w:name="page4"/>
    <w:bookmarkEnd w:id="3"/>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771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97000" cy="771525"/>
                    </a:xfrm>
                    <a:prstGeom prst="rect">
                      <a:avLst/>
                    </a:prstGeom>
                    <a:noFill/>
                  </pic:spPr>
                </pic:pic>
              </a:graphicData>
            </a:graphic>
          </wp:anchor>
        </w:drawing>
        <w:drawing>
          <wp:anchor simplePos="0" relativeHeight="251657728" behindDoc="1" locked="0" layoutInCell="0" allowOverlap="1">
            <wp:simplePos x="0" y="0"/>
            <wp:positionH relativeFrom="page">
              <wp:posOffset>5771515</wp:posOffset>
            </wp:positionH>
            <wp:positionV relativeFrom="page">
              <wp:posOffset>372110</wp:posOffset>
            </wp:positionV>
            <wp:extent cx="156845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68450" cy="2057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color w:val="auto"/>
        </w:rPr>
        <w:t>Tower Semiconductor and Fortsense Introduce a Co-Developed Highly Advanced 3D Imager for LiDAR Applications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Based on Tower’s advanced 65nm Stacked BSI CIS platform with hybrid bonding for advanced ToF (Time-of-Flight)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Global Shutter sensors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Providing state-of-the-art imaging solutions addressing the consumer, industrial and automotive market needs</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MIGDAL HAEMEK, Israel, and SHENZHEN, China Sept. 11, 2023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Tower Semiconductor (NASDAQ/TASE: TSEM)</w:t>
      </w:r>
      <w:r>
        <w:rPr>
          <w:rFonts w:ascii="Arial" w:cs="Arial" w:eastAsia="Arial" w:hAnsi="Arial"/>
          <w:sz w:val="18"/>
          <w:szCs w:val="18"/>
          <w:color w:val="auto"/>
        </w:rPr>
        <w:t>, the leader in high-value</w:t>
      </w:r>
      <w:r>
        <w:rPr>
          <w:rFonts w:ascii="Arial" w:cs="Arial" w:eastAsia="Arial" w:hAnsi="Arial"/>
          <w:sz w:val="18"/>
          <w:szCs w:val="18"/>
          <w:b w:val="1"/>
          <w:bCs w:val="1"/>
          <w:color w:val="auto"/>
        </w:rPr>
        <w:t xml:space="preserve"> </w:t>
      </w:r>
      <w:r>
        <w:rPr>
          <w:rFonts w:ascii="Arial" w:cs="Arial" w:eastAsia="Arial" w:hAnsi="Arial"/>
          <w:sz w:val="18"/>
          <w:szCs w:val="18"/>
          <w:color w:val="auto"/>
        </w:rPr>
        <w:t>analog semiconductor foundry solutions, and Fortsense, a leader in LiDAR SPAD technology solutions and ICs, today announced the successful development of an advanced 3D imager for LiDAR application based on dToF technology. The newly developed product, FL6031, is based on Tower’s 65nm Stacked BSI CIS platform with pixel level hybrid bonding and is the first in a series of products designed to address the needs of numerous depth sensing applications in the automotive, consumer, and industrial markets among others. According to Yole Group, the 3D imaging, sensors, and systems market is expected to grow at 13% CAGR reaching a $17B by 2028.</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Tower’s advanced 65nm Stacked BSI CIS platform with its unique pixel level hybrid bonding between a SPAD (Single Photon Avalanche Diode) array and high performing logic enables strategic advantages including high-speed in-chip data processing and small die size which are both essential for high resolution dToF (direct Time-of-Flight) sensors. These features, combined with Tower’s extensive capabilities in pixel design and customization, enable the development of Fortsense’ new product series targeting applications that require adequate distance measurement and depth mapping for fast camera auto focus, 3D scanning, and LiDAR.</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have chosen Tower as our strategic partner for the development of our 3D imager dToF products based on its versatile and proficient CIS platform offering,” said Michael Mo, Fortsense CEO. “The collaborative work of expert teams from both companies, combined with Tower’s vast experience in the field of imaging, yielded several successful developments over the past years. We are excited to extend our collaboration and bring to market new, advanced 3D sensing solutions that address the growing needs of strategic markets.”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collaboration with Fortsense on the development of an optimized 3D imager based on dToF sensor technology is a statement of both parties commitment to drive innovation and deliver exceptional sensors to the 3D imaging market,“ said Dr. Avi Strum, Senior Vice President and General Manager of Sensors and Displays Business Unit, Tower Semiconductor. “We look forward to continuing our joint efforts in the development of additional products in this series, delivering advanced solutions driving mutual growth and success.”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Tower’s CMOS Image Sensor technology offerings, please visit here.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Fortsense technology and products, please visit here.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w:t>
      </w:r>
    </w:p>
    <w:p>
      <w:pPr>
        <w:spacing w:after="0" w:line="2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51% holdings in TPSCo and is sharing a 300mm manufacturing facility being established in Italy with ST. For more information, please visit: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www.towersemi.com</w:t>
      </w: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Fortsense</w:t>
      </w:r>
    </w:p>
    <w:p>
      <w:pPr>
        <w:spacing w:after="0" w:line="2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SHENZHEN FORTSENSE CO, LTD , an integrated circuit design company, a national specialization and special new "little giant" enterprise, a national high-tech enterprise, Guangdong Human-Computer Interaction Sensor Engineering Technology Research Center, and the second prize of the Guangdong Science and Technology Progress Award. The unit focuses on the R&amp;D and design of smart sensors and processor chips and the development of supporting algorithms, and is committed to promoting the intelligent upgrade of human-computer interaction technology. Relying on the keen market judgment of the integrated circuit industry, the industry's top chip design and R&amp;D capabilities, the team independently develops chips with broad market prospects and realizable commercial value, customizes chips for first-line brand manufacturers, and conducts debugging, testing, and algorithm verification. We provide high-quality one-stop service to after-sales support. Widely used in automotive, consumer electronics, industrial and other application fields, serving world-renowned manufacturers.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 Semiconductor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 Semiconductor Investor Relations Contact: </w:t>
      </w:r>
      <w:r>
        <w:rPr>
          <w:rFonts w:ascii="Arial" w:cs="Arial" w:eastAsia="Arial" w:hAnsi="Arial"/>
          <w:sz w:val="18"/>
          <w:szCs w:val="18"/>
          <w:color w:val="auto"/>
        </w:rPr>
        <w:t>Noit Levy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64"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2023-09-11T05:19:34Z</dcterms:created>
  <dcterms:modified xsi:type="dcterms:W3CDTF">2023-09-11T05:19:34Z</dcterms:modified>
</cp:coreProperties>
</file>