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month of February 2004 (No. 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ind w:left="1760"/>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341"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2, 2004, we released our financial statements for the fiscal year ended December 31, 2003. Our consolidated financial statements as of December 31, 2003 and 2002 and for the years ended December 31, 2003, 2002 and 2001, and the report thereon dated February 2, 2004 of our independent auditors Brightman Almagor &amp; Co., are included in this report on Form 6-K.</w:t>
      </w:r>
    </w:p>
    <w:p>
      <w:pPr>
        <w:spacing w:after="0" w:line="174"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consent of Brightman Almagor &amp; Co. to the incorporation by reference of their report dated February 2, 2004 into effective registration statements previously filed by us under the Securities Act of 1933, is attached as Exhibit 23.1 to this Report.</w:t>
      </w:r>
    </w:p>
    <w:p>
      <w:pPr>
        <w:spacing w:after="0" w:line="175" w:lineRule="exact"/>
        <w:rPr>
          <w:sz w:val="24"/>
          <w:szCs w:val="24"/>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This Report on Form 6-K is being incorporated by reference into all effective registration statements filed by us under the Securities Act of 1933.</w:t>
      </w:r>
    </w:p>
    <w:p>
      <w:pPr>
        <w:sectPr>
          <w:pgSz w:w="11900" w:h="16838" w:orient="portrait"/>
          <w:cols w:equalWidth="0" w:num="1">
            <w:col w:w="10239"/>
          </w:cols>
          <w:pgMar w:left="220" w:top="225" w:right="1440" w:bottom="1440" w:gutter="0" w:footer="0" w:header="0"/>
        </w:sectPr>
      </w:pPr>
    </w:p>
    <w:bookmarkStart w:id="1" w:name="page2"/>
    <w:bookmarkEnd w:id="1"/>
    <w:p>
      <w:pPr>
        <w:jc w:val="center"/>
        <w:ind w:right="4459"/>
        <w:spacing w:after="0"/>
        <w:rPr>
          <w:sz w:val="20"/>
          <w:szCs w:val="20"/>
          <w:color w:val="auto"/>
        </w:rPr>
      </w:pPr>
      <w:r>
        <w:rPr>
          <w:rFonts w:ascii="Courier New" w:cs="Courier New" w:eastAsia="Courier New" w:hAnsi="Courier New"/>
          <w:sz w:val="15"/>
          <w:szCs w:val="15"/>
          <w:color w:val="auto"/>
        </w:rPr>
        <w:t>TOWER SEMICONDUCTOR LTD.</w:t>
      </w:r>
    </w:p>
    <w:p>
      <w:pPr>
        <w:jc w:val="center"/>
        <w:ind w:right="4459"/>
        <w:spacing w:after="0" w:line="237" w:lineRule="auto"/>
        <w:rPr>
          <w:sz w:val="20"/>
          <w:szCs w:val="20"/>
          <w:color w:val="auto"/>
        </w:rPr>
      </w:pPr>
      <w:r>
        <w:rPr>
          <w:rFonts w:ascii="Courier New" w:cs="Courier New" w:eastAsia="Courier New" w:hAnsi="Courier New"/>
          <w:sz w:val="15"/>
          <w:szCs w:val="15"/>
          <w:color w:val="auto"/>
        </w:rPr>
        <w:t>AND SUBSIDIARY</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AS OF DECEMBER 31, 2003</w:t>
      </w:r>
    </w:p>
    <w:p>
      <w:pPr>
        <w:sectPr>
          <w:pgSz w:w="11900" w:h="16838" w:orient="portrait"/>
          <w:cols w:equalWidth="0" w:num="1">
            <w:col w:w="9019"/>
          </w:cols>
          <w:pgMar w:left="1440" w:top="953" w:right="1440" w:bottom="1440" w:gutter="0" w:footer="0" w:header="0"/>
        </w:sectPr>
      </w:pPr>
    </w:p>
    <w:bookmarkStart w:id="2" w:name="page3"/>
    <w:bookmarkEnd w:id="2"/>
    <w:p>
      <w:pPr>
        <w:ind w:left="10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7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bl>
    <w:p>
      <w:pPr>
        <w:sectPr>
          <w:pgSz w:w="11900" w:h="16838" w:orient="portrait"/>
          <w:cols w:equalWidth="0" w:num="1">
            <w:col w:w="9439"/>
          </w:cols>
          <w:pgMar w:left="1020" w:top="617"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5"/>
          <w:szCs w:val="15"/>
          <w:color w:val="auto"/>
        </w:rPr>
        <w:t>INDEPENDENT AUDITORS' REPORT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THE SHAREHOLDERS 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TOWER SEMICONDUCTOR LTD.</w:t>
      </w:r>
    </w:p>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Tower Semiconductor Ltd. (the "Company") and subsidiary as of December 31, 2003 and 2002, and the related consolidated statements of operations, changes in shareholders' equity and cash flows for each of the three years in the period ended December 31, 2003. These financial statements are the responsibility of the Company's Board of Directors and management. Our responsibility is to express an opinion on these financial statements based on our audits.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consolidated financial position of the Company and subsidiary as of December 31, 2003 and 2002, and the consolidated results of their operations, changes in shareholders' equity and cash flows for each of the three years in the period ended December 31, 2003, in accordance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dates and for the years presented is summarized in Note 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February 2, 2004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785" w:right="1440" w:bottom="1440" w:gutter="0" w:footer="0" w:header="0"/>
        </w:sectPr>
      </w:pPr>
    </w:p>
    <w:bookmarkStart w:id="4" w:name="page5"/>
    <w:bookmarkEnd w:id="4"/>
    <w:p>
      <w:pPr>
        <w:jc w:val="center"/>
        <w:ind w:right="38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18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6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6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NOTE</w:t>
            </w:r>
          </w:p>
        </w:tc>
        <w:tc>
          <w:tcPr>
            <w:tcW w:w="52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18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44,042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51,338</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$0 AND $155, RESPECTIVELY)</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11,631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11,073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19,382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100,305</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110,081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11,893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568,412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493,074</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 NET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108,770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95,213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788,335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716,261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61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8</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40,249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9</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9,564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49,813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88,154</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431,000</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25,783</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24,121</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5,935</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5,406</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46,347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558,878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417,927</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150,000,000 AND 70,000,000 SHARES, RESPECTIVELY;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52,996,097 AND 44,735,532 SHARES, RESPECTIVELY</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13A, 14</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13,150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427,881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400,808</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16,428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(218,904)</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(104,643)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238,529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307,406</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14C</w:t>
            </w: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229,457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788,335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716,261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940"/>
          </w:cols>
          <w:pgMar w:left="220" w:top="617" w:right="739" w:bottom="1440" w:gutter="0" w:footer="0" w:header="0"/>
        </w:sectPr>
      </w:pPr>
    </w:p>
    <w:bookmarkStart w:id="5" w:name="page6"/>
    <w:bookmarkEnd w:id="5"/>
    <w:p>
      <w:pPr>
        <w:jc w:val="center"/>
        <w:ind w:right="402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0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Note</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680" w:type="dxa"/>
            <w:vAlign w:val="bottom"/>
          </w:tcPr>
          <w:p>
            <w:pPr>
              <w:spacing w:after="0"/>
              <w:rPr>
                <w:sz w:val="14"/>
                <w:szCs w:val="14"/>
                <w:color w:val="auto"/>
              </w:rPr>
            </w:pPr>
          </w:p>
        </w:tc>
        <w:tc>
          <w:tcPr>
            <w:tcW w:w="202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20" w:type="dxa"/>
            <w:vAlign w:val="bottom"/>
          </w:tcPr>
          <w:p>
            <w:pPr>
              <w:ind w:left="1020"/>
              <w:spacing w:after="0"/>
              <w:rPr>
                <w:sz w:val="20"/>
                <w:szCs w:val="20"/>
                <w:color w:val="auto"/>
              </w:rPr>
            </w:pPr>
            <w:r>
              <w:rPr>
                <w:rFonts w:ascii="Courier New" w:cs="Courier New" w:eastAsia="Courier New" w:hAnsi="Courier New"/>
                <w:sz w:val="15"/>
                <w:szCs w:val="15"/>
                <w:color w:val="auto"/>
              </w:rPr>
              <w:t>13D, 15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61,368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51,801</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52,372</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020" w:type="dxa"/>
            <w:vAlign w:val="bottom"/>
          </w:tcPr>
          <w:p>
            <w:pPr>
              <w:ind w:left="1100"/>
              <w:spacing w:after="0"/>
              <w:rPr>
                <w:sz w:val="20"/>
                <w:szCs w:val="20"/>
                <w:color w:val="auto"/>
              </w:rPr>
            </w:pPr>
            <w:r>
              <w:rPr>
                <w:rFonts w:ascii="Courier New" w:cs="Courier New" w:eastAsia="Courier New" w:hAnsi="Courier New"/>
                <w:sz w:val="15"/>
                <w:szCs w:val="15"/>
                <w:color w:val="auto"/>
              </w:rPr>
              <w:t>6A(4)</w:t>
            </w:r>
          </w:p>
        </w:tc>
        <w:tc>
          <w:tcPr>
            <w:tcW w:w="6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122,395</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67,022</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76,733</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GROSS LOSS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(61,027)</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(15,221)</w:t>
            </w: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(24,361)</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20,709</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17,031</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9,556</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22,615</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17,091</w:t>
            </w:r>
          </w:p>
        </w:tc>
        <w:tc>
          <w:tcPr>
            <w:tcW w:w="3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14,489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43,324</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34,122</w:t>
            </w:r>
          </w:p>
        </w:tc>
        <w:tc>
          <w:tcPr>
            <w:tcW w:w="3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24,045</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LOSS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(104,351)</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(49,343)</w:t>
            </w: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(48,406)</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(9,826)</w:t>
            </w:r>
          </w:p>
        </w:tc>
        <w:tc>
          <w:tcPr>
            <w:tcW w:w="38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(2,104)</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1,465</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020" w:type="dxa"/>
            <w:vAlign w:val="bottom"/>
          </w:tcPr>
          <w:p>
            <w:pPr>
              <w:ind w:left="1100"/>
              <w:spacing w:after="0"/>
              <w:rPr>
                <w:sz w:val="20"/>
                <w:szCs w:val="20"/>
                <w:color w:val="auto"/>
              </w:rPr>
            </w:pPr>
            <w:r>
              <w:rPr>
                <w:rFonts w:ascii="Courier New" w:cs="Courier New" w:eastAsia="Courier New" w:hAnsi="Courier New"/>
                <w:sz w:val="15"/>
                <w:szCs w:val="15"/>
                <w:color w:val="auto"/>
              </w:rPr>
              <w:t>5B, 5D</w:t>
            </w:r>
          </w:p>
        </w:tc>
        <w:tc>
          <w:tcPr>
            <w:tcW w:w="6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LOSS FOR THE YEAR</w:t>
            </w:r>
          </w:p>
        </w:tc>
        <w:tc>
          <w:tcPr>
            <w:tcW w:w="20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(114,261)</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202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20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(114,114)</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(38,459)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47,608</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31,523</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20,020</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1120"/>
          </w:cols>
          <w:pgMar w:left="220" w:top="617" w:right="559" w:bottom="1440" w:gutter="0" w:footer="0" w:header="0"/>
        </w:sectPr>
      </w:pPr>
    </w:p>
    <w:bookmarkStart w:id="6" w:name="page7"/>
    <w:bookmarkEnd w:id="6"/>
    <w:p>
      <w:pPr>
        <w:jc w:val="center"/>
        <w:ind w:right="4520"/>
        <w:spacing w:after="0"/>
        <w:rPr>
          <w:sz w:val="20"/>
          <w:szCs w:val="20"/>
          <w:color w:val="auto"/>
        </w:rPr>
      </w:pPr>
      <w:r>
        <w:rPr>
          <w:rFonts w:ascii="Courier New" w:cs="Courier New" w:eastAsia="Courier New" w:hAnsi="Courier New"/>
          <w:sz w:val="15"/>
          <w:szCs w:val="15"/>
          <w:color w:val="auto"/>
        </w:rPr>
        <w:t>TOWER SEMICONDUCTOR LTD.</w:t>
      </w:r>
    </w:p>
    <w:p>
      <w:pPr>
        <w:ind w:left="1580"/>
        <w:spacing w:after="0" w:line="237" w:lineRule="auto"/>
        <w:rPr>
          <w:sz w:val="20"/>
          <w:szCs w:val="20"/>
          <w:color w:val="auto"/>
        </w:rPr>
      </w:pPr>
      <w:r>
        <w:rPr>
          <w:rFonts w:ascii="Courier New" w:cs="Courier New" w:eastAsia="Courier New" w:hAnsi="Courier New"/>
          <w:sz w:val="15"/>
          <w:szCs w:val="15"/>
          <w:color w:val="auto"/>
        </w:rPr>
        <w:t>STATEMENTS OF CHANGES IN SHAREHOLDERS' EQUITY</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PROCEEDS</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PROCEEDS</w:t>
            </w:r>
          </w:p>
        </w:tc>
      </w:tr>
      <w:tr>
        <w:trPr>
          <w:trHeight w:val="168"/>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ADDITIONAL</w:t>
            </w:r>
          </w:p>
        </w:tc>
        <w:tc>
          <w:tcPr>
            <w:tcW w:w="5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ON</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ON ACCOUNT</w:t>
            </w:r>
          </w:p>
        </w:tc>
      </w:tr>
      <w:tr>
        <w:trPr>
          <w:trHeight w:val="168"/>
        </w:trPr>
        <w:tc>
          <w:tcPr>
            <w:tcW w:w="4520" w:type="dxa"/>
            <w:vAlign w:val="bottom"/>
          </w:tcPr>
          <w:p>
            <w:pPr>
              <w:spacing w:after="0"/>
              <w:rPr>
                <w:sz w:val="14"/>
                <w:szCs w:val="14"/>
                <w:color w:val="auto"/>
              </w:rPr>
            </w:pPr>
          </w:p>
        </w:tc>
        <w:tc>
          <w:tcPr>
            <w:tcW w:w="288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rPr>
              <w:t>ORDINARY SHARES</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PAID-IN</w:t>
            </w:r>
          </w:p>
        </w:tc>
        <w:tc>
          <w:tcPr>
            <w:tcW w:w="13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ACCOUNT OF</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OF SHARE</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CAPITAL</w:t>
            </w:r>
          </w:p>
        </w:tc>
        <w:tc>
          <w:tcPr>
            <w:tcW w:w="13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 WARRANT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2001</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13,562,606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144,538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9,990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11,930,675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2,850</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147,798</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772,667</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9,813</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(9,990)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31,154</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RESPECT OF NON-VESTED OPTIONS, NET</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5,466</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2001</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26,297,102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307,865</w:t>
            </w:r>
          </w:p>
        </w:tc>
        <w:tc>
          <w:tcPr>
            <w:tcW w:w="5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18,438,430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3,846</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92,943</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44,735,532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11,294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400,808</w:t>
            </w:r>
          </w:p>
        </w:tc>
        <w:tc>
          <w:tcPr>
            <w:tcW w:w="5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4,205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8,260,565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1,856</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22,723</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2003</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52,996,097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427,881</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16,428</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SHAREHOLDER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UNEARNED</w:t>
            </w:r>
          </w:p>
        </w:tc>
        <w:tc>
          <w:tcPr>
            <w:tcW w:w="1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ACCUMULATED</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TREASURY</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w:t>
            </w:r>
          </w:p>
        </w:tc>
        <w:tc>
          <w:tcPr>
            <w:tcW w:w="3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DEFICIT</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2001</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(493)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(14,719)</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134,648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150,648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CANCELLATION OF UNEARNED COMPENSATION</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RESPECT OF NON-VESTED OPTIONS, NET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(38,522)</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(195)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(53,241)</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252,805</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96,789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(51,402)</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(53)</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(104,643)</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(114,261)</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617" w:right="139" w:bottom="0" w:gutter="0" w:footer="0" w:header="0"/>
        </w:sectPr>
      </w:pPr>
    </w:p>
    <w:bookmarkStart w:id="7" w:name="page8"/>
    <w:bookmarkEnd w:id="7"/>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 DECEMBER 31, 2003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(26)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(218,904)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(9,072)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79"/>
        <w:spacing w:after="0" w:line="261" w:lineRule="auto"/>
        <w:rPr>
          <w:sz w:val="20"/>
          <w:szCs w:val="20"/>
          <w:color w:val="auto"/>
        </w:rPr>
      </w:pPr>
      <w:r>
        <w:rPr>
          <w:rFonts w:ascii="Courier New" w:cs="Courier New" w:eastAsia="Courier New" w:hAnsi="Courier New"/>
          <w:sz w:val="14"/>
          <w:szCs w:val="14"/>
          <w:color w:val="auto"/>
        </w:rPr>
        <w:t>$ 229,457 ============</w:t>
      </w:r>
    </w:p>
    <w:p>
      <w:pPr>
        <w:spacing w:after="0" w:line="200" w:lineRule="exact"/>
        <w:rPr>
          <w:sz w:val="20"/>
          <w:szCs w:val="20"/>
          <w:color w:val="auto"/>
        </w:rPr>
      </w:pPr>
    </w:p>
    <w:p>
      <w:pPr>
        <w:sectPr>
          <w:pgSz w:w="11900" w:h="16838" w:orient="portrait"/>
          <w:cols w:equalWidth="0" w:num="5">
            <w:col w:w="4100" w:space="720"/>
            <w:col w:w="620" w:space="600"/>
            <w:col w:w="1060" w:space="600"/>
            <w:col w:w="800" w:space="600"/>
            <w:col w:w="1139"/>
          </w:cols>
          <w:pgMar w:left="22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135" w:right="1440" w:bottom="1440" w:gutter="0" w:footer="0" w:header="0"/>
          <w:type w:val="continuous"/>
        </w:sectPr>
      </w:pPr>
    </w:p>
    <w:bookmarkStart w:id="8" w:name="page9"/>
    <w:bookmarkEnd w:id="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722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7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2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FOR THE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YEAR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54,611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18,821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21,721</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DEVALUATION OF CONVERTIBLE DEBENTURES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(8,419)</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8,602</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8,402</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4,686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(5,190)</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(66,779)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(28,403)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(13,651)</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29,336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(67,678)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4,259</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INVESTING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CASH, SHORT-TERM AND LONG-TERM INTEREST-BEARING</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 DESIGNATED FOR INVESTMENTS RELATING TO FAB 2</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14,341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(59,683)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(179,310)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(205,099)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(295,203)</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33,811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40,481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56,454</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(22,098)</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(32,098)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11,050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(142,534)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(258,977)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(264,715)</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FINANCING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ISSUANCE OF SHARES, NET</w:t>
            </w:r>
          </w:p>
        </w:tc>
        <w:tc>
          <w:tcPr>
            <w:tcW w:w="92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24,375</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96,751</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152,586</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AN EXERCISE OF A WARRANT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SHORT-TERM DEBT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(15,064)</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 NET IN CONNECTION WITH</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RE-BORROWING, NOTE 13A(6)</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187,000</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142,000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122,000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SECURITIES,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21,540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214,803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246,291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269,804</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9,348</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YEAR</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19,610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10,262</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 - END OF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7,857</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17,160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49,419</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9,990</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5,466</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4,304</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4,357</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YEAR FOR CAPITALIZED AND EXPENSED INTEREST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15,674</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11,594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3,143</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 INCOME TAXES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460"/>
          </w:cols>
          <w:pgMar w:left="220" w:top="617" w:right="219" w:bottom="180" w:gutter="0" w:footer="0" w:header="0"/>
        </w:sectPr>
      </w:pPr>
    </w:p>
    <w:bookmarkStart w:id="9" w:name="page10"/>
    <w:bookmarkEnd w:id="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BUSINESS AND GENERAL</w:t>
      </w:r>
    </w:p>
    <w:p>
      <w:pPr>
        <w:spacing w:after="0" w:line="166" w:lineRule="exact"/>
        <w:rPr>
          <w:sz w:val="20"/>
          <w:szCs w:val="20"/>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0.18 micron at its recently-constructed 200-millimeter fabrication facility ("Fab 2"). As a foundry, the Company manufactures wafers using its advanced technological capabilities and the proprietary integrated circuit designs of its customers.</w:t>
      </w:r>
    </w:p>
    <w:p>
      <w:pPr>
        <w:spacing w:after="0" w:line="179"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73"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Ordinary Shares are traded on the Nasdaq National Market and in the Tel-Aviv Stock Exchange.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completed public and rights offerings all in connection with Fab 2 to provide, as of the approval date of the financial statements, an aggregate of $1,220,000 of financing for Fab 2. For further details concerning the related agreements, which were amended several times, see Note 13A.</w:t>
      </w:r>
    </w:p>
    <w:p>
      <w:pPr>
        <w:spacing w:after="0" w:line="165"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During the third quarter of 2003, in which Fab 2 was substantially completed, the Company begun commercial production and shipment of wafers to its customers utilizing the 0.18 micron process technology. With the commencement of Fab 2 operations, the Company begun to depreciate and amortize Fab 2 assets, as well as to expense most of the direct costs related to the construction and equipping of Fab 2 and to the transfer of the Fab 2 technology that had been previously capitalized. For further details concerning the depreciation and amortization of Fab 2 assets, see Note 6A.</w:t>
      </w:r>
    </w:p>
    <w:p>
      <w:pPr>
        <w:spacing w:after="0" w:line="178" w:lineRule="exact"/>
        <w:rPr>
          <w:sz w:val="20"/>
          <w:szCs w:val="20"/>
          <w:color w:val="auto"/>
        </w:rPr>
      </w:pPr>
    </w:p>
    <w:p>
      <w:pPr>
        <w:ind w:left="880" w:right="3239"/>
        <w:spacing w:after="0" w:line="258" w:lineRule="auto"/>
        <w:rPr>
          <w:sz w:val="20"/>
          <w:szCs w:val="20"/>
          <w:color w:val="auto"/>
        </w:rPr>
      </w:pPr>
      <w:r>
        <w:rPr>
          <w:rFonts w:ascii="Courier New" w:cs="Courier New" w:eastAsia="Courier New" w:hAnsi="Courier New"/>
          <w:sz w:val="14"/>
          <w:szCs w:val="14"/>
          <w:color w:val="auto"/>
        </w:rPr>
        <w:t>The Fab 2 project is a complex undertaking which entails substantial risks and uncertainties. For further details concerning the Fab 2 project and related agreements, risks and uncertainties, see Note 13A.</w:t>
      </w:r>
    </w:p>
    <w:p>
      <w:pPr>
        <w:spacing w:after="0" w:line="155" w:lineRule="exact"/>
        <w:rPr>
          <w:sz w:val="20"/>
          <w:szCs w:val="20"/>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PREPARATION OF FINANCIAL STATEMENTS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85" w:right="1440" w:bottom="1440" w:gutter="0" w:footer="0" w:header="0"/>
        </w:sectPr>
      </w:pPr>
    </w:p>
    <w:bookmarkStart w:id="10" w:name="page11"/>
    <w:bookmarkEnd w:id="1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Company's consolidated financial statements are presented in accordance with generally accepted accounting principles ("GAAP") in Israel. See Note 20 for the reconciliation of material differences between GAAP in Israel and in the United States of America.</w:t>
      </w:r>
    </w:p>
    <w:p>
      <w:pPr>
        <w:spacing w:after="0" w:line="169"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include the financial statements of the Company and its wholly-owned marketing subsidiary in the United States, after elimination of material inter-company transactions and balances. The effect of the subsidiary's operations on the Company's revenues and total assets was immaterial for the dates and periods presented.</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consist of deposits in banks and short-term investments (primarily time deposits and certificates of deposit) with original maturities of three months or less.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 FOR DOUBTFUL ACCOUNTS</w:t>
      </w:r>
    </w:p>
    <w:p>
      <w:pPr>
        <w:spacing w:after="0" w:line="172" w:lineRule="exact"/>
        <w:rPr>
          <w:rFonts w:ascii="Courier New" w:cs="Courier New" w:eastAsia="Courier New" w:hAnsi="Courier New"/>
          <w:sz w:val="15"/>
          <w:szCs w:val="15"/>
          <w:color w:val="auto"/>
        </w:rPr>
      </w:pPr>
    </w:p>
    <w:p>
      <w:pPr>
        <w:ind w:left="880"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allowance for doubtful accounts is computed on the specific identification basis for accounts whose collectibility, in management's estimation, is uncertain.</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ind w:left="8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are stated at the lower of cost or market. Cost is determined for raw materials, spare parts and supplies on the basis of weighted moving average cost per unit. Cost is determined for work in process and finished goods on the basis of actual production costs.</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w:t>
      </w:r>
    </w:p>
    <w:p>
      <w:pPr>
        <w:spacing w:after="0" w:line="172"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 in other entities, over whose operating and financial policies the Company does not have the ability to exercise significant influence, are presented at cost.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2"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(whether performed by others or by the Company); and costs directly related to preproduction test runs of property and equipment that are necessary to get them ready for their intended use. Those costs include payroll and payroll-related costs of employees who devote time and are dedicated solely to the acquiring, constructing, establishing and installing property and equipment. Allocation, when appropriate, of capitalizable direct costs is based on management's estimates and methodologies including time sheet inputs.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617" w:right="1440" w:bottom="1440" w:gutter="0" w:footer="0" w:header="0"/>
        </w:sectPr>
      </w:pPr>
    </w:p>
    <w:bookmarkStart w:id="11" w:name="page12"/>
    <w:bookmarkEnd w:id="1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w:t>
      </w:r>
    </w:p>
    <w:p>
      <w:pPr>
        <w:spacing w:after="0" w:line="172" w:lineRule="exact"/>
        <w:rPr>
          <w:rFonts w:ascii="Courier New" w:cs="Courier New" w:eastAsia="Courier New" w:hAnsi="Courier New"/>
          <w:sz w:val="15"/>
          <w:szCs w:val="15"/>
          <w:color w:val="auto"/>
        </w:rPr>
      </w:pPr>
    </w:p>
    <w:p>
      <w:pPr>
        <w:ind w:left="132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w:t>
      </w:r>
    </w:p>
    <w:p>
      <w:pPr>
        <w:spacing w:after="0" w:line="163" w:lineRule="exact"/>
        <w:rPr>
          <w:sz w:val="20"/>
          <w:szCs w:val="20"/>
          <w:color w:val="auto"/>
        </w:rPr>
      </w:pPr>
    </w:p>
    <w:p>
      <w:pPr>
        <w:ind w:left="1320" w:right="3239"/>
        <w:spacing w:after="0" w:line="235" w:lineRule="auto"/>
        <w:rPr>
          <w:sz w:val="20"/>
          <w:szCs w:val="20"/>
          <w:color w:val="auto"/>
        </w:rPr>
      </w:pPr>
      <w:r>
        <w:rPr>
          <w:rFonts w:ascii="Courier New" w:cs="Courier New" w:eastAsia="Courier New" w:hAnsi="Courier New"/>
          <w:sz w:val="15"/>
          <w:szCs w:val="15"/>
          <w:color w:val="auto"/>
        </w:rPr>
        <w:t>Depreciation is calculated based on the straight-line method over the estimated economic lives of the assets or terms of the related leases,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4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4"/>
              </w:rPr>
              <w:t>14-25 years</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ind w:left="1320" w:right="3499" w:hanging="436"/>
        <w:spacing w:after="0" w:line="261" w:lineRule="auto"/>
        <w:tabs>
          <w:tab w:leader="none" w:pos="132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examinations and recognition are performed and determined based on the accounting policy outlined in P below.</w:t>
      </w:r>
    </w:p>
    <w:p>
      <w:pPr>
        <w:spacing w:after="0" w:line="32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Fab 2 technologies presented in other assets includes the technology process cost,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their intended use, and is based on the straight-line method over a four-year period.</w:t>
      </w:r>
    </w:p>
    <w:p>
      <w:pPr>
        <w:spacing w:after="0" w:line="16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financing charges included in other assets in relation to funding the establishment of Fab 2, are being amortized over the lives of the borrowings based on the repayment schedule of such funding (in general, 6 to 8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the financing expenses, net.</w:t>
      </w:r>
    </w:p>
    <w:p>
      <w:pPr>
        <w:spacing w:after="0" w:line="179" w:lineRule="exact"/>
        <w:rPr>
          <w:rFonts w:ascii="Courier New" w:cs="Courier New" w:eastAsia="Courier New" w:hAnsi="Courier New"/>
          <w:sz w:val="15"/>
          <w:szCs w:val="15"/>
          <w:color w:val="auto"/>
        </w:rPr>
      </w:pPr>
    </w:p>
    <w:p>
      <w:pPr>
        <w:ind w:left="8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P below.</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72" w:lineRule="exact"/>
        <w:rPr>
          <w:rFonts w:ascii="Courier New" w:cs="Courier New" w:eastAsia="Courier New" w:hAnsi="Courier New"/>
          <w:sz w:val="15"/>
          <w:szCs w:val="15"/>
          <w:color w:val="auto"/>
        </w:rPr>
      </w:pPr>
    </w:p>
    <w:p>
      <w:pPr>
        <w:ind w:left="8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Convertible debentures, the conversion of which is not anticipated as of the balance-sheet date, are presented as long-term liabilities based on their terms as of such date, net of discount. See Note 20E for disclosure of convertible debentures in accordance with U.S. GAAP.</w:t>
      </w:r>
    </w:p>
    <w:p>
      <w:pPr>
        <w:spacing w:after="0" w:line="326"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617" w:right="1440" w:bottom="1440" w:gutter="0" w:footer="0" w:header="0"/>
        </w:sectPr>
      </w:pPr>
    </w:p>
    <w:bookmarkStart w:id="12" w:name="page13"/>
    <w:bookmarkEnd w:id="1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88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175"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72"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ORDINARY SHARE</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loss per ordinary share is calculated based on the weighted average number of ordinary shares outstanding during each year presented. The calculation includes retroactive effect from the beginning of each year of shares issued upon exercise of options and warrants ("Exercise") and upon conversion of convertible debentures ("Conversion"), outstanding at the beginning of each year and giving effect to shares issuable from probable Exercise and from probable Conversion. Basic loss per ordinary share is calculated based on loss for the year with the inclusion of imputed interest income on the exercise price of options and warrants exercised or of probable Exercise, and of financing expenses in relation to converted debentures or on probable Conversion, as required under Israeli GAAP. See Note 20J for disclosure of loss per share data in accordance with U.S. GAAP.</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617" w:right="1440" w:bottom="1440" w:gutter="0" w:footer="0" w:header="0"/>
        </w:sectPr>
      </w:pPr>
    </w:p>
    <w:bookmarkStart w:id="13" w:name="page14"/>
    <w:bookmarkEnd w:id="1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2" w:lineRule="exact"/>
        <w:rPr>
          <w:rFonts w:ascii="Courier New" w:cs="Courier New" w:eastAsia="Courier New" w:hAnsi="Courier New"/>
          <w:sz w:val="15"/>
          <w:szCs w:val="15"/>
          <w:color w:val="auto"/>
        </w:rPr>
      </w:pPr>
    </w:p>
    <w:p>
      <w:pPr>
        <w:ind w:left="8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agreement expiration, are included in financing income (expense), net.</w:t>
      </w:r>
    </w:p>
    <w:p>
      <w:pPr>
        <w:spacing w:after="0" w:line="177"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73"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20C for disclosure of the derivative financial instruments in accordance with U.S. GAAP.</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CURRENCY AND TRANSACTION GAINS AND LOSSES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income (expenses), net in 2003, 2002 and 2001 include net foreign currency transaction loss of $232, $1,509 and $263, respectively.</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174"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G above. The award cost of warrants granted in connection with the construction of Fab 2, is recorded as depreciation expense over the life of the prepaid perpetual land lease and buildings. The award cost of warrants granted to consultants and related party in connection with equity transactions is offset against paid-in-capital.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617" w:right="1440" w:bottom="1440" w:gutter="0" w:footer="0" w:header="0"/>
        </w:sectPr>
      </w:pPr>
    </w:p>
    <w:bookmarkStart w:id="14" w:name="page15"/>
    <w:bookmarkEnd w:id="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 As of December 31, 2003 no impairment was recognized.</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149 - AMENDMENT OF SFAS 133 - In May 2003, the FASB issued SFAS No. 149, "Amendment of Statement 133 on Derivative Instruments and Hedging Activities." SFAS No. 149 amends and clarifies accounting for derivative instruments including certain derivative instruments embedded in other contracts and hedging activities under SFAS No. 133. It is effective for contracts entered into or modified after June 30, 2003 and for hedging relationships designated after June 30, 2003. The adoption of this Standard had no impact on the Company's financial position or results of operations under U.S. GAAP.</w:t>
      </w:r>
    </w:p>
    <w:p>
      <w:pPr>
        <w:spacing w:after="0" w:line="179" w:lineRule="exact"/>
        <w:rPr>
          <w:rFonts w:ascii="Courier New" w:cs="Courier New" w:eastAsia="Courier New" w:hAnsi="Courier New"/>
          <w:sz w:val="15"/>
          <w:szCs w:val="15"/>
          <w:color w:val="auto"/>
        </w:rPr>
      </w:pPr>
    </w:p>
    <w:p>
      <w:pPr>
        <w:ind w:left="1320" w:right="3239" w:hanging="436"/>
        <w:spacing w:after="0" w:line="254" w:lineRule="auto"/>
        <w:tabs>
          <w:tab w:leader="none" w:pos="13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CERTAIN FINANCIAL INSTRUMENTS WITH CHARACTERISTICS OF BOTH LIABILITIES AND EQUITY - In May 2003, the FASB issued SFAS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SFAS 150 requires that an issuer classify a financial instrument that is within its scope as a liability (or an asset in some circumstances) if, at inception, the monetary value of the obligation (as defined in that guidance) is based solely or predominantly on a fixed monetary amount known at inception, variations in something other than the fair value of the issuer's equity shares or variations inversely related to changes in the fair value of the issuer's equity shares. This Statement is effective in connections with activities for financial instruments entered into at the beginning of the third quarter of 2003. See Note 20F for disclosure of proceeds on account of share capital in accordance with U.S. GAAP under SFAS 150.</w:t>
      </w:r>
    </w:p>
    <w:p>
      <w:pPr>
        <w:spacing w:after="0" w:line="342"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SAB-104 - REVENUE RECOGNITION - In December 2003, the Securities and Exchange Commission ("SEC") issued Staff Accounting Bulletin 104 ("SAB-104") - Revenue Recognition. This SAB revises or rescinds portions of the interpretative guidance included in Topic 13 of the codification of staff accounting bulletins in order to make this interpretive guidance consistent with current authoritative accounting guidance. The principal revisions relate to the rescission of material no longer necessary because of developments outside of the SEC in U.S. generally accepted accounting principles, and the incorporation of certain sections of the SEC's "Revenue Recognition in Financial Statements - Frequently Asked Questions and Answers" document into Topic 13. The adoption of SAB-104 had no impact on the Company's financial position and results of operations.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617" w:right="1440" w:bottom="1440"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OTHER RECEIVABLES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Other receivables consist of the following:</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46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46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Government of Israel - investment grants receivable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$ 8,143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government agencies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2,097</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$11,073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24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$ 5,736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$ 3,815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$19,382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49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write-downs to net realizable value of $1,228 and $307 as of December 31, 2003 and 2002,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LONG-TERM INVESTMENTS</w:t>
      </w:r>
    </w:p>
    <w:p>
      <w:pPr>
        <w:spacing w:after="0" w:line="173" w:lineRule="exact"/>
        <w:rPr>
          <w:sz w:val="20"/>
          <w:szCs w:val="20"/>
          <w:color w:val="auto"/>
        </w:rPr>
      </w:pPr>
    </w:p>
    <w:p>
      <w:pPr>
        <w:ind w:left="880" w:right="3239" w:hanging="433"/>
        <w:spacing w:after="0" w:line="255"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SAIFUN - The investment in Saifun Semiconductor Ltd. ("Saifun"), an Israeli company which designs and develops memory designs, is based on an agreement between the Company and Saifun signed in October 1997. The Company's investments in Saifun as of December 31, 2003 and 2002 amounted to $6,000, representing 11.8% of Saifun's share capital as of such dates (on a fully-diluted basis - 10.3% and 10.5%, respectively).</w:t>
      </w:r>
    </w:p>
    <w:p>
      <w:pPr>
        <w:spacing w:after="0" w:line="166"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AZALEA - In September 2000, the Board of Directors of the Company approved the investment of $1,100 in Azalea Microelectronics Corporation ("Azalea"), a California corporation that, inter-alia, develops and designs microelectronics modules. This investment represents 14.9% of Azalea's share capital as of December 31, 2003.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wrote off, during the third quarter of 2001, its entire investment in Azalea.</w:t>
      </w:r>
    </w:p>
    <w:p>
      <w:pPr>
        <w:spacing w:after="0" w:line="164" w:lineRule="exact"/>
        <w:rPr>
          <w:rFonts w:ascii="Courier New" w:cs="Courier New" w:eastAsia="Courier New" w:hAnsi="Courier New"/>
          <w:sz w:val="14"/>
          <w:szCs w:val="14"/>
          <w:color w:val="auto"/>
        </w:rPr>
      </w:pPr>
    </w:p>
    <w:p>
      <w:pPr>
        <w:ind w:left="880" w:right="3319" w:hanging="433"/>
        <w:spacing w:after="0" w:line="236"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certain provisions stipulated in the amended Facility Agreement entered into by the Company in connection with Fab 2 (see Note 13A(6)), the Company might be obliged to dispose of some or all its long-term investments, in order to comply with that agreement's financing requirements. For liens, see Note 13A(6).</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VIRAGE LOGIC CORP. - During the year ended December 31, 2001, the Company sold all of its shareholdings in Virage Logic Corp. for an aggregate of $11,050 and for a gain of $9,550. Virage Logic Corp. is a Delaware corporation, which provides semiconductor companies with memory designs for systems contained on silicon chips.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617" w:right="1440" w:bottom="853"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A.   COMPOSITION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38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38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$225,218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$215,240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555,989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440,048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4,198</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784,890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659,486</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perpetual land lease and buildings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13,215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193,682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151,191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2,006</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216,478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166,412</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$568,412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$493,074</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SUPPLEMENTAL DISCLOSURE RELATING TO COST OF PROPERTY AND EQUIPMENT:</w:t>
      </w:r>
    </w:p>
    <w:p>
      <w:pPr>
        <w:spacing w:after="0" w:line="173" w:lineRule="exact"/>
        <w:rPr>
          <w:sz w:val="20"/>
          <w:szCs w:val="20"/>
          <w:color w:val="auto"/>
        </w:rPr>
      </w:pPr>
    </w:p>
    <w:p>
      <w:pPr>
        <w:ind w:left="1320" w:right="3319" w:hanging="436"/>
        <w:spacing w:after="0" w:line="255" w:lineRule="auto"/>
        <w:tabs>
          <w:tab w:leader="none" w:pos="132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2003 and 2002, the cost of property and equipment included costs relating to Fab 2 in the amount of $560,304 and $434,421, respectively. Said amounts are net of investment grants of $126,226 and $99,365, respectively. Depreciation of Fab 2 assets commenced in the third quarter of 2003, in which the building and infrastructures of Fab 2 were substantially completed and became ready for their intended use.</w:t>
      </w:r>
    </w:p>
    <w:p>
      <w:pPr>
        <w:spacing w:after="0" w:line="166" w:lineRule="exact"/>
        <w:rPr>
          <w:rFonts w:ascii="Courier New" w:cs="Courier New" w:eastAsia="Courier New" w:hAnsi="Courier New"/>
          <w:sz w:val="14"/>
          <w:szCs w:val="14"/>
          <w:color w:val="auto"/>
        </w:rPr>
      </w:pPr>
    </w:p>
    <w:p>
      <w:pPr>
        <w:ind w:left="1320" w:right="3319" w:hanging="436"/>
        <w:spacing w:after="0" w:line="235" w:lineRule="auto"/>
        <w:tabs>
          <w:tab w:leader="none" w:pos="13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cost of buildings, machinery and equipment was reflected net of investment grants of $232,187 (as of December 31, 2002 - $205,390).</w:t>
      </w:r>
    </w:p>
    <w:p>
      <w:pPr>
        <w:spacing w:after="0" w:line="173"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2003 includes capitalized interest costs of $18,480 (as of December 31, 2002 - $11,588).</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in the third quarter of 2003, the Company began to depreciate and amortize Fab 2 property and equipment and other assets, resulting in depreciation and amortization expenses of $37,302 which were included in cost of sales of 2003.</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77"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an investment program ("1996 program") for expansion of Fab 1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 As of December 31, 2003, the report has not yet received a final approval from the Investment Center.</w:t>
      </w:r>
    </w:p>
    <w:p>
      <w:pPr>
        <w:spacing w:after="0" w:line="342"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617" w:right="1440" w:bottom="1440"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 (cont.)</w:t>
      </w:r>
    </w:p>
    <w:p>
      <w:pPr>
        <w:spacing w:after="0" w:line="166"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 (cont.)</w:t>
      </w:r>
    </w:p>
    <w:p>
      <w:pPr>
        <w:spacing w:after="0" w:line="172" w:lineRule="exact"/>
        <w:rPr>
          <w:rFonts w:ascii="Courier New" w:cs="Courier New" w:eastAsia="Courier New" w:hAnsi="Courier New"/>
          <w:sz w:val="15"/>
          <w:szCs w:val="15"/>
          <w:color w:val="auto"/>
        </w:rPr>
      </w:pPr>
    </w:p>
    <w:p>
      <w:pPr>
        <w:ind w:left="88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13A(8) with respect to the Fab 2 program approved by the Investment Center in December 2000.</w:t>
      </w:r>
    </w:p>
    <w:p>
      <w:pPr>
        <w:spacing w:after="0" w:line="17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to the above grants and other tax benefits is subject to various conditions stipulated by the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liens see Note 13A(6).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OTHER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76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Technologies - Note 13A(2)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$ 90,747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$ 78,572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20,864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14,322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114,612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95,975</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 (*):</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Technologies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5,842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$108,770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$ 95,213</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amortization policy, see Note 2G.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SHORT-TERM DEBT</w:t>
      </w:r>
    </w:p>
    <w:p>
      <w:pPr>
        <w:spacing w:after="0" w:line="173" w:lineRule="exact"/>
        <w:rPr>
          <w:sz w:val="20"/>
          <w:szCs w:val="20"/>
          <w:color w:val="auto"/>
        </w:rPr>
      </w:pPr>
    </w:p>
    <w:p>
      <w:pPr>
        <w:ind w:left="880" w:right="3759"/>
        <w:spacing w:after="0" w:line="234" w:lineRule="auto"/>
        <w:rPr>
          <w:sz w:val="20"/>
          <w:szCs w:val="20"/>
          <w:color w:val="auto"/>
        </w:rPr>
      </w:pPr>
      <w:r>
        <w:rPr>
          <w:rFonts w:ascii="Courier New" w:cs="Courier New" w:eastAsia="Courier New" w:hAnsi="Courier New"/>
          <w:sz w:val="15"/>
          <w:szCs w:val="15"/>
          <w:color w:val="auto"/>
        </w:rPr>
        <w:t>The short-term debt as of December 31, 2002 consisted of current maturities of long-term debt (see Note 10A).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OTHER CURRENT LIABILITIES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current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38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8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Accrued salaries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Vacation accrual</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 on convertible debentures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38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$9,564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38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860" w:type="dxa"/>
            <w:vAlign w:val="bottom"/>
          </w:tcPr>
          <w:p>
            <w:pPr>
              <w:ind w:left="3240"/>
              <w:spacing w:after="0"/>
              <w:rPr>
                <w:sz w:val="20"/>
                <w:szCs w:val="20"/>
                <w:color w:val="auto"/>
              </w:rPr>
            </w:pPr>
            <w:r>
              <w:rPr>
                <w:rFonts w:ascii="Courier New" w:cs="Courier New" w:eastAsia="Courier New" w:hAnsi="Courier New"/>
                <w:sz w:val="15"/>
                <w:szCs w:val="15"/>
                <w:color w:val="auto"/>
              </w:rPr>
              <w:t>- 14 -</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685"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LONG-TERM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rPr>
              <w:t>A.   COMPOSITION:</w:t>
            </w:r>
          </w:p>
        </w:tc>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3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Courier New" w:cs="Courier New" w:eastAsia="Courier New" w:hAnsi="Courier New"/>
                <w:sz w:val="15"/>
                <w:szCs w:val="15"/>
                <w:color w:val="auto"/>
                <w:w w:val="97"/>
              </w:rPr>
              <w:t>Effective interest rate as of</w:t>
            </w:r>
          </w:p>
        </w:tc>
        <w:tc>
          <w:tcPr>
            <w:tcW w:w="2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 2003</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320" w:type="dxa"/>
            <w:vAlign w:val="bottom"/>
          </w:tcPr>
          <w:p>
            <w:pPr>
              <w:spacing w:after="0"/>
              <w:rPr>
                <w:sz w:val="14"/>
                <w:szCs w:val="14"/>
                <w:color w:val="auto"/>
              </w:rPr>
            </w:pP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 U.S. Dollar</w:t>
            </w:r>
          </w:p>
        </w:tc>
        <w:tc>
          <w:tcPr>
            <w:tcW w:w="2860" w:type="dxa"/>
            <w:vAlign w:val="bottom"/>
          </w:tcPr>
          <w:p>
            <w:pPr>
              <w:jc w:val="center"/>
              <w:spacing w:after="0"/>
              <w:rPr>
                <w:sz w:val="20"/>
                <w:szCs w:val="20"/>
                <w:color w:val="auto"/>
              </w:rPr>
            </w:pPr>
            <w:r>
              <w:rPr>
                <w:rFonts w:ascii="Courier New" w:cs="Courier New" w:eastAsia="Courier New" w:hAnsi="Courier New"/>
                <w:sz w:val="15"/>
                <w:szCs w:val="15"/>
                <w:color w:val="auto"/>
                <w:w w:val="97"/>
              </w:rPr>
              <w:t>6.78%</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$ 172,000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$ 172,000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U.S. Dollar</w:t>
            </w: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3.69%</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259,000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257,000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maturities</w:t>
            </w: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253,000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3239"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received under the Facility Agreement bear interest based on the three-month USD Libor rate plus 2.5%, as revised under the amendment to the Facility Agreement described in more detail in Note 13A(6). Prior to the closing of this amendment on December 2003, the loans bore interest based on the three-month USD Libor rate plus 1.55%. The effective annual interest rate of loans, the amount of which as of December 31, 2003 was $172,000, includes the terms of collar agreements with a knock-out feature described in Note 18A. Interest is payable at the end of each quarter.</w:t>
      </w:r>
    </w:p>
    <w:p>
      <w:pPr>
        <w:spacing w:after="0" w:line="346"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information regarding the Facility Agreement, as amended, between the Company and the Banks for financing the construction and equipping of Fab 2 including re-borrowing terms, see Note 13A(6).</w:t>
      </w:r>
    </w:p>
    <w:p>
      <w:pPr>
        <w:spacing w:after="0" w:line="16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amount of the long-term debt as of December 31, 2002,</w:t>
      </w:r>
    </w:p>
    <w:p>
      <w:pPr>
        <w:spacing w:after="0" w:line="4" w:lineRule="exact"/>
        <w:rPr>
          <w:rFonts w:ascii="Courier New" w:cs="Courier New" w:eastAsia="Courier New" w:hAnsi="Courier New"/>
          <w:sz w:val="15"/>
          <w:szCs w:val="15"/>
          <w:color w:val="auto"/>
        </w:rPr>
      </w:pPr>
    </w:p>
    <w:p>
      <w:pPr>
        <w:jc w:val="both"/>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$13,000 was designated for the Company's activities related to Fab 1, and was fully repaid during 2003, resulting in the termination of the Fab 1 facility agreement.</w:t>
      </w:r>
    </w:p>
    <w:p>
      <w:pPr>
        <w:spacing w:after="0" w:line="33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SCHEDULE</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the long-term debt as of December 31, 2003 is repayable according to the November 2003 amendment to the Facility Agreement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2007</w:t>
            </w:r>
          </w:p>
        </w:tc>
        <w:tc>
          <w:tcPr>
            <w:tcW w:w="28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143,667</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2008</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17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287,333</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431,000</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239" w:hanging="433"/>
        <w:spacing w:after="0" w:line="236"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with the Company's Banks restricts the Company's ability to place liens on its assets (other than to the State of Israel in respect of investment grants) without the prior consent of the Banks. Furthermore, the agreements contain certain restrictive financial covenants (see also Note 13A(6)). As of December 31, 2003, in management's opinion the Company was in full compliance with such covenants.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39"/>
          </w:cols>
          <w:pgMar w:left="220" w:top="617"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CONVERTIBLE DEBENTURES</w:t>
      </w:r>
    </w:p>
    <w:p>
      <w:pPr>
        <w:spacing w:after="0" w:line="173"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In January 2002, the Company issued on the Tel-Aviv Stock Exchange, NIS 110,579,800 principal amount of convertible debentures, linked to the Israeli Consumer Price Index ("CPI") (adjusted to the CPI as of December 31, 2003 - NIS 115,775,760, $26,439). The debentures were issued at 96% of their par value, and bear annual interest at the rate of 4.7%, payable in January of each year commencing in January 2003. The principal amount is payable in four installments in January of each year between 2006 and 2009. The debentures may be converted until December 31, 2008 into Ordinary Shares, at a conversion rate of one Ordinary Share per each NIS 41.00 principal amount of the debentures, linked to the CPI (subject to customary adjustments) (adjusted to the CPI as of December 31, 2003 - NIS 42.93, $9.80).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174"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5" w:lineRule="exact"/>
        <w:rPr>
          <w:sz w:val="20"/>
          <w:szCs w:val="20"/>
          <w:color w:val="auto"/>
        </w:rPr>
      </w:pPr>
    </w:p>
    <w:p>
      <w:pPr>
        <w:ind w:left="440" w:right="3319"/>
        <w:spacing w:after="0" w:line="256" w:lineRule="auto"/>
        <w:rPr>
          <w:sz w:val="20"/>
          <w:szCs w:val="20"/>
          <w:color w:val="auto"/>
        </w:rPr>
      </w:pPr>
      <w:r>
        <w:rPr>
          <w:rFonts w:ascii="Courier New" w:cs="Courier New" w:eastAsia="Courier New" w:hAnsi="Courier New"/>
          <w:sz w:val="14"/>
          <w:szCs w:val="14"/>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6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Pursuant to a covenant in the amended Facility Agreement, the Company is to deposit at least 20% of the principal amount (net of discounts) of the unconverted debentures in favor of the Banks as security for payment of the amounts the Company owes the Banks. The deposited amounts may be released only as provided in the amended Facility Agreement, including for payment of interest on the convertible debentures.</w:t>
      </w:r>
    </w:p>
    <w:p>
      <w:pPr>
        <w:spacing w:after="0" w:line="17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See Note 20E for disclosure of the accounting treatment of the convertible debentures under U.S. GAAP.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OTHER LONG-TERM LIABILITIES</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A.</w:t>
        <w:tab/>
        <w:t>COMPOSITION</w:t>
      </w:r>
    </w:p>
    <w:p>
      <w:pPr>
        <w:spacing w:after="0" w:line="200" w:lineRule="exact"/>
        <w:rPr>
          <w:sz w:val="20"/>
          <w:szCs w:val="20"/>
          <w:color w:val="auto"/>
        </w:rPr>
      </w:pPr>
    </w:p>
    <w:p>
      <w:pPr>
        <w:spacing w:after="0" w:line="30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As of December 31,</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ind w:left="5180"/>
        <w:spacing w:after="0" w:line="238" w:lineRule="auto"/>
        <w:tabs>
          <w:tab w:leader="none" w:pos="62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ind w:left="5180"/>
        <w:spacing w:after="0" w:line="237" w:lineRule="auto"/>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liability for employee</w:t>
      </w:r>
    </w:p>
    <w:p>
      <w:pPr>
        <w:ind w:left="280"/>
        <w:spacing w:after="0" w:line="237" w:lineRule="auto"/>
        <w:rPr>
          <w:sz w:val="20"/>
          <w:szCs w:val="20"/>
          <w:color w:val="auto"/>
        </w:rPr>
      </w:pPr>
      <w:r>
        <w:rPr>
          <w:rFonts w:ascii="Courier New" w:cs="Courier New" w:eastAsia="Courier New" w:hAnsi="Courier New"/>
          <w:sz w:val="15"/>
          <w:szCs w:val="15"/>
          <w:color w:val="auto"/>
        </w:rPr>
        <w:t>termination benefits (see B below):</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Gross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$ 19,042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$ 16,274</w:t>
      </w:r>
    </w:p>
    <w:p>
      <w:pPr>
        <w:spacing w:after="0" w:line="10" w:lineRule="exact"/>
        <w:rPr>
          <w:sz w:val="20"/>
          <w:szCs w:val="20"/>
          <w:color w:val="auto"/>
        </w:rPr>
      </w:pPr>
    </w:p>
    <w:p>
      <w:pPr>
        <w:sectPr>
          <w:pgSz w:w="11900" w:h="16838" w:orient="portrait"/>
          <w:cols w:equalWidth="0" w:num="3">
            <w:col w:w="4180" w:space="720"/>
            <w:col w:w="700" w:space="360"/>
            <w:col w:w="427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Amounts funded through deposits to severance</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pay funds and purchase of insurance policies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(14,607)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4,435</w:t>
      </w:r>
    </w:p>
    <w:p>
      <w:pPr>
        <w:ind w:left="280"/>
        <w:spacing w:after="0" w:line="238" w:lineRule="auto"/>
        <w:rPr>
          <w:sz w:val="20"/>
          <w:szCs w:val="20"/>
          <w:color w:val="auto"/>
        </w:rPr>
      </w:pPr>
      <w:r>
        <w:rPr>
          <w:rFonts w:ascii="Courier New" w:cs="Courier New" w:eastAsia="Courier New" w:hAnsi="Courier New"/>
          <w:sz w:val="15"/>
          <w:szCs w:val="15"/>
          <w:color w:val="auto"/>
        </w:rPr>
        <w:t>1,500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260" w:val="left"/>
        </w:tabs>
        <w:rPr>
          <w:sz w:val="20"/>
          <w:szCs w:val="20"/>
          <w:color w:val="auto"/>
        </w:rPr>
      </w:pPr>
      <w:r>
        <w:rPr>
          <w:rFonts w:ascii="Courier New" w:cs="Courier New" w:eastAsia="Courier New" w:hAnsi="Courier New"/>
          <w:sz w:val="15"/>
          <w:szCs w:val="15"/>
          <w:color w:val="auto"/>
        </w:rPr>
        <w:t>$</w:t>
        <w:tab/>
        <w:t>5,935</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(12,368)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3,906</w:t>
      </w:r>
    </w:p>
    <w:p>
      <w:pPr>
        <w:ind w:left="260"/>
        <w:spacing w:after="0" w:line="238" w:lineRule="auto"/>
        <w:rPr>
          <w:sz w:val="20"/>
          <w:szCs w:val="20"/>
          <w:color w:val="auto"/>
        </w:rPr>
      </w:pPr>
      <w:r>
        <w:rPr>
          <w:rFonts w:ascii="Courier New" w:cs="Courier New" w:eastAsia="Courier New" w:hAnsi="Courier New"/>
          <w:sz w:val="15"/>
          <w:szCs w:val="15"/>
          <w:color w:val="auto"/>
        </w:rPr>
        <w:t>1,500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240" w:val="left"/>
        </w:tabs>
        <w:rPr>
          <w:sz w:val="20"/>
          <w:szCs w:val="20"/>
          <w:color w:val="auto"/>
        </w:rPr>
      </w:pPr>
      <w:r>
        <w:rPr>
          <w:rFonts w:ascii="Courier New" w:cs="Courier New" w:eastAsia="Courier New" w:hAnsi="Courier New"/>
          <w:sz w:val="15"/>
          <w:szCs w:val="15"/>
          <w:color w:val="auto"/>
        </w:rPr>
        <w:t>$</w:t>
        <w:tab/>
        <w:t>5,406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40" w:space="260"/>
            <w:col w:w="3840" w:space="260"/>
            <w:col w:w="800" w:space="260"/>
            <w:col w:w="427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617" w:right="1440" w:bottom="1440" w:gutter="0" w:footer="0" w:header="0"/>
          <w:type w:val="continuous"/>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OTHER LONG-TERM LIABILITIES (cont.)</w:t>
      </w:r>
    </w:p>
    <w:p>
      <w:pPr>
        <w:spacing w:after="0" w:line="166"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TERMINATION BENEFITS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164" w:lineRule="exact"/>
        <w:rPr>
          <w:rFonts w:ascii="Courier New" w:cs="Courier New" w:eastAsia="Courier New" w:hAnsi="Courier New"/>
          <w:sz w:val="15"/>
          <w:szCs w:val="15"/>
          <w:color w:val="auto"/>
        </w:rPr>
      </w:pPr>
    </w:p>
    <w:p>
      <w:pPr>
        <w:ind w:left="880" w:right="35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Costs relating to employee termination benefits were approximately $2,828, $2,070 and $4,379 for 2003, 2002 and 2001, respectively.</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w:t>
      </w:r>
    </w:p>
    <w:p>
      <w:pPr>
        <w:spacing w:after="0" w:line="166"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200-millimeter wafers. The Company entered into several related agreements and other arrangements, and completed public and rights offerings, in connection with Fab 2, including agreements and arrangements with technology partners, Wafer Partners, Equity Investors, the Company's Banks, the Government of Israel through the Investment Center and others, to provide an aggregate, as of the approval date of the financial statements, of $1,220,000 of financing for Fab 2.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the process technologies to be utilized to produce wafers in Fab 2.</w:t>
      </w:r>
    </w:p>
    <w:p>
      <w:pPr>
        <w:spacing w:after="0" w:line="16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2003 the Company has invested in the Fab 2 project an aggregate of approximately $900,000. Through such date, the Wafer Partners, Equity Investors and technology partners had invested in the Company through committed agreements an aggregate of $306,823 ($47,246 of which was established as long-term customers' advances); the Banks had made long-term loans in the aggregate of $431,000; and the Investment Center granted the Company an aggregate of $118,011. In addition, through December 31, 2003, the Company has raised approximately $86,600 from other financial sources, and in January 2004, the Company raised additional $77,000 in connection with the public offering described in Note 14G.</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39"/>
          </w:cols>
          <w:pgMar w:left="220" w:top="617"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6"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 (cont.)</w:t>
      </w:r>
    </w:p>
    <w:p>
      <w:pPr>
        <w:spacing w:after="0" w:line="172"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the Company began commercial production and shipment of wafers to its customers utilizing the 0.18 micron process technology. With the commencement of Fab 2 operations, most of the direct costs related to the construction and equipping of Fab 2 and to the transfer of the Fab 2 technology that previously had been capitalized, are no longer capitalizable. For the depreciation and amortization amounts in 2003 of Fab 2 assets, see Note 6A.</w:t>
      </w:r>
    </w:p>
    <w:p>
      <w:pPr>
        <w:spacing w:after="0" w:line="177"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construction and equipping of Fab 2 is a substantial project, which requires extensive management involvement as well as the timely participation by and coordination of the activities of many participants. In addition, this project is a complex undertaking which entails substantial risks and uncertainties, including but not limited to those associated with the following: obtaining additional commitments to finance the construction and equipping of Fab 2; achieving certain operational milestones and complying with various conditions and covenants under the current financing agreements in order to receive the additional funds committed by the Investment Center, as well as those provided by the Facility Agreement with the Banks, which establishes significant additional conditions and covenants for borrowing loans under the Facility Agreement; and completing the complex processes of transferring from Motorola the manufacturing technologies to be used at Fab 2 and development of new technologies. According to the Facility Agreement with the Banks, raising certain required additional funding by the dates specified, achieving the milestones as scheduled, as well as complying with all the conditions and covenants stipulated in that agreement and in the Approval Certificate from the Investment Center, are material provisions for providing the Company with the required financing for completing and equipping Fab 2. As of December 31, 2003 the construction and equipping of Fab 2 is currently in process and, progressing according to the revised agreed upon schedule.</w:t>
      </w:r>
    </w:p>
    <w:p>
      <w:pPr>
        <w:spacing w:after="0" w:line="338"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and ongoing royalties based on sales of products manufactured in Fab 2 with the transferred technology. The transfer of the technology was substantially completed during the first half of 2003. Under the Toshiba agreement, the Company agreed, subject to certain conditions, to reserve for Toshiba a certain portion of Fab 2 wafer manufacturing capacity for a period of 10 years.</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39"/>
          </w:cols>
          <w:pgMar w:left="220" w:top="617" w:right="1440" w:bottom="1440" w:gutter="0" w:footer="0" w:header="0"/>
        </w:sectPr>
      </w:pPr>
    </w:p>
    <w:bookmarkStart w:id="22" w:name="page23"/>
    <w:bookmarkEnd w:id="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MOTOROLA - In September 2002, the Company entered into a non-exclusive technology transfer, development and licensing agreement with Motorola Inc. ("Motorola"), a U.S. corporation. This agreement provides for the transfer by Motorola to the Company of existing and newly developed versions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Motorola, the licenses under the agreement are perpetual.</w:t>
      </w:r>
    </w:p>
    <w:p>
      <w:pPr>
        <w:spacing w:after="0" w:line="15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over a period of time, subject to the achievement of certain milestones relating to the construction and operation of Fab 2. According to the Wafer Partner Agreements, the Company agreed, subject to certain conditions, to reserve for each Wafer Partner a certain portion, and collectively approximately 50%, of Fab 2 wafer manufacturing capacity for a period of 10 years.</w:t>
      </w:r>
    </w:p>
    <w:p>
      <w:pPr>
        <w:spacing w:after="0" w:line="174"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the Wafer Partners invested in the Company, based on the Wafer Partners Agreements, an aggregate of $246,823, of which $199,577 was credited as paid in capital and $47,246 was established as long-term customers' advances which may be, subject to the terms and conditions stipulated in the Wafer Partner Agreements, as amended, utilized as credit against purchases to be made by the Wafer Partners, or converted into paid-in-capital. Through December 31, 2003, the Wafer Partners were issued an aggregate of 24,239,879 Ordinary Shares in consideration for their aggregate committed investment of $233,622. In January 2004, the primary Wafer Partners were issued additional 1,885,833 Ordinary Shares in consideration for their final $13,201 committed investment made in December 2003, at a per share price equal to the offering price of the public offering described in Note 14G. The $13,201 amount is presented on the face of the balance sheet as of December 31, 2003 as proceeds on account of share capital. For the classification of that amount under U.S. GAAP, see Note 20F.</w:t>
      </w:r>
    </w:p>
    <w:p>
      <w:pPr>
        <w:spacing w:after="0" w:line="331" w:lineRule="exact"/>
        <w:rPr>
          <w:rFonts w:ascii="Courier New" w:cs="Courier New" w:eastAsia="Courier New" w:hAnsi="Courier New"/>
          <w:sz w:val="15"/>
          <w:szCs w:val="15"/>
          <w:color w:val="auto"/>
        </w:rPr>
      </w:pPr>
    </w:p>
    <w:p>
      <w:pPr>
        <w:ind w:left="132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investments made by the Wafer Partners in connection with a rights offering, see Note 14F.</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Wafer Partner Agreements, in January 2002, the Company entered into a share purchase agreement with another wafer partner, pursuant to which that wafer partner invested $2,000 in Fab 2 for the purchase of 332,945 Ordinary Shares of the Company. The shares were issued in January 2002.</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617" w:right="1440" w:bottom="1440" w:gutter="0" w:footer="0" w:header="0"/>
        </w:sectPr>
      </w:pPr>
    </w:p>
    <w:bookmarkStart w:id="23" w:name="page24"/>
    <w:bookmarkEnd w:id="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INVESTOR AGREEMENTS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Israel Corporation Technologies (IC-Tech) Ltd., a wholly owned subsidiary of Israel Corporation Ltd. and the principal shareholder of the Company ("IC-Tech") and Challenge Fund-Edgar II LP, a Delaware limited partnership ("Challenge") (all together, "Equity Investors") invested in the Company, pursuant to agreements described below, an aggregate of $51,773, for the purchase of an aggregate of 6,958,882 Ordinary Shares of the Company. In January 2004, IC-Tech and Challenge were issued additional 460,953 Ordinary Shares of the Company in consideration for their final investments according to their agreements in the amount of $3,227 made in December 2003. The shares were issued at a per share price equal to the price at the public offering described in Note 14G. The $3,227 amount is presented on the face of the balance sheet as of December 31, 2003 as proceeds on account of share capital. For the classification of that amount under U.S. GAAP, see Note 20F.</w:t>
      </w:r>
    </w:p>
    <w:p>
      <w:pPr>
        <w:spacing w:after="0" w:line="163"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2000, the Company entered into a share purchase agreements pursuant to which IC-Tech agreed to invest $50,000 to purchase Ordinary Shares of the Company over a period of time in several mandatory closings contemporaneous with the closings under the Wafer Partner Agreements and subject to the achievement of the same milestones. For additional investments made by IC-Tech in connection with a rights offering, see Note 14F. For additional investments which IC-Tech or the Israel Corporation Ltd. may be required to make in the Company, see A(6) below.</w:t>
      </w:r>
    </w:p>
    <w:p>
      <w:pPr>
        <w:spacing w:after="0" w:line="165"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the Company entered into a share purchase agreement with Challenge pursuant to which Challenge agreed to invest $5,000 in Fab 2 for the purchase of Ordinary Shares of the Company under terms substantially similar to those under the Company's share purchase agreements with IC-Tech.</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2002, the Company entered into a definitive agreement with Ontario Teachers' Pension Plan Board for an investment, which was fully paid in October 2002, of $15,000 in the Company's equity in consideration for 3,000,000 Ordinary Shares of the Company for $5.00 per share (the same as the subscription price per right in the rights offering described in Note 14F), and a warrant, exercisable for a four-year period ending in October 2006, to purchase an additional 1,350,000 Ordinary Shares of the Company, at an exercise price of $7.50 per share (subject to customary adjustments).</w:t>
      </w:r>
    </w:p>
    <w:p>
      <w:pPr>
        <w:spacing w:after="0" w:line="179" w:lineRule="exact"/>
        <w:rPr>
          <w:rFonts w:ascii="Courier New" w:cs="Courier New" w:eastAsia="Courier New" w:hAnsi="Courier New"/>
          <w:sz w:val="15"/>
          <w:szCs w:val="15"/>
          <w:color w:val="auto"/>
        </w:rPr>
      </w:pPr>
    </w:p>
    <w:p>
      <w:pPr>
        <w:ind w:left="1320" w:right="3759" w:hanging="436"/>
        <w:spacing w:after="0" w:line="234" w:lineRule="auto"/>
        <w:tabs>
          <w:tab w:leader="none" w:pos="13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between the Company and its primary Wafer Partners and Equity Investors have been amended several times since they were originally signed. The major terms of the amendments, including those recently made in the fourth quarter of 2003, relate to: advancing the milestone installments regardless of their achievements; updating the price per share of each advanced installment to be based on the average closing sale price of the Company's Ordinary Shares for the 15-30 trading days prior to making any installment; and granting the Company with a waiver in connection with the requirement to raise a cumulative of $50,000 from new wafer partners. The Company's shareholders approved all these amendments.</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w:t>
      </w:r>
    </w:p>
    <w:p>
      <w:pPr>
        <w:sectPr>
          <w:pgSz w:w="11900" w:h="16838" w:orient="portrait"/>
          <w:cols w:equalWidth="0" w:num="1">
            <w:col w:w="10239"/>
          </w:cols>
          <w:pgMar w:left="220" w:top="617" w:right="1440" w:bottom="1440" w:gutter="0" w:footer="0" w:header="0"/>
        </w:sectPr>
      </w:pPr>
    </w:p>
    <w:bookmarkStart w:id="24" w:name="page25"/>
    <w:bookmarkEnd w:id="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2" w:lineRule="exact"/>
        <w:rPr>
          <w:rFonts w:ascii="Courier New" w:cs="Courier New" w:eastAsia="Courier New" w:hAnsi="Courier New"/>
          <w:sz w:val="15"/>
          <w:szCs w:val="15"/>
          <w:color w:val="auto"/>
        </w:rPr>
      </w:pPr>
    </w:p>
    <w:p>
      <w:pPr>
        <w:ind w:left="1320" w:right="3759" w:hanging="436"/>
        <w:spacing w:after="0" w:line="234" w:lineRule="auto"/>
        <w:tabs>
          <w:tab w:leader="none" w:pos="13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approval of the fourth quarter of 2003 amendment by the Company's shareholders, and obtaining in November 2003 an agreement with the Banks for amending the Facility Agreement as outlined in paragraph A(6) below, the primary Wafer Partners and Equity Investors completed their committed investments.</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amendment to the primary Wafer Partner Agreements entered into in the first quarter of 2003 and approved by the Company's shareholders in May 2003, the primary Wafer Partners are entitled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15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174"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fourth quarter of 2003 amendment, the Company granted each one of the primary Wafer Partners an option to convert, at the end of each quarter of the years 2004-2006, any amount that may be utilized against the long-term customers' advances, as derived from purchases made by each primary Wafer Partner during that quarter, into fully-paid Ordinary Shares of the Company. The amount of shares shall be determined based on the average closing sale price of the Company's Ordinary Shares for the 15 trading days preceding the end of each quarter. Any quarterly amount, which the primary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long-term customers' advances, which could have been utilized against purchases and which the primary Wafer Partners elected not to convert into fully-paid Ordinary Shares of the Company, shall be fully repaid on December 31, 2007. Other than as described above in this paragraph and the preceding paragraph, each of the primary Wafer Partners agreed, on a going forward basis to only utilize long-term customer's advances after December 31, 2006.</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Following the amendment entered into between the Company and the Banks in November 2003, which is described in more detail below, the loans bear interest at a rate of Libor plus 2.5% per annum payable at the end of each quarter. Prior to the November 2003 amendment, the loans bore interest at a rate of Libor plus 1.55% per annum payable at the end of each quarter. The loans are available for withdrawal through December 31, 2004, and are subject to certain prepayment provisions. Unused amounts under the Facility Agreement, in the amount of $69,000 as of December 31, 2003, are subject to a quarterly commitment fee of 0.25% per annum.</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w:t>
      </w:r>
    </w:p>
    <w:p>
      <w:pPr>
        <w:sectPr>
          <w:pgSz w:w="11900" w:h="16838" w:orient="portrait"/>
          <w:cols w:equalWidth="0" w:num="1">
            <w:col w:w="10239"/>
          </w:cols>
          <w:pgMar w:left="220" w:top="617" w:right="1440" w:bottom="1440" w:gutter="0" w:footer="0" w:header="0"/>
        </w:sectPr>
      </w:pPr>
    </w:p>
    <w:bookmarkStart w:id="25" w:name="page26"/>
    <w:bookmarkEnd w:id="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Loans in the amount of $431,000 received by the Company through December 31, 2003 ($244,000 through December 31, 2002), were repaid on December 31, 2003 and, concurrently, were drawn down on such date at an equivalent amount to be repaid in 12 equal consecutive quarterly installments commencing on March 31, 2007 (the net amount of long-term loans the Company received in 2003 in connection with the abovementioned re-borrowing was $187,000). Loans drawn down after December 31, 2003, are repayable in 12 equal consecutive quarterly installments, commencing three years from the draw down date of each loan, which in no case shall be after the maturity date of the Facility Agreement. With regard to further details regarding loans drawn down under the $500,000 credit facility, see Note 10.</w:t>
      </w:r>
    </w:p>
    <w:p>
      <w:pPr>
        <w:spacing w:after="0" w:line="164" w:lineRule="exact"/>
        <w:rPr>
          <w:rFonts w:ascii="Courier New" w:cs="Courier New" w:eastAsia="Courier New" w:hAnsi="Courier New"/>
          <w:sz w:val="15"/>
          <w:szCs w:val="15"/>
          <w:color w:val="auto"/>
        </w:rPr>
      </w:pPr>
    </w:p>
    <w:p>
      <w:pPr>
        <w:ind w:left="13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Facility Agreement and the terms of the Company's long-term loans as of December 31, 2003,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plus penalties, and the Banks would be entitled to exercise the remedies available to them under the Facility Agreement, including enforcement of the liens against the Company's assets.</w:t>
      </w:r>
    </w:p>
    <w:p>
      <w:pPr>
        <w:spacing w:after="0" w:line="165"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amendments further revised and updated the covenants under the Facility Agreement according to which the Company is obligated to comply with certain operational and financial ratios, primarily total shareholders to total assets and production and capacity milestones.</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w:t>
      </w:r>
    </w:p>
    <w:p>
      <w:pPr>
        <w:sectPr>
          <w:pgSz w:w="11900" w:h="16838" w:orient="portrait"/>
          <w:cols w:equalWidth="0" w:num="1">
            <w:col w:w="10239"/>
          </w:cols>
          <w:pgMar w:left="220" w:top="617" w:right="1440" w:bottom="1440" w:gutter="0" w:footer="0" w:header="0"/>
        </w:sectPr>
      </w:pPr>
    </w:p>
    <w:bookmarkStart w:id="26" w:name="page27"/>
    <w:bookmarkEnd w:id="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2003, the revised remaining aggregate amount the Company is required to raise from specified financial sources is $152,000. This amount is to be raised through the following dates: by mid-March 2004, an aggregate of $28,000; by the end of June 2004, an aggregate of $53,500; by the end of December 2004, an aggregate of $79,000; by the end of June 2005, an aggregate of $115,500; and by the end of December 2005, an aggregate of $152,000. Out of the Company's aggregate fundraising to be made by the end of December 2004, $77,000 was achieved by the proceeds from the public offering described in Note 14G.</w:t>
      </w:r>
    </w:p>
    <w:p>
      <w:pPr>
        <w:spacing w:after="0" w:line="165" w:lineRule="exact"/>
        <w:rPr>
          <w:rFonts w:ascii="Courier New" w:cs="Courier New" w:eastAsia="Courier New" w:hAnsi="Courier New"/>
          <w:sz w:val="15"/>
          <w:szCs w:val="15"/>
          <w:color w:val="auto"/>
        </w:rPr>
      </w:pPr>
    </w:p>
    <w:p>
      <w:pPr>
        <w:ind w:left="13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 was in full compliance with the revised financial ratios and covenants under the amended Facility Agreement.</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Facility Agreement provides that should the Company fail to meet any of the above fundraising obligations towards the $152,000 at the dates described above,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amended Facility Agreement.</w:t>
      </w:r>
    </w:p>
    <w:p>
      <w:pPr>
        <w:spacing w:after="0" w:line="178"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Israel Corporation Ltd. ("TIC"), the parent company of the Company's current major shareholder ("IC-Tech") has undertaken to the Banks to exercise all of the rights IC-Tech receives in the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and/or IC-Tech, less any amounts actually invested in the rights offering by TIC and/or IC-Tech in connection with the exercise of their own rights. TIC's undertaking to the Banks is limited to an aggregate of $50,000. If certain of the Company's shareholders participate in the above investment, then their investment will be deemed to be investments made by TIC towards the $50,000 commitment. In the event that the rights offering cannot be completed, TIC has undertaken to purchase from the Company in a private placement 50/93 of the amount the Company was to raise in the rights offering. TIC may fulfill its investment commitments through IC-Tech.</w:t>
      </w:r>
    </w:p>
    <w:p>
      <w:pPr>
        <w:spacing w:after="0" w:line="176"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TIC's undertaking and the Company's obligation to consummate a rights offering expires on the earlier of: (i) such time that the Company will fulfill the fundraising obligation to raise an aggregate of $152,000 under the Facility Agreement as described above; (ii) such time as TIC has invested an aggregate amount of $50,000 as described above; or (iii) June 30, 2006.</w:t>
      </w:r>
    </w:p>
    <w:p>
      <w:pPr>
        <w:spacing w:after="0" w:line="174"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receipt of the above described investments from TIC, the Banks will increase the total amount which the Company may draw under the Facility Agreement at a ratio of $43 for every $50 invested, up to $43,000 in the aggregate. Any drawn loan will be repayable by the earlier of (i) December 2007 and (ii) three years from the date the loan is drawn. Should the Company draw down loans using this increased amount of facility, the Banks will be issued 30% warrant coverage of the amount drawn down, based on the average closing price of the Company's Ordinary Shares during the 15 consecutive trading days prior to the time the Company draws down such loans.</w:t>
      </w:r>
    </w:p>
    <w:p>
      <w:pPr>
        <w:spacing w:after="0" w:line="342"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w:t>
      </w:r>
    </w:p>
    <w:p>
      <w:pPr>
        <w:sectPr>
          <w:pgSz w:w="11900" w:h="16838" w:orient="portrait"/>
          <w:cols w:equalWidth="0" w:num="1">
            <w:col w:w="10239"/>
          </w:cols>
          <w:pgMar w:left="220" w:top="617" w:right="1440" w:bottom="1440" w:gutter="0" w:footer="0" w:header="0"/>
        </w:sectPr>
      </w:pPr>
    </w:p>
    <w:bookmarkStart w:id="27" w:name="page28"/>
    <w:bookmarkEnd w:id="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896,596 warrants issued to the Banks in connection with this amendment, and warrants granted to the Banks in January 2001, see Note 14B(5)(a).</w:t>
      </w:r>
    </w:p>
    <w:p>
      <w:pPr>
        <w:spacing w:after="0" w:line="173"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58,906 warrants issued to TIC in connection with its undertaking described above, and additional warrants issuable to TIC in the event the undertaking is realized, see Note 14B(5)(b).</w:t>
      </w:r>
    </w:p>
    <w:p>
      <w:pPr>
        <w:spacing w:after="0" w:line="175"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IC-Tech and TIC for any liabilities they incur with respect to these arrangements, subject to them making any investment under their undertaking, up to a maximum of $100,000 as follows: up to $25,000 in cash and any amount exceeding such $25,000 limit will earn interest at LIBOR plus 2.5% and will be paid on the same terms that the Company repays its loans to the Banks.</w:t>
      </w:r>
    </w:p>
    <w:p>
      <w:pPr>
        <w:spacing w:after="0" w:line="17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certain bankruptcy related events, the Banks will be able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intends to purchase a majority of the Company's outstanding share capital, the rights offering will be limited to allow for this, unless IC-Tech and the primary Wafer Partners agree to exercise in a rights offering rights applicable to their shareholdings and agree to purchase in a private placement enough shares to ensure that the full amount of the Offer is invested.</w:t>
      </w:r>
    </w:p>
    <w:p>
      <w:pPr>
        <w:spacing w:after="0" w:line="15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CONSTRUCTION AGREEMENT</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2000, the Company entered into a fixed price turn-key agreement with a contractor for the design and construction of Fab 2 in consideration of approximately $200,000, to be paid according to certain performance milestones stipulated in the agreement, over approximately two years. As of December 31, 2003, approximately $180,000 of that amount had already been paid by the Company.</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w:t>
      </w:r>
    </w:p>
    <w:p>
      <w:pPr>
        <w:sectPr>
          <w:pgSz w:w="11900" w:h="16838" w:orient="portrait"/>
          <w:cols w:equalWidth="0" w:num="1">
            <w:col w:w="10239"/>
          </w:cols>
          <w:pgMar w:left="220" w:top="617" w:right="1440" w:bottom="1440" w:gutter="0" w:footer="0" w:header="0"/>
        </w:sectPr>
      </w:pPr>
    </w:p>
    <w:bookmarkStart w:id="28" w:name="page29"/>
    <w:bookmarkEnd w:id="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The grants are to be made in accordance with a timetable set forth in the approval certificate for the program.</w:t>
      </w:r>
    </w:p>
    <w:p>
      <w:pPr>
        <w:spacing w:after="0" w:line="17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approval certificate, investments in respect of the Fab 2 approved enterprise program are to be completed by December 31, 2005, five years from the date the approval certificate was obtained. Due to the later than planned commencement of construction of Fab 2 and prevailing market conditions, the Company does not currently expect to complete Fab 2 investments defined in the approval certificate by the end of 2005. The Company has notified the Investment Center of its revised investment schedule contemplated in an updated plan for the construction and equipping Fab 2, and has also informed the Investment Center of the reduced rate of annual investments and lower than projected expectations for Fab 2 sales.</w:t>
      </w:r>
    </w:p>
    <w:p>
      <w:pPr>
        <w:spacing w:after="0" w:line="164"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will be made to allow for the extension of the reinvestment period.</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 ILA</w:t>
      </w:r>
    </w:p>
    <w:p>
      <w:pPr>
        <w:spacing w:after="0" w:line="172" w:lineRule="exact"/>
        <w:rPr>
          <w:rFonts w:ascii="Courier New" w:cs="Courier New" w:eastAsia="Courier New" w:hAnsi="Courier New"/>
          <w:sz w:val="15"/>
          <w:szCs w:val="15"/>
          <w:color w:val="auto"/>
        </w:rPr>
      </w:pPr>
    </w:p>
    <w:p>
      <w:pPr>
        <w:ind w:left="132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32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hedging transactions and agreements the Company has entered into, see Note 18C.</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2" w:lineRule="exact"/>
        <w:rPr>
          <w:rFonts w:ascii="Courier New" w:cs="Courier New" w:eastAsia="Courier New" w:hAnsi="Courier New"/>
          <w:sz w:val="15"/>
          <w:szCs w:val="15"/>
          <w:color w:val="auto"/>
        </w:rPr>
      </w:pPr>
    </w:p>
    <w:p>
      <w:pPr>
        <w:ind w:left="13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the Company had entered into several additional agreements related mainly to the construction, equipping and transfer of technology for Fab 2. The Company's aggregate commitment in connection with these agreements as of such date, including the Fab 2 construction agreement described in paragraph (7) above, amounted to $99,035.</w:t>
      </w:r>
    </w:p>
    <w:p>
      <w:pPr>
        <w:spacing w:after="0" w:line="32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239"/>
          </w:cols>
          <w:pgMar w:left="220" w:top="617" w:right="1440" w:bottom="1440" w:gutter="0" w:footer="0" w:header="0"/>
        </w:sectPr>
      </w:pPr>
    </w:p>
    <w:bookmarkStart w:id="29" w:name="page30"/>
    <w:bookmarkEnd w:id="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w:t>
      </w:r>
    </w:p>
    <w:p>
      <w:pPr>
        <w:spacing w:after="0" w:line="172" w:lineRule="exact"/>
        <w:rPr>
          <w:rFonts w:ascii="Courier New" w:cs="Courier New" w:eastAsia="Courier New" w:hAnsi="Courier New"/>
          <w:sz w:val="15"/>
          <w:szCs w:val="15"/>
          <w:color w:val="auto"/>
        </w:rPr>
      </w:pPr>
    </w:p>
    <w:p>
      <w:pPr>
        <w:ind w:left="1320" w:right="3239" w:hanging="436"/>
        <w:spacing w:after="0" w:line="254" w:lineRule="auto"/>
        <w:tabs>
          <w:tab w:leader="none" w:pos="132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2000, the Company entered into a cross license agreement with a major technology company. According to the agreement, each party acquired a non-exclusive license under the other's patents. The Company agreed to pay an annual royalty through July 2005.</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licenses terminate on December 31, 2005.</w:t>
      </w:r>
    </w:p>
    <w:p>
      <w:pPr>
        <w:spacing w:after="0" w:line="173"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65"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 Sales for 2002 included a $8,056 revenue in relation to this agreement.</w:t>
      </w:r>
    </w:p>
    <w:p>
      <w:pPr>
        <w:spacing w:after="0" w:line="332"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paragraph F(2) below.</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75" w:lineRule="exact"/>
        <w:rPr>
          <w:rFonts w:ascii="Courier New" w:cs="Courier New" w:eastAsia="Courier New" w:hAnsi="Courier New"/>
          <w:sz w:val="15"/>
          <w:szCs w:val="15"/>
          <w:color w:val="auto"/>
        </w:rPr>
      </w:pPr>
    </w:p>
    <w:p>
      <w:pPr>
        <w:ind w:left="1320" w:right="3679" w:hanging="436"/>
        <w:spacing w:after="0" w:line="235" w:lineRule="auto"/>
        <w:tabs>
          <w:tab w:leader="none" w:pos="13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certain other premises under various operating leases. The obligations under such leases were not material as of December 31, 2003.</w:t>
      </w:r>
    </w:p>
    <w:p>
      <w:pPr>
        <w:spacing w:after="0" w:line="173"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long-term lease agreement of land on which Fab 2 was constructed, see paragraph A(9) above.</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26 -</w:t>
      </w:r>
    </w:p>
    <w:p>
      <w:pPr>
        <w:sectPr>
          <w:pgSz w:w="11900" w:h="16838" w:orient="portrait"/>
          <w:cols w:equalWidth="0" w:num="1">
            <w:col w:w="10239"/>
          </w:cols>
          <w:pgMar w:left="220" w:top="617" w:right="1440" w:bottom="1440" w:gutter="0" w:footer="0" w:header="0"/>
        </w:sectPr>
      </w:pPr>
    </w:p>
    <w:bookmarkStart w:id="30" w:name="page31"/>
    <w:bookmarkEnd w:id="3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2003, a substantial portion of the Company's production has been sold under such agreements.</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PLAN</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an employee profit sharing plan. No amounts were provided for under this plan for periods presented in these financial statements, since the Company did not record profits for these periods.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PRINCIPAL AGREEMENTS</w:t>
      </w:r>
    </w:p>
    <w:p>
      <w:pPr>
        <w:spacing w:after="0" w:line="172"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MACRONIX - In December 2000, the Company and Macronix entered into an agreement according to which the Company waived in favor of Macronix certain exclusive semiconductor manufacturing rights it received from Saifun.</w:t>
      </w:r>
    </w:p>
    <w:p>
      <w:pPr>
        <w:spacing w:after="0" w:line="175"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w:t>
      </w:r>
    </w:p>
    <w:p>
      <w:pPr>
        <w:spacing w:after="0" w:line="165" w:lineRule="exact"/>
        <w:rPr>
          <w:rFonts w:ascii="Courier New" w:cs="Courier New" w:eastAsia="Courier New" w:hAnsi="Courier New"/>
          <w:sz w:val="14"/>
          <w:szCs w:val="14"/>
          <w:color w:val="auto"/>
        </w:rPr>
      </w:pPr>
    </w:p>
    <w:p>
      <w:pPr>
        <w:ind w:left="1320" w:right="3239" w:hanging="436"/>
        <w:spacing w:after="0" w:line="237" w:lineRule="auto"/>
        <w:tabs>
          <w:tab w:leader="none" w:pos="132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 - In December 2003, the Company and chip maker Siliconix incorporated, an 80% owned subsidiary of Vishay Intertechnology Inc., entered into a memorandum of understanding ("MOU") for a long-term manufacturing and supply arrangement. Pursuant to the MOU, Siliconix will place with the Company orders valued at approximately $200,000 for the purchase of wafers to be manufactured at the Company's Fab 1 over a seven to ten year period, of which approximately $53,000 is guaranteed and will be delivered over a three year period starting at the first anniversary of the definitive agreement. Siliconix will advance the Company with $20,000 to be used primarily for the purchase of additional equipment required to satisfy Siliconix orders, which will be credited towards the purchase price of the wafers. The transaction is subject to the approval of both companies' board of directors, the Company's Banks, the Investment Center and to the negotiation of definitive documentation. A definitive agreement is expected to be signed during the first quarter of 2004.</w:t>
      </w:r>
    </w:p>
    <w:p>
      <w:pPr>
        <w:spacing w:after="0" w:line="175" w:lineRule="exact"/>
        <w:rPr>
          <w:rFonts w:ascii="Courier New" w:cs="Courier New" w:eastAsia="Courier New" w:hAnsi="Courier New"/>
          <w:sz w:val="15"/>
          <w:szCs w:val="15"/>
          <w:color w:val="auto"/>
        </w:rPr>
      </w:pPr>
    </w:p>
    <w:p>
      <w:pPr>
        <w:ind w:left="1320" w:right="3319" w:hanging="436"/>
        <w:spacing w:after="0" w:line="256" w:lineRule="auto"/>
        <w:tabs>
          <w:tab w:leader="none" w:pos="132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 The Company, from time to time in the normal course of business, enters into long-term agreements with various entities for the joint development of products and processes utilizing technologies owned by both the other entities and the Company.</w:t>
      </w:r>
    </w:p>
    <w:p>
      <w:pPr>
        <w:spacing w:after="0" w:line="326" w:lineRule="exact"/>
        <w:rPr>
          <w:rFonts w:ascii="Courier New" w:cs="Courier New" w:eastAsia="Courier New" w:hAnsi="Courier New"/>
          <w:sz w:val="14"/>
          <w:szCs w:val="14"/>
          <w:color w:val="auto"/>
        </w:rPr>
      </w:pPr>
    </w:p>
    <w:p>
      <w:pPr>
        <w:ind w:left="3420" w:hanging="174"/>
        <w:spacing w:after="0"/>
        <w:tabs>
          <w:tab w:leader="none" w:pos="342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w:t>
      </w:r>
    </w:p>
    <w:p>
      <w:pPr>
        <w:sectPr>
          <w:pgSz w:w="11900" w:h="16838" w:orient="portrait"/>
          <w:cols w:equalWidth="0" w:num="1">
            <w:col w:w="10239"/>
          </w:cols>
          <w:pgMar w:left="220" w:top="617" w:right="1440" w:bottom="1440" w:gutter="0" w:footer="0" w:header="0"/>
        </w:sectPr>
      </w:pPr>
    </w:p>
    <w:bookmarkStart w:id="31" w:name="page32"/>
    <w:bookmarkEnd w:id="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AFFAIRS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 Government authorities have the power to enforce compliance with these regulations and permits. As of December 31, 2003 the Company operated under a conditional permit from the Ministry of Environmental Affairs concerning the concentration of fluoride in the Company's wastewater. In management's opinion, the Company is in compliance with the terms of this permit, with one exception: the Company is monitoring the levels of fluoride in accordance with an oral understanding with the Israeli Ministry of Environmental Affairs, which is less frequent than required by the written terms of the permit. In addition, management is of the opinion that the Company is currently in compliance in all other material respects with applicable laws and regulations.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and unspecified rescissory relief. The Company believes that the complaint is without merit and intends to vigorously contest it. In January 2004, the Company filed with the court a motion to dismiss the action.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ISRAELI BANKING REGULATIONS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a recent amendment to a directive published by the Israel Supervisor of Banks, which becomes effective on March 31, 2004, the Company may be deemed part of a group of borrowers comprised of the Ofer Brothers Group, The Israel Corporation (the later being currently the indirect major shareholder of the Company),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a bank amounts to 150% of such bank's capital (gradually reduced to 135% between April 2005 and June 2006). If the Company's Banks exceed these limitations, they may limit the Company's ability to draw down the remaining Fab 2 credits of $69,000 and may require that the Company return some or all of the Company's outstanding borrowings ($431,000 as of December 31, 2003).</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COMMITMENTS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2003.</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28 -</w:t>
      </w:r>
    </w:p>
    <w:p>
      <w:pPr>
        <w:sectPr>
          <w:pgSz w:w="11900" w:h="16838" w:orient="portrait"/>
          <w:cols w:equalWidth="0" w:num="1">
            <w:col w:w="10239"/>
          </w:cols>
          <w:pgMar w:left="220" w:top="617" w:right="1440" w:bottom="1440" w:gutter="0" w:footer="0" w:header="0"/>
        </w:sectPr>
      </w:pPr>
    </w:p>
    <w:bookmarkStart w:id="32" w:name="page33"/>
    <w:bookmarkEnd w:id="3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w:t>
      </w:r>
    </w:p>
    <w:p>
      <w:pPr>
        <w:spacing w:after="0" w:line="166" w:lineRule="exact"/>
        <w:rPr>
          <w:sz w:val="20"/>
          <w:szCs w:val="20"/>
          <w:color w:val="auto"/>
        </w:rPr>
      </w:pPr>
    </w:p>
    <w:p>
      <w:pPr>
        <w:ind w:left="880" w:hanging="433"/>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ORDINARY SHARES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2003 and 2002, the Company had 150,000,000 and 70,000,000 authorized par value NIS 1.00 Ordinary Shares, respectively, of which 51,696,097 and 43,435,532, respectively, were issued and outstanding (net of 1,300,000 Ordinary Shares held by the Company as of such dates). As of the approval date of the financial statements, the Company had 65,137,883 issued and outstanding Ordinary Shares (net of 1,300,000 Ordinary Shares held by the Company as of such date). For shares issued in January 2004 following a public offering, see Note 14G. As of December 31, 2003, the Company was engaged in agreements and arrangements to issue 12,205,034 additional Ordinary Shares of the Company. This amount includes Ordinary Shares to be issued under various agreements according to their provisions as of December 31, 2003 related to Fab 2 Wafer Partners and Equity Investors warrants, the exercise of all options granted and issued to non-employees and the conversion of all the convertible debentures.</w:t>
      </w:r>
    </w:p>
    <w:p>
      <w:pPr>
        <w:spacing w:after="0" w:line="16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w:t>
      </w:r>
    </w:p>
    <w:p>
      <w:pPr>
        <w:spacing w:after="0" w:line="172"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 The Company has granted to its employees options to purchase its Ordinary Shares under several option plans adopted by the Company since 1994 through 2003. The particular provisions of each plan and grant vary as to vesting period, exercise price, exercise period and other terms. Generally, the options are granted at an exercise price which equals to not less than 85% of the market value of the Ordinary Shares at the date of grant (in mostly all cases, at an exercise price equal to the market value of the underlying shares at the date of grant); vest over a three to four-year period according to various vesting schedules; and are not exercisable beyond ten years from the grant date under each plan.</w:t>
      </w:r>
    </w:p>
    <w:p>
      <w:pPr>
        <w:spacing w:after="0" w:line="173"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CHAIRMAN OF THE BOARD OF DIRECTORS</w:t>
      </w:r>
    </w:p>
    <w:p>
      <w:pPr>
        <w:spacing w:after="0" w:line="9" w:lineRule="exact"/>
        <w:rPr>
          <w:rFonts w:ascii="Courier New" w:cs="Courier New" w:eastAsia="Courier New" w:hAnsi="Courier New"/>
          <w:sz w:val="14"/>
          <w:szCs w:val="14"/>
          <w:color w:val="auto"/>
        </w:rPr>
      </w:pPr>
    </w:p>
    <w:p>
      <w:pPr>
        <w:ind w:left="1760" w:right="3239" w:hanging="1"/>
        <w:spacing w:after="0" w:line="254" w:lineRule="auto"/>
        <w:tabs>
          <w:tab w:leader="none" w:pos="1935" w:val="left"/>
        </w:tabs>
        <w:numPr>
          <w:ilvl w:val="3"/>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 trading days preceding the date of board approval of the amendment to the Fab 2 investment agreements described in Note 13A(5)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336" w:lineRule="exact"/>
        <w:rPr>
          <w:rFonts w:ascii="Courier New" w:cs="Courier New" w:eastAsia="Courier New" w:hAnsi="Courier New"/>
          <w:sz w:val="14"/>
          <w:szCs w:val="14"/>
          <w:color w:val="auto"/>
        </w:rPr>
      </w:pPr>
    </w:p>
    <w:p>
      <w:pPr>
        <w:ind w:left="3420" w:hanging="174"/>
        <w:spacing w:after="0"/>
        <w:tabs>
          <w:tab w:leader="none" w:pos="3420" w:val="left"/>
        </w:tabs>
        <w:numPr>
          <w:ilvl w:val="4"/>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w:t>
      </w:r>
    </w:p>
    <w:p>
      <w:pPr>
        <w:sectPr>
          <w:pgSz w:w="11900" w:h="16838" w:orient="portrait"/>
          <w:cols w:equalWidth="0" w:num="1">
            <w:col w:w="10239"/>
          </w:cols>
          <w:pgMar w:left="220" w:top="617" w:right="1440" w:bottom="1440" w:gutter="0" w:footer="0" w:header="0"/>
        </w:sectPr>
      </w:pPr>
    </w:p>
    <w:bookmarkStart w:id="33" w:name="page34"/>
    <w:bookmarkEnd w:id="3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 (cont.)</w:t>
      </w:r>
    </w:p>
    <w:p>
      <w:pPr>
        <w:spacing w:after="0" w:line="172" w:lineRule="exact"/>
        <w:rPr>
          <w:rFonts w:ascii="Courier New" w:cs="Courier New" w:eastAsia="Courier New" w:hAnsi="Courier New"/>
          <w:sz w:val="15"/>
          <w:szCs w:val="15"/>
          <w:color w:val="auto"/>
        </w:rPr>
      </w:pPr>
    </w:p>
    <w:p>
      <w:pPr>
        <w:ind w:left="1760" w:right="3319" w:hanging="438"/>
        <w:spacing w:after="0" w:line="237" w:lineRule="auto"/>
        <w:tabs>
          <w:tab w:leader="none" w:pos="176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2003 and 2002, 280,000 options were outstanding under the plan. Options granted under the plan vest over a four-year period according to various vesting schedules, and generally may not be exercised beyond five years from the date they first become exercisable.</w:t>
      </w:r>
    </w:p>
    <w:p>
      <w:pPr>
        <w:spacing w:after="0" w:line="174"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2003, all the options are vested.</w:t>
      </w:r>
    </w:p>
    <w:p>
      <w:pPr>
        <w:spacing w:after="0" w:line="165"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TO FORMER CO-CEOS IN OCTOBER 1998 AND MAY 2001 - In October 1998 and May 2001, the Board of Directors of the Company approved share option plans pursuant to which each of the Company's two former Co-Chief Executive Officers was granted the right to purchase up to 300,000 and 100,000, respectively, Ordinary Shares of the Company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w:t>
      </w:r>
    </w:p>
    <w:p>
      <w:pPr>
        <w:spacing w:after="0" w:line="164" w:lineRule="exact"/>
        <w:rPr>
          <w:rFonts w:ascii="Courier New" w:cs="Courier New" w:eastAsia="Courier New" w:hAnsi="Courier New"/>
          <w:sz w:val="14"/>
          <w:szCs w:val="14"/>
          <w:color w:val="auto"/>
        </w:rPr>
      </w:pPr>
    </w:p>
    <w:p>
      <w:pPr>
        <w:ind w:left="1760" w:right="3239" w:hanging="438"/>
        <w:spacing w:after="0" w:line="254" w:lineRule="auto"/>
        <w:tabs>
          <w:tab w:leader="none" w:pos="1760"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the percentage for the years 2004 and 2005 will be 3.6%. Accordingly, as of December 31, 2003, an aggregate of 5,583,353 options were added to the Company's share option plans, of which 2,120,916 had not yet been designated for identified employees, and are accordingly available for grant under the general terms described in paragraph (a) above.</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w:t>
      </w:r>
    </w:p>
    <w:p>
      <w:pPr>
        <w:sectPr>
          <w:pgSz w:w="11900" w:h="16838" w:orient="portrait"/>
          <w:cols w:equalWidth="0" w:num="1">
            <w:col w:w="10239"/>
          </w:cols>
          <w:pgMar w:left="220" w:top="617" w:right="1440" w:bottom="1440" w:gutter="0" w:footer="0" w:header="0"/>
        </w:sectPr>
      </w:pPr>
    </w:p>
    <w:bookmarkStart w:id="34" w:name="page35"/>
    <w:bookmarkEnd w:id="3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4120" w:hanging="436"/>
        <w:spacing w:after="0" w:line="234" w:lineRule="auto"/>
        <w:tabs>
          <w:tab w:leader="none" w:pos="13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ALL THE COMPANY'S EMPLOYEE AND DIRECTOR SHARE OPTIONS</w:t>
      </w:r>
    </w:p>
    <w:p>
      <w:pPr>
        <w:spacing w:after="0" w:line="173" w:lineRule="exact"/>
        <w:rPr>
          <w:rFonts w:ascii="Courier New" w:cs="Courier New" w:eastAsia="Courier New" w:hAnsi="Courier New"/>
          <w:sz w:val="15"/>
          <w:szCs w:val="15"/>
          <w:color w:val="auto"/>
        </w:rPr>
      </w:pPr>
    </w:p>
    <w:p>
      <w:pPr>
        <w:ind w:left="1320" w:right="41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all the Company's employee and director share option plans as of December 31, 2003, 2002 and 2001, as well as changes during each of the years then ended, is presented below (for options granted to the Banks, a related party and a consultant, see paragraph B(5)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spacing w:after="0"/>
              <w:rPr>
                <w:sz w:val="14"/>
                <w:szCs w:val="14"/>
                <w:color w:val="auto"/>
              </w:rPr>
            </w:pPr>
          </w:p>
        </w:tc>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spacing w:after="0"/>
              <w:rPr>
                <w:sz w:val="14"/>
                <w:szCs w:val="14"/>
                <w:color w:val="auto"/>
              </w:rPr>
            </w:pPr>
          </w:p>
        </w:tc>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4"/>
              </w:rPr>
              <w:t>2001</w:t>
            </w:r>
          </w:p>
        </w:tc>
      </w:tr>
      <w:tr>
        <w:trPr>
          <w:trHeight w:val="336"/>
        </w:trPr>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64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24"/>
                <w:szCs w:val="2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5"/>
                <w:szCs w:val="15"/>
                <w:color w:val="auto"/>
                <w:w w:val="94"/>
              </w:rPr>
              <w:t>Weighted</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Number of</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average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share</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share</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Outstanding as of</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4,247,898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10.79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3,717,770</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11.94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2,376,543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3,118,742</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905,724</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1,583,722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(31,154)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(524,199)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(375,596)</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(211,341)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as of</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6,842,441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4,247,898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3,717,770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of end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2,008,674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1,299,531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1,080,867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INFORMATION ABOUT EMPLOYEE SHARE OPTIONS OUTSTANDING</w:t>
      </w:r>
    </w:p>
    <w:p>
      <w:pPr>
        <w:spacing w:after="0" w:line="172" w:lineRule="exact"/>
        <w:rPr>
          <w:rFonts w:ascii="Courier New" w:cs="Courier New" w:eastAsia="Courier New" w:hAnsi="Courier New"/>
          <w:sz w:val="15"/>
          <w:szCs w:val="15"/>
          <w:color w:val="auto"/>
        </w:rPr>
      </w:pPr>
    </w:p>
    <w:p>
      <w:pPr>
        <w:ind w:left="1320" w:right="42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information about employee share options outstanding as of December 31, 2003:</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Exercisable as of</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Outstanding as of December 31, 2003</w:t>
            </w:r>
          </w:p>
        </w:tc>
        <w:tc>
          <w:tcPr>
            <w:tcW w:w="1520" w:type="dxa"/>
            <w:vAlign w:val="bottom"/>
          </w:tcPr>
          <w:p>
            <w:pPr>
              <w:spacing w:after="0"/>
              <w:rPr>
                <w:sz w:val="14"/>
                <w:szCs w:val="14"/>
                <w:color w:val="auto"/>
              </w:rPr>
            </w:pPr>
          </w:p>
        </w:tc>
        <w:tc>
          <w:tcPr>
            <w:tcW w:w="30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 2003</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spacing w:after="0"/>
              <w:rPr>
                <w:sz w:val="14"/>
                <w:szCs w:val="14"/>
                <w:color w:val="auto"/>
              </w:rPr>
            </w:pPr>
          </w:p>
        </w:tc>
        <w:tc>
          <w:tcPr>
            <w:tcW w:w="30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Weighted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8"/>
              </w:rPr>
              <w:t>Range of exercise</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remaining</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15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prices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exercise price</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15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years)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2.98</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1,078,000</w:t>
            </w:r>
          </w:p>
        </w:tc>
        <w:tc>
          <w:tcPr>
            <w:tcW w:w="18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7.66</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3.00</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4.42</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1,505,400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9.63</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168,200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8.90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10,334</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974,575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8.57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6.10</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10,416</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720,350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3.61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715,500</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565,335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4.37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8.55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364,801</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64,038</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2.89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9.23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57,370</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- 10.89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857,088</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7.19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10.42</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318,535</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11.81</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7.41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11.81</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66,666</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11.81</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12.13</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71,910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5.01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12.49</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47,577</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12.59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14.25</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- 17.19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30,750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6.67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15.79</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20,499</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15.79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18.75</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- 18.75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6.26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18.75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25,497</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530,295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6.22</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24.43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371,479</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24.24</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6,842,441</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7.28</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7.93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2,008,674</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673"/>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- 31 -</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35" w:name="page36"/>
    <w:bookmarkEnd w:id="3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679" w:hanging="436"/>
        <w:spacing w:after="0" w:line="234" w:lineRule="auto"/>
        <w:tabs>
          <w:tab w:leader="none" w:pos="13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GRANT-DATE FAIR VALUE OF OPTIONS GRANTED TO EMPLOYEES</w:t>
      </w:r>
    </w:p>
    <w:p>
      <w:pPr>
        <w:spacing w:after="0" w:line="173"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weighted average grant-date fair value of the options granted during 2003, 2002 and 2001 to employees and directors amounted to $2.18, $2.83 and $6.95 per option, respectively. The Company utilized the Black-Scholes option pricing model to estimate fair value, utilizing the following assumptions for the years 2003,</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and 2001 (all in weighted averages):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120" w:type="dxa"/>
            <w:vAlign w:val="bottom"/>
          </w:tcPr>
          <w:p>
            <w:pPr>
              <w:spacing w:after="0"/>
              <w:rPr>
                <w:sz w:val="14"/>
                <w:szCs w:val="14"/>
                <w:color w:val="auto"/>
              </w:rPr>
            </w:pP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2.88%-3.22%</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4.75 years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4.82 years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 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annual volatility</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55%-74%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None</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None</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03" w:lineRule="exact"/>
        <w:rPr>
          <w:sz w:val="20"/>
          <w:szCs w:val="20"/>
          <w:color w:val="auto"/>
        </w:rPr>
      </w:pPr>
    </w:p>
    <w:p>
      <w:pPr>
        <w:ind w:left="1320" w:hanging="436"/>
        <w:spacing w:after="0"/>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Warrants</w:t>
      </w:r>
    </w:p>
    <w:p>
      <w:pPr>
        <w:spacing w:after="0" w:line="172" w:lineRule="exact"/>
        <w:rPr>
          <w:rFonts w:ascii="Courier New" w:cs="Courier New" w:eastAsia="Courier New" w:hAnsi="Courier New"/>
          <w:sz w:val="15"/>
          <w:szCs w:val="15"/>
          <w:color w:val="auto"/>
        </w:rPr>
      </w:pPr>
    </w:p>
    <w:p>
      <w:pPr>
        <w:ind w:left="1760" w:right="3239" w:hanging="438"/>
        <w:spacing w:after="0" w:line="235" w:lineRule="auto"/>
        <w:tabs>
          <w:tab w:leader="none" w:pos="176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 As of December 31, 2003, the Company granted the Banks an aggregate of 1,296,596 warrants to purchase Ordinary Shares of the Company, at an average exercise price of $6.18 per share, at terms described below:</w:t>
      </w:r>
    </w:p>
    <w:p>
      <w:pPr>
        <w:spacing w:after="0" w:line="175"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IN JANUARY 2001 - In January 2001, as part of the Facility Agreement described in Note 13A(6), the Banks received an aggregate of 400,000 warrants to purchase Ordinary Shares of the Company (200,000 each) at an exercise price, as amended in December 2001, of $6.20 per share. As of December 31, 2003, all of these warrants were fully vested. The warrants are exercisable for a five-year period ending January 2006.</w:t>
      </w:r>
    </w:p>
    <w:p>
      <w:pPr>
        <w:spacing w:after="0" w:line="177"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paying the exercise price in cash as described below, the Banks are entitled to exercise the warrants on a "cashless" basis, i.e. by forfeiting all or part of the warrants in exchange for ordinary shares equal to the aggregate fair market value of the shares underlying the warrants forfeited less the aggregate exercise price.</w:t>
      </w:r>
    </w:p>
    <w:p>
      <w:pPr>
        <w:spacing w:after="0" w:line="174"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6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WARRANTS GRANTED IN DECEMBER 2003 - In December 2003, as part of the amendment to the Facility Agreement described in Note 13A(6), the Banks received an aggregate of 896,596 warrants to purchase Ordinary Shares of the Company (448,298 each) at an exercise price of $6.17 per share, the 15 day average closing price of the Company's Ordinary Shares prior to the date the amendment with the Banks described in Note 13A(6) was signed. As of December 31, 2003, all of the warrants are fully vested. The warrants are exercisable for a five-year period ending December 2008.</w:t>
      </w:r>
    </w:p>
    <w:p>
      <w:pPr>
        <w:spacing w:after="0" w:line="165"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w:t>
      </w:r>
    </w:p>
    <w:p>
      <w:pPr>
        <w:sectPr>
          <w:pgSz w:w="11900" w:h="16838" w:orient="portrait"/>
          <w:cols w:equalWidth="0" w:num="1">
            <w:col w:w="10239"/>
          </w:cols>
          <w:pgMar w:left="220" w:top="617" w:right="1440" w:bottom="1440" w:gutter="0" w:footer="0" w:header="0"/>
        </w:sectPr>
      </w:pPr>
    </w:p>
    <w:bookmarkStart w:id="36" w:name="page37"/>
    <w:bookmarkEnd w:id="3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SHARE WARRANTS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(cont.)</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BE GRANTED TO THE BANKS - In the event the Banks increase the loans available to be drawn down by the Company under the Facility Agreement, as described in Note 13A(6), the Company will issue the Banks additional five-year warrants equivalent to 30% of the amount drawn down based on the average closing price of the Company's Ordinary Shares during the 15 trading days prior to the time the Company draws down such loan. As of December 31, 2003, no warrants were issued under this commitment.</w:t>
      </w:r>
    </w:p>
    <w:p>
      <w:pPr>
        <w:spacing w:after="0" w:line="178"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GRANTED TO A RELATED PARTY - In consideration for TIC's undertaking described in Note 13A(6), the Company issued IC-Tech warrants for the purchase of 58,906 of the Company's Ordinary Shares. The exercise price for the warrants is $6.17 per share, the 15-day average closing price of the Company's Ordinary Shares prior to the date the amendment with the Banks described in Note 13A(6) was signed. As of December 31, 2003, all of the warrants are fully vested. The warrants are exercisable for a five-year period ending December 2008.</w:t>
      </w:r>
    </w:p>
    <w:p>
      <w:pPr>
        <w:spacing w:after="0" w:line="179" w:lineRule="exact"/>
        <w:rPr>
          <w:rFonts w:ascii="Courier New" w:cs="Courier New" w:eastAsia="Courier New" w:hAnsi="Courier New"/>
          <w:sz w:val="15"/>
          <w:szCs w:val="15"/>
          <w:color w:val="auto"/>
        </w:rPr>
      </w:pPr>
    </w:p>
    <w:p>
      <w:pPr>
        <w:ind w:left="17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award granted to IC-Tech, determined based on the fair value at the grant date in accordance with SFAS 123, amounted to a total of $259. Such amount was allocated to other assets as deferred financing charges to be amortized as financing expense over the terms of the loans under the Facility Agreement with the Banks.</w:t>
      </w:r>
    </w:p>
    <w:p>
      <w:pPr>
        <w:spacing w:after="0" w:line="166"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in the framework of TIC's undertaking described in Note 13A(6), the Company undertook to issue additional warrants to IC-Tech as a subscription fee which will be 5% of the total amount of money invested by TIC in case the TIC's undertaking is realized in consideration for all of the unsubscribed rights that it actually purchases. The exercise price of these warrants shall be the 15-day average closing price of the Company's Ordinary Shares prior to the date of the rights offering prospectus, and they shall expire five years from their date of issuance.</w:t>
      </w:r>
    </w:p>
    <w:p>
      <w:pPr>
        <w:spacing w:after="0" w:line="165"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CONSULTANT - In return for services provided to the Company by a consultant 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is being amortized in accordance with the other technology transfer costs. The remaining $1,052 was attributed to issuance of Ordinary Shares to certain Wafer Partners and was included in paid-in capital.</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TO OTPP - See Note 13A(4).</w:t>
      </w:r>
    </w:p>
    <w:p>
      <w:pPr>
        <w:spacing w:after="0" w:line="173" w:lineRule="exact"/>
        <w:rPr>
          <w:sz w:val="20"/>
          <w:szCs w:val="20"/>
          <w:color w:val="auto"/>
        </w:rPr>
      </w:pPr>
    </w:p>
    <w:p>
      <w:pPr>
        <w:ind w:left="1320" w:right="3499"/>
        <w:spacing w:after="0" w:line="235" w:lineRule="auto"/>
        <w:rPr>
          <w:sz w:val="20"/>
          <w:szCs w:val="20"/>
          <w:color w:val="auto"/>
        </w:rPr>
      </w:pPr>
      <w:r>
        <w:rPr>
          <w:rFonts w:ascii="Courier New" w:cs="Courier New" w:eastAsia="Courier New" w:hAnsi="Courier New"/>
          <w:sz w:val="15"/>
          <w:szCs w:val="15"/>
          <w:color w:val="auto"/>
        </w:rPr>
        <w:t>The Company utilized the Black-Scholes option pricing model to estimate fair values of options and warrants granted to non-employees, utilizing the assumptions similar to those presented in paragraph B(4) above.</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39"/>
          </w:cols>
          <w:pgMar w:left="220" w:top="617" w:right="1440" w:bottom="1440" w:gutter="0" w:footer="0" w:header="0"/>
        </w:sectPr>
      </w:pPr>
    </w:p>
    <w:bookmarkStart w:id="37" w:name="page38"/>
    <w:bookmarkEnd w:id="3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LOSS PER SHARE ACCORDING TO SFAS 123 AND SFAS 148</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all awards made through December 31, 2003 in accordance with SFAS 123, as amended by SFAS 148, the Company's pro forma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$(114,261)</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(51,402)</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(38,522)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determined under APB-25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 determined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SFAS 123</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(8,437)</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(7,476)</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loss</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$(122,671)</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(58,736)</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(44,448)</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BASIC LOSS PER SHARE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(1.63)</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DISTRIBUTIONS</w:t>
      </w:r>
    </w:p>
    <w:p>
      <w:pPr>
        <w:spacing w:after="0" w:line="172"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as amended, (Note 13A(6)), the Company undertook not to distribute any dividends prior to January 1, 2008. Any dividend distributions after that date shall be subject to provisions stipulated in such agreement.</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239"/>
          </w:cols>
          <w:pgMar w:left="220" w:top="617" w:right="1440" w:bottom="1440" w:gutter="0" w:footer="0" w:header="0"/>
        </w:sectPr>
      </w:pPr>
    </w:p>
    <w:bookmarkStart w:id="38" w:name="page39"/>
    <w:bookmarkEnd w:id="3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2002, the Company issued on the Tel Aviv Stock Exchange, Israel NIS 110,579,800 principal amount of convertible debentures, under terms described in Note 11. Together with the convertible debentures the Company issued for no consideration an aggregate of 552,899 options (all of which expired without being exercised) and 2,211,596 Options (Series 1) exercisable into one Ordinary Share of the Company until January 20, 2006 at an exercise price of NIS 39.00 (subject to customary adjustments), linked to the Israeli Consumer Price Index (as of December 31, 2003 - NIS 40.83, $9.32). The total initial proceeds raised were $23,200, and costs related to the issuance of the securities and the prospectus in Israel were approximately $1,750. See Note 20E for the disclosure of the accounting treatment of the sale of these securities under U.S. GAAP.</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2002, the Company issued in connection with a rights offering done on the Nasdaq and on the Tel-Aviv Stock Exchange in Israel 4,097,964 Ordinary Shares of the Company and 1,844,082 warrants to purchase Ordinary Shares of the Company, in consideration for an aggregate of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 were approximately $800.</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 IN JANUARY 2004</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2004, the Company completed a public offering of 11,000,000 of its Ordinary Shares. Gross proceeds received in January 2004 were $77,000, and costs in relation to the prospectus and the issuance of the securities were approximately $4,700. In addition, the Company granted the underwriters a 30-day option to purchase up to an additional 1,650,000 ordinary shares at the public offering price to cover over-allotments.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w:t>
      </w:r>
    </w:p>
    <w:p>
      <w:pPr>
        <w:sectPr>
          <w:pgSz w:w="11900" w:h="16838" w:orient="portrait"/>
          <w:cols w:equalWidth="0" w:num="1">
            <w:col w:w="10239"/>
          </w:cols>
          <w:pgMar w:left="220" w:top="617" w:right="1440" w:bottom="1440" w:gutter="0" w:footer="0" w:header="0"/>
        </w:sectPr>
      </w:pPr>
    </w:p>
    <w:bookmarkStart w:id="39" w:name="page40"/>
    <w:bookmarkEnd w:id="3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INFORMATION ON GEOGRAPHIC AREAS AND MAJOR CUSTOMERS</w:t>
      </w:r>
    </w:p>
    <w:p>
      <w:pPr>
        <w:spacing w:after="0" w:line="166" w:lineRule="exact"/>
        <w:rPr>
          <w:sz w:val="20"/>
          <w:szCs w:val="20"/>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GEOGRAPHIC AREA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5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820" w:type="dxa"/>
            <w:vAlign w:val="bottom"/>
          </w:tcPr>
          <w:p>
            <w:pPr>
              <w:spacing w:after="0"/>
              <w:rPr>
                <w:sz w:val="14"/>
                <w:szCs w:val="14"/>
                <w:color w:val="auto"/>
              </w:rPr>
            </w:pPr>
          </w:p>
        </w:tc>
        <w:tc>
          <w:tcPr>
            <w:tcW w:w="25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Asia Pacific - in 2003, Taiwan; in 2002,</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primarily Japan; in 2001, primarily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Taiwan</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83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BY GEOGRAPHIC AREA - Substantially all of the Company's long-lived assets are located in Israel.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CUSTOMERS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w:t>
            </w:r>
          </w:p>
        </w:tc>
        <w:tc>
          <w:tcPr>
            <w:tcW w:w="3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4"/>
              </w:rPr>
              <w:t>2003</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2002</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2720" w:type="dxa"/>
            <w:vAlign w:val="bottom"/>
          </w:tcPr>
          <w:p>
            <w:pPr>
              <w:spacing w:after="0"/>
              <w:rPr>
                <w:sz w:val="14"/>
                <w:szCs w:val="14"/>
                <w:color w:val="auto"/>
              </w:rPr>
            </w:pP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4"/>
              </w:rPr>
              <w:t>----</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31%</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w w:val="88"/>
              </w:rPr>
              <w:t>30%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20</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11</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16</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20</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341" w:lineRule="exact"/>
        <w:rPr>
          <w:sz w:val="20"/>
          <w:szCs w:val="20"/>
          <w:color w:val="auto"/>
        </w:rPr>
      </w:pPr>
    </w:p>
    <w:p>
      <w:pPr>
        <w:ind w:left="1320" w:right="3239" w:hanging="436"/>
        <w:spacing w:after="0" w:line="254" w:lineRule="auto"/>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 sales to six different customers each of whom accounted for between 0% and 9% of sales during 2003; to five customers</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 during 2002; and to five customers (2%-8%) during 2001.</w:t>
      </w:r>
    </w:p>
    <w:p>
      <w:pPr>
        <w:spacing w:after="0" w:line="342"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As of December 31, 2003 and 2002, the above major customers constituted the majority of the trade accounts receivable reflected on the balance sheets.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FINANCING INCOME (EXPENSE), NET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income (expense), net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Financial expenses (primarily bank loan interest)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$(16,073)</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$(11,669)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(3,365)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expenses in relation</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convertible debentures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(1,101)</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capitalized interest - Note 6A(3)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6,892</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10,260</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(10,379)</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(2,510)</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(primarily bank deposit interest)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406</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3,502</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(9,826)</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(2,104)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80" w:type="dxa"/>
            <w:vAlign w:val="bottom"/>
          </w:tcPr>
          <w:p>
            <w:pPr>
              <w:ind w:left="3240"/>
              <w:spacing w:after="0"/>
              <w:rPr>
                <w:sz w:val="20"/>
                <w:szCs w:val="20"/>
                <w:color w:val="auto"/>
              </w:rPr>
            </w:pPr>
            <w:r>
              <w:rPr>
                <w:rFonts w:ascii="Courier New" w:cs="Courier New" w:eastAsia="Courier New" w:hAnsi="Courier New"/>
                <w:sz w:val="15"/>
                <w:szCs w:val="15"/>
                <w:color w:val="auto"/>
              </w:rPr>
              <w:t>- 36 -</w:t>
            </w: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0" w:name="page41"/>
    <w:bookmarkEnd w:id="4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w:t>
      </w:r>
    </w:p>
    <w:p>
      <w:pPr>
        <w:spacing w:after="0" w:line="166" w:lineRule="exact"/>
        <w:rPr>
          <w:sz w:val="20"/>
          <w:szCs w:val="20"/>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Company's existing facilities as of December 31, 2003 have been granted approved enterprise status, as provided by the Israeli Law for the Encouragement of Capital Investments - 1959 ("Investments Law") (see Note 6B).</w:t>
      </w:r>
    </w:p>
    <w:p>
      <w:pPr>
        <w:spacing w:after="0" w:line="17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periods ending between 2003 and 2012. Taxable income attributable to Fab 2 approved program shall be tax-exempt for the first two years it arises. The portion of the Company's taxable income that is not attributable to approved enterprise investments is taxed at a rate of 36% (regular "Company Tax").</w:t>
      </w:r>
    </w:p>
    <w:p>
      <w:pPr>
        <w:spacing w:after="0" w:line="179"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DEFERRED TAX ASSET/LIABILITY</w:t>
      </w:r>
    </w:p>
    <w:p>
      <w:pPr>
        <w:spacing w:after="0" w:line="172" w:lineRule="exact"/>
        <w:rPr>
          <w:rFonts w:ascii="Courier New" w:cs="Courier New" w:eastAsia="Courier New" w:hAnsi="Courier New"/>
          <w:sz w:val="15"/>
          <w:szCs w:val="15"/>
          <w:color w:val="auto"/>
        </w:rPr>
      </w:pPr>
    </w:p>
    <w:p>
      <w:pPr>
        <w:ind w:left="88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304" w:lineRule="exact"/>
        <w:rPr>
          <w:sz w:val="20"/>
          <w:szCs w:val="20"/>
          <w:color w:val="auto"/>
        </w:rPr>
      </w:pPr>
    </w:p>
    <w:tbl>
      <w:tblPr>
        <w:tblLayout w:type="fixed"/>
        <w:tblInd w:w="5600" w:type="dxa"/>
        <w:tblCellMar>
          <w:top w:w="0" w:type="dxa"/>
          <w:left w:w="0" w:type="dxa"/>
          <w:bottom w:w="0" w:type="dxa"/>
          <w:right w:w="0" w:type="dxa"/>
        </w:tblCellMar>
      </w:tblPr>
      <w:tr>
        <w:trPr>
          <w:trHeight w:val="170"/>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DEFERRED TAX BENEFIT - CURRENT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 pay</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695</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757</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(757)</w:t>
            </w:r>
          </w:p>
        </w:tc>
        <w:tc>
          <w:tcPr>
            <w:tcW w:w="6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(664)</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deferred tax benefit</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BENEFIT - LONG-TERM</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 -</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$ 58,048</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$ 19,094</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3,748</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Liability for employee rights upon severance</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887</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62,683</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22,634</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(43,861)</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(17,229)</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18,822</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5,405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 - depreciation and amortization</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(18,822)</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(5,405)</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net long-term deferred tax benefit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40" w:type="dxa"/>
            <w:vAlign w:val="bottom"/>
          </w:tcPr>
          <w:p>
            <w:pPr>
              <w:ind w:left="3240"/>
              <w:spacing w:after="0"/>
              <w:rPr>
                <w:sz w:val="20"/>
                <w:szCs w:val="20"/>
                <w:color w:val="auto"/>
              </w:rPr>
            </w:pPr>
            <w:r>
              <w:rPr>
                <w:rFonts w:ascii="Courier New" w:cs="Courier New" w:eastAsia="Courier New" w:hAnsi="Courier New"/>
                <w:sz w:val="15"/>
                <w:szCs w:val="15"/>
                <w:color w:val="auto"/>
              </w:rPr>
              <w:t>- 37 -</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1" w:name="page42"/>
    <w:bookmarkEnd w:id="4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 (cont.)</w:t>
      </w:r>
    </w:p>
    <w:p>
      <w:pPr>
        <w:spacing w:after="0" w:line="166" w:lineRule="exact"/>
        <w:rPr>
          <w:sz w:val="20"/>
          <w:szCs w:val="20"/>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INCOME TAX RATES</w:t>
      </w:r>
    </w:p>
    <w:p>
      <w:pPr>
        <w:spacing w:after="0" w:line="172" w:lineRule="exact"/>
        <w:rPr>
          <w:rFonts w:ascii="Courier New" w:cs="Courier New" w:eastAsia="Courier New" w:hAnsi="Courier New"/>
          <w:sz w:val="15"/>
          <w:szCs w:val="15"/>
          <w:color w:val="auto"/>
        </w:rPr>
      </w:pPr>
    </w:p>
    <w:p>
      <w:pPr>
        <w:ind w:left="88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reconciliation of the statutory tax rate to the Company's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520" w:type="dxa"/>
            <w:vAlign w:val="bottom"/>
          </w:tcPr>
          <w:p>
            <w:pPr>
              <w:spacing w:after="0"/>
              <w:rPr>
                <w:sz w:val="14"/>
                <w:szCs w:val="14"/>
                <w:color w:val="auto"/>
              </w:rPr>
            </w:pPr>
          </w:p>
        </w:tc>
        <w:tc>
          <w:tcPr>
            <w:tcW w:w="35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Israeli statutory rate</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Reduced tax rate for approved enterprise</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benefits for which deferred taxes</w:t>
            </w: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were not recorded</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differences and other, net</w:t>
            </w: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CARRYFORWARD</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 had net operating loss carryforwards for tax purposes of approximately $300,000, which may be carried forward for an unlimited period of time.</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TAX ASSESSMENTS</w:t>
      </w:r>
    </w:p>
    <w:p>
      <w:pPr>
        <w:spacing w:after="0" w:line="172" w:lineRule="exact"/>
        <w:rPr>
          <w:rFonts w:ascii="Courier New" w:cs="Courier New" w:eastAsia="Courier New" w:hAnsi="Courier New"/>
          <w:sz w:val="15"/>
          <w:szCs w:val="15"/>
          <w:color w:val="auto"/>
        </w:rPr>
      </w:pPr>
    </w:p>
    <w:p>
      <w:pPr>
        <w:ind w:left="88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final tax assessments under agreement through the year 1998. In addition, the tax assessment for 1999 is deemed final.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74"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See Note 20C for disclosure related to the Company's derivatives financial instruments in accordance with U.S. GAAP.</w:t>
      </w:r>
    </w:p>
    <w:p>
      <w:pPr>
        <w:spacing w:after="0" w:line="167" w:lineRule="exact"/>
        <w:rPr>
          <w:sz w:val="20"/>
          <w:szCs w:val="20"/>
          <w:color w:val="auto"/>
        </w:rPr>
      </w:pPr>
    </w:p>
    <w:p>
      <w:pPr>
        <w:ind w:left="880" w:hanging="433"/>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6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38 -</w:t>
      </w:r>
    </w:p>
    <w:p>
      <w:pPr>
        <w:sectPr>
          <w:pgSz w:w="11900" w:h="16838" w:orient="portrait"/>
          <w:cols w:equalWidth="0" w:num="1">
            <w:col w:w="10239"/>
          </w:cols>
          <w:pgMar w:left="220" w:top="617" w:right="1440" w:bottom="1440" w:gutter="0" w:footer="0" w:header="0"/>
        </w:sectPr>
      </w:pPr>
    </w:p>
    <w:bookmarkStart w:id="42" w:name="page43"/>
    <w:bookmarkEnd w:id="4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 (cont.)</w:t>
      </w:r>
    </w:p>
    <w:p>
      <w:pPr>
        <w:spacing w:after="0" w:line="166" w:lineRule="exact"/>
        <w:rPr>
          <w:sz w:val="20"/>
          <w:szCs w:val="20"/>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(cont.)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73" w:lineRule="exact"/>
        <w:rPr>
          <w:rFonts w:ascii="Courier New" w:cs="Courier New" w:eastAsia="Courier New" w:hAnsi="Courier New"/>
          <w:sz w:val="15"/>
          <w:szCs w:val="15"/>
          <w:color w:val="auto"/>
        </w:rPr>
      </w:pPr>
    </w:p>
    <w:p>
      <w:pPr>
        <w:ind w:left="88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hold or issue derivative financial instruments for non-hedging purposes.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 OF FINANCIAL INSTRUMENTS, INCLUDING DERIVATIVES</w:t>
      </w:r>
    </w:p>
    <w:p>
      <w:pPr>
        <w:spacing w:after="0" w:line="172"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face or contract amounts of derivatives do not represent amounts exchanged by the parties and, accordingly, are not a measure of the exposure of the Company through its use of derivatives.</w:t>
      </w:r>
    </w:p>
    <w:p>
      <w:pPr>
        <w:spacing w:after="0" w:line="161"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HEDGING ACTIVITIES IN THE FINANCIAL STATEMENTS</w:t>
      </w:r>
    </w:p>
    <w:p>
      <w:pPr>
        <w:spacing w:after="0" w:line="172" w:lineRule="exact"/>
        <w:rPr>
          <w:rFonts w:ascii="Courier New" w:cs="Courier New" w:eastAsia="Courier New" w:hAnsi="Courier New"/>
          <w:sz w:val="15"/>
          <w:szCs w:val="15"/>
          <w:color w:val="auto"/>
        </w:rPr>
      </w:pPr>
    </w:p>
    <w:p>
      <w:pPr>
        <w:ind w:left="1320" w:right="3319" w:hanging="436"/>
        <w:spacing w:after="0" w:line="255" w:lineRule="auto"/>
        <w:tabs>
          <w:tab w:leader="none" w:pos="132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2002, the Company had an outstanding foreign exchange agreements (options) to hedge exposure related to the purchase of machinery and equipment in an aggregate of $44,032 (as of December 31, 2003 - $0). The agreements resulted in 2003 in a gain of $2,357 of which $1,663 was capitalized to fixed assets; in 2002 -$3,062 and $2,770, respectively; in 2001 - in a loss of $4,462 from forward transactions of which $4,564 was capitalized to fixed assets.</w:t>
      </w:r>
    </w:p>
    <w:p>
      <w:pPr>
        <w:spacing w:after="0" w:line="165"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and 2002, the Company had an outstanding agreements to hedge interest rate exposure on loans to be withdrawn under the Facility Agreement, the aggregate amount of which was $212,000, all of which is attributable to Fab 2. These agreements resulted in 2003 in a loss of $5,335 of which $2,547 was capitalized to property and equipment; in 2002 - a loss of $3,707 of which $3,593 was capitalized to property and equipment; in 2001 - a loss of $463 of which $344 was capitalized to property and equipment.</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values of the Company's financial instruments, excluding the Company's agreements to hedge interest rate exposure on long-term loans, did not materially differ from their respective carrying amounts as of December 31, 2003 and 2002. The fair value of the interest rate hedging transactions as of December 31, 2003 would have resulted in an unrealized capitalizable loss of $9,920 (as of December 31, 2002 - $11,952).</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39 -</w:t>
      </w:r>
    </w:p>
    <w:p>
      <w:pPr>
        <w:sectPr>
          <w:pgSz w:w="11900" w:h="16838" w:orient="portrait"/>
          <w:cols w:equalWidth="0" w:num="1">
            <w:col w:w="10239"/>
          </w:cols>
          <w:pgMar w:left="220" w:top="617" w:right="1440" w:bottom="1440" w:gutter="0" w:footer="0" w:header="0"/>
        </w:sectPr>
      </w:pPr>
    </w:p>
    <w:bookmarkStart w:id="43" w:name="page44"/>
    <w:bookmarkEnd w:id="4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RELATED PARTIES BALANCES AND TRANSACTIONS</w:t>
      </w:r>
    </w:p>
    <w:p>
      <w:pPr>
        <w:spacing w:after="0" w:line="166" w:lineRule="exact"/>
        <w:rPr>
          <w:sz w:val="20"/>
          <w:szCs w:val="20"/>
          <w:color w:val="auto"/>
        </w:rPr>
      </w:pPr>
    </w:p>
    <w:p>
      <w:pPr>
        <w:ind w:left="880" w:hanging="433"/>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w:t>
      </w:r>
    </w:p>
    <w:p>
      <w:pPr>
        <w:spacing w:after="0" w:line="200" w:lineRule="exact"/>
        <w:rPr>
          <w:sz w:val="20"/>
          <w:szCs w:val="20"/>
          <w:color w:val="auto"/>
        </w:rPr>
      </w:pPr>
    </w:p>
    <w:p>
      <w:pPr>
        <w:spacing w:after="0" w:line="303" w:lineRule="exact"/>
        <w:rPr>
          <w:sz w:val="20"/>
          <w:szCs w:val="20"/>
          <w:color w:val="auto"/>
        </w:rPr>
      </w:pPr>
    </w:p>
    <w:tbl>
      <w:tblPr>
        <w:tblLayout w:type="fixed"/>
        <w:tblInd w:w="2980" w:type="dxa"/>
        <w:tblCellMar>
          <w:top w:w="0" w:type="dxa"/>
          <w:left w:w="0" w:type="dxa"/>
          <w:bottom w:w="0" w:type="dxa"/>
          <w:right w:w="0" w:type="dxa"/>
        </w:tblCellMar>
      </w:tblP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Trade accounts receivable</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$5,286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23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41"/>
        </w:trPr>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B.</w:t>
            </w: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Transactions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73"/>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2002</w:t>
            </w:r>
          </w:p>
        </w:tc>
        <w:tc>
          <w:tcPr>
            <w:tcW w:w="44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$13,282</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$ 3,836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$ 4,339</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Management fees</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Purchases of raw materials</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$ 2,460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Development costs - Note 5B</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Expense reimbursements paid</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Expense reimbursements received</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Royalties received - Note 13F(2)</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Royalties paid/payable  - Note 13F(2)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31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commitments, contingencies and other transactions relating to Fab 2 Wafer Partner and Equity Investor agreements - see Note 13A.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With regard to the Company's financial statements, the material differences between GAAP in Israel and in the U.S. relate to the following. See G below for the presentation of the Company's balance sheets as of December 31, 2003 and 2002 in accordance with U.S. GAAP.</w:t>
      </w:r>
    </w:p>
    <w:p>
      <w:pPr>
        <w:spacing w:after="0" w:line="175" w:lineRule="exact"/>
        <w:rPr>
          <w:sz w:val="20"/>
          <w:szCs w:val="20"/>
          <w:color w:val="auto"/>
        </w:rPr>
      </w:pPr>
    </w:p>
    <w:p>
      <w:pPr>
        <w:ind w:left="880" w:right="3579" w:hanging="433"/>
        <w:spacing w:after="0" w:line="234"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2003, $44,042 and $4,848 were reclassified, respectively, from current assets and long-term investments to a long-term asset (as of December 31, 2002 - $51,338 and $11,893, respectively).</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an amount of $14,607 and $12,368 as of December 31, 2003 and 2002, respectively, was reclassified from other long-term liabilities to long-term investments.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w:t>
      </w:r>
    </w:p>
    <w:p>
      <w:pPr>
        <w:sectPr>
          <w:pgSz w:w="11900" w:h="16838" w:orient="portrait"/>
          <w:cols w:equalWidth="0" w:num="1">
            <w:col w:w="10239"/>
          </w:cols>
          <w:pgMar w:left="220" w:top="617" w:right="1440" w:bottom="1440" w:gutter="0" w:footer="0" w:header="0"/>
        </w:sectPr>
      </w:pPr>
    </w:p>
    <w:bookmarkStart w:id="44" w:name="page45"/>
    <w:bookmarkEnd w:id="4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75"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77"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adoption of SFAS 133, the Company accounted for hedging activities for U.S. GAAP purposes according to the policy described in Notes 2M and 18A. Based on the hedging activities the Company had prior to January 1, 2001, the financial statements of the Company were not materially affected by the initial adoption of SFAS 133.</w:t>
      </w:r>
    </w:p>
    <w:p>
      <w:pPr>
        <w:spacing w:after="0" w:line="174"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2003, there were not any outstanding foreign exchange agreements. For outstanding foreign exchange agreements as of December 31, 2002, see Note 18C(1).</w:t>
      </w:r>
    </w:p>
    <w:p>
      <w:pPr>
        <w:spacing w:after="0" w:line="163" w:lineRule="exact"/>
        <w:rPr>
          <w:rFonts w:ascii="Courier New" w:cs="Courier New" w:eastAsia="Courier New" w:hAnsi="Courier New"/>
          <w:sz w:val="14"/>
          <w:szCs w:val="14"/>
          <w:color w:val="auto"/>
        </w:rPr>
      </w:pPr>
    </w:p>
    <w:p>
      <w:pPr>
        <w:ind w:left="132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uses interest rate collars with a knock-out feature to hedge its Libor-based variable long-term debt cash flow exposure. The knock-out feature was set above the cap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2G), as interest payment become due. For outstanding contracts as of December 31, 2003 and 2002, see Note 18C(2).</w:t>
      </w:r>
    </w:p>
    <w:p>
      <w:pPr>
        <w:spacing w:after="0" w:line="174" w:lineRule="exact"/>
        <w:rPr>
          <w:sz w:val="20"/>
          <w:szCs w:val="20"/>
          <w:color w:val="auto"/>
        </w:rPr>
      </w:pPr>
    </w:p>
    <w:p>
      <w:pPr>
        <w:ind w:left="880" w:right="3239"/>
        <w:spacing w:after="0" w:line="256" w:lineRule="auto"/>
        <w:rPr>
          <w:sz w:val="20"/>
          <w:szCs w:val="20"/>
          <w:color w:val="auto"/>
        </w:rPr>
      </w:pPr>
      <w:r>
        <w:rPr>
          <w:rFonts w:ascii="Courier New" w:cs="Courier New" w:eastAsia="Courier New" w:hAnsi="Courier New"/>
          <w:sz w:val="14"/>
          <w:szCs w:val="14"/>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corresponding to the economic useful lives of the machinery and equipment.</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39"/>
          </w:cols>
          <w:pgMar w:left="220" w:top="617" w:right="1440" w:bottom="1440" w:gutter="0" w:footer="0" w:header="0"/>
        </w:sectPr>
      </w:pPr>
    </w:p>
    <w:bookmarkStart w:id="45" w:name="page46"/>
    <w:bookmarkEnd w:id="4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 (cont.)</w:t>
      </w:r>
    </w:p>
    <w:p>
      <w:pPr>
        <w:spacing w:after="0" w:line="172"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2003 would have resulted in: an increase in other long-term liabilities in the amount of $9,920; a decrease in other comprehensive loss for the year ended December 31, 2003 of $1,940 and in the accumulated other comprehensive loss component of equity as of such date in the amount of $15,897; and in a decrease of $5,947 in property and equipment, net as of December 31, 2003.</w:t>
      </w:r>
    </w:p>
    <w:p>
      <w:pPr>
        <w:spacing w:after="0" w:line="33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December 31, 2003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2003</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 according to</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U.S. GAAP (see H below)</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$(114,261)</w:t>
            </w:r>
          </w:p>
        </w:tc>
        <w:tc>
          <w:tcPr>
            <w:tcW w:w="16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(51,402)</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(38,522)</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 determined</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APB-25</w:t>
            </w:r>
          </w:p>
        </w:tc>
        <w:tc>
          <w:tcPr>
            <w:tcW w:w="4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4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(8,437)</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(7,476)</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loss</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$(122,671)</w:t>
            </w:r>
          </w:p>
        </w:tc>
        <w:tc>
          <w:tcPr>
            <w:tcW w:w="16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(58,736)</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(44,448)</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GAAP (see J below)</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0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080" w:type="dxa"/>
            <w:vAlign w:val="bottom"/>
          </w:tcPr>
          <w:p>
            <w:pPr>
              <w:ind w:left="3240"/>
              <w:spacing w:after="0"/>
              <w:rPr>
                <w:sz w:val="20"/>
                <w:szCs w:val="20"/>
                <w:color w:val="auto"/>
              </w:rPr>
            </w:pPr>
            <w:r>
              <w:rPr>
                <w:rFonts w:ascii="Courier New" w:cs="Courier New" w:eastAsia="Courier New" w:hAnsi="Courier New"/>
                <w:sz w:val="15"/>
                <w:szCs w:val="15"/>
                <w:color w:val="auto"/>
              </w:rPr>
              <w:t>- 42 -</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6" w:name="page47"/>
    <w:bookmarkEnd w:id="4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described in Notes 11 and 14E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each of the years ended December 31, 2003 and 2002 would have been immaterial.</w:t>
      </w:r>
    </w:p>
    <w:p>
      <w:pPr>
        <w:spacing w:after="0" w:line="33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3"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others, a fixed monetary amount known at inception. Accordingly, the $13,201 and $3,227 amounts which are described in detail in Notes 13A(3) and (4), respectively, and which according to Israeli GAAP are presented as "Proceeds on account of share capital", are reclassified under SFAS 150 as "Liability in respect of variable number of shares to be issued". Such presentation for the U.S. GAAP purposes is required since as of December 31, 2003, the amount of shares the Company is to issue in consideration of the aggregate of $16,428 is not determined as of such date, and is actually based on mechanisms that embodies variable number of shares.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w:t>
      </w:r>
    </w:p>
    <w:p>
      <w:pPr>
        <w:sectPr>
          <w:pgSz w:w="11900" w:h="16838" w:orient="portrait"/>
          <w:cols w:equalWidth="0" w:num="1">
            <w:col w:w="10239"/>
          </w:cols>
          <w:pgMar w:left="220" w:top="617" w:right="1440" w:bottom="1440" w:gutter="0" w:footer="0" w:header="0"/>
        </w:sectPr>
      </w:pPr>
    </w:p>
    <w:bookmarkStart w:id="47" w:name="page48"/>
    <w:bookmarkEnd w:id="47"/>
    <w:p>
      <w:pPr>
        <w:jc w:val="center"/>
        <w:ind w:right="4440"/>
        <w:spacing w:after="0"/>
        <w:rPr>
          <w:sz w:val="20"/>
          <w:szCs w:val="20"/>
          <w:color w:val="auto"/>
        </w:rPr>
      </w:pPr>
      <w:r>
        <w:rPr>
          <w:rFonts w:ascii="Courier New" w:cs="Courier New" w:eastAsia="Courier New" w:hAnsi="Courier New"/>
          <w:sz w:val="15"/>
          <w:szCs w:val="15"/>
          <w:color w:val="auto"/>
        </w:rPr>
        <w:t>TOWER SEMICONDUCTOR LTD.</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44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G.</w:t>
        <w:tab/>
        <w:t>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AS OF DECEMBER 31, 2003</w:t>
            </w:r>
          </w:p>
        </w:tc>
        <w:tc>
          <w:tcPr>
            <w:tcW w:w="260" w:type="dxa"/>
            <w:vAlign w:val="bottom"/>
          </w:tcPr>
          <w:p>
            <w:pPr>
              <w:spacing w:after="0"/>
              <w:rPr>
                <w:sz w:val="14"/>
                <w:szCs w:val="14"/>
                <w:color w:val="auto"/>
              </w:rPr>
            </w:pPr>
          </w:p>
        </w:tc>
        <w:tc>
          <w:tcPr>
            <w:tcW w:w="2840" w:type="dxa"/>
            <w:vAlign w:val="bottom"/>
            <w:gridSpan w:val="5"/>
          </w:tcPr>
          <w:p>
            <w:pPr>
              <w:jc w:val="center"/>
              <w:ind w:right="127"/>
              <w:spacing w:after="0"/>
              <w:rPr>
                <w:sz w:val="20"/>
                <w:szCs w:val="20"/>
                <w:color w:val="auto"/>
              </w:rPr>
            </w:pPr>
            <w:r>
              <w:rPr>
                <w:rFonts w:ascii="Courier New" w:cs="Courier New" w:eastAsia="Courier New" w:hAnsi="Courier New"/>
                <w:sz w:val="15"/>
                <w:szCs w:val="15"/>
                <w:color w:val="auto"/>
                <w:w w:val="96"/>
              </w:rPr>
              <w:t>AS OF DECEMBER 31, 2002</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3"/>
              </w:rPr>
              <w: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U.S.</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AS PER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 PER</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 PER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GAAP</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ISRAELI</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w:t>
            </w: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ISRAELI</w:t>
            </w:r>
          </w:p>
        </w:tc>
        <w:tc>
          <w:tcPr>
            <w:tcW w:w="12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REMARK</w:t>
            </w:r>
          </w:p>
        </w:tc>
        <w:tc>
          <w:tcPr>
            <w:tcW w:w="220" w:type="dxa"/>
            <w:vAlign w:val="bottom"/>
          </w:tcPr>
          <w:p>
            <w:pPr>
              <w:spacing w:after="0"/>
              <w:rPr>
                <w:sz w:val="14"/>
                <w:szCs w:val="14"/>
                <w:color w:val="auto"/>
              </w:rPr>
            </w:pPr>
          </w:p>
        </w:tc>
        <w:tc>
          <w:tcPr>
            <w:tcW w:w="7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GAAP</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MENTS</w:t>
            </w: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GAAP</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MENTS</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12,448</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44,042</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(44,042)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51,338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(51,338)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DOUBTFUL ACCOUNTS OF $0 AND $155, RESPECTIVELY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11,631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11,631</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11,073</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11,073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21,322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19,382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19,382</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1,729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1,729</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100,305</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(44,042)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56,263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110,081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(51,338)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58,743</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4,848</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(4,848)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11,893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(11,893)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6,000</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14,607</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20,607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12,368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18,368</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10,848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9,759</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20,607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17,893</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18,368</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568,412</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(5,947)</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562,465</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493,074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(5,727)</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487,347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AND LONG-TERM</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INTEREST-BEARING DEPOSITS DESIGNATED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48,890</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48,890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63,231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63,231</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108,770</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108,574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95,213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95,017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$ 788,335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$ 796,799</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$ 716,261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 ========</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DEBT</w:t>
            </w:r>
          </w:p>
        </w:tc>
        <w:tc>
          <w:tcPr>
            <w:tcW w:w="74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40,249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40,249</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76,083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9,564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9,564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8,071</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8,199</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49,813</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49,813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88,154</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88,282</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w w:val="91"/>
              </w:rPr>
              <w:t>431,000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431,000</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253,000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25,783</w:t>
            </w:r>
          </w:p>
        </w:tc>
        <w:tc>
          <w:tcPr>
            <w:tcW w:w="1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(2,559)</w:t>
            </w: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23,224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24,121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21,562</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B, C</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5,935</w:t>
            </w:r>
          </w:p>
        </w:tc>
        <w:tc>
          <w:tcPr>
            <w:tcW w:w="16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24,527</w:t>
            </w: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30,462</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5,406</w:t>
            </w:r>
          </w:p>
        </w:tc>
        <w:tc>
          <w:tcPr>
            <w:tcW w:w="12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24,320</w:t>
            </w: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29,726</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LIABILITY IN RESPECT OF A VARIABLE NUMBER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SHARES TO BE ISSUED</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16,428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16,428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46,347</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46,347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47,246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47,246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558,878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38,396</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597,274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417,927</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21,889</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439,816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NIS 1 PAR VALUE - AUTHORIZED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150,000,000 SHARES; ISSUED 52,996,097 AND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44,735,532 SHARES, RESPECTIVELY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13,150</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13,150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427,881</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430,244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400,808</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403,171</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SHAREHOLDER RECEIVABLES AND UNEARNED COMPENSATION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16,428</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(16,428)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(15,897)</w:t>
            </w: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(15,897)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(17,837)</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(17,837)</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H</w:t>
            </w:r>
          </w:p>
        </w:tc>
        <w:tc>
          <w:tcPr>
            <w:tcW w:w="220" w:type="dxa"/>
            <w:vAlign w:val="bottom"/>
          </w:tcPr>
          <w:p>
            <w:pPr>
              <w:spacing w:after="0"/>
              <w:rPr>
                <w:sz w:val="14"/>
                <w:szCs w:val="14"/>
                <w:color w:val="auto"/>
              </w:rPr>
            </w:pPr>
          </w:p>
        </w:tc>
        <w:tc>
          <w:tcPr>
            <w:tcW w:w="860" w:type="dxa"/>
            <w:vAlign w:val="bottom"/>
            <w:gridSpan w:val="2"/>
          </w:tcPr>
          <w:p>
            <w:pPr>
              <w:jc w:val="right"/>
              <w:ind w:right="8"/>
              <w:spacing w:after="0" w:line="168" w:lineRule="exact"/>
              <w:rPr>
                <w:sz w:val="20"/>
                <w:szCs w:val="20"/>
                <w:color w:val="auto"/>
              </w:rPr>
            </w:pPr>
            <w:r>
              <w:rPr>
                <w:rFonts w:ascii="Courier New" w:cs="Courier New" w:eastAsia="Courier New" w:hAnsi="Courier New"/>
                <w:sz w:val="15"/>
                <w:szCs w:val="15"/>
                <w:color w:val="auto"/>
                <w:w w:val="93"/>
              </w:rPr>
              <w:t>(218,904)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(218,874)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(104,643)</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(104,613)</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238,529</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(29,932)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208,597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307,406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291,962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229,457</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(29,932)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199,525</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298,334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282,890</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SHAREHOLDERS' EQUIT</w:t>
            </w: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$ 788,335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$ 796,799</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$ 716,261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1460"/>
          </w:cols>
          <w:pgMar w:left="220" w:top="954" w:right="219" w:bottom="0" w:gutter="0" w:footer="0" w:header="0"/>
        </w:sectPr>
      </w:pPr>
    </w:p>
    <w:bookmarkStart w:id="48" w:name="page49"/>
    <w:bookmarkEnd w:id="48"/>
    <w:p>
      <w:pPr>
        <w:ind w:left="2020"/>
        <w:spacing w:after="0"/>
        <w:rPr>
          <w:sz w:val="20"/>
          <w:szCs w:val="20"/>
          <w:color w:val="auto"/>
        </w:rPr>
      </w:pPr>
      <w:r>
        <w:rPr>
          <w:rFonts w:ascii="Courier New" w:cs="Courier New" w:eastAsia="Courier New" w:hAnsi="Courier New"/>
          <w:sz w:val="14"/>
          <w:szCs w:val="14"/>
          <w:color w:val="auto"/>
        </w:rPr>
        <w:t>- 44 -</w:t>
      </w:r>
    </w:p>
    <w:p>
      <w:pPr>
        <w:sectPr>
          <w:pgSz w:w="11900" w:h="16838" w:orient="portrait"/>
          <w:cols w:equalWidth="0" w:num="1">
            <w:col w:w="9019"/>
          </w:cols>
          <w:pgMar w:left="1440" w:top="982" w:right="1440" w:bottom="1440" w:gutter="0" w:footer="0" w:header="0"/>
        </w:sectPr>
      </w:pPr>
    </w:p>
    <w:bookmarkStart w:id="49" w:name="page50"/>
    <w:bookmarkEnd w:id="4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would not have affected the results of operations for the years ended December 31, 2003 and 2002. The effect on the results of operations for the year ended December 31, 2001 as a result of complying with SFAS 133 and SFAS 138 would be additional financing income (and a reduction of the loss) in the amount of $30. Accordingly, the Company's loss for the year ended December 31, 2001 would have been $38,492.</w:t>
      </w:r>
    </w:p>
    <w:p>
      <w:pPr>
        <w:spacing w:after="0" w:line="16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IN ACCORDANCE WITH U.S. GAAP (SFAS 130)</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2003</w:t>
      </w:r>
    </w:p>
    <w:p>
      <w:pPr>
        <w:spacing w:after="0" w:line="10"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 Ended December 31,</w:t>
      </w:r>
    </w:p>
    <w:p>
      <w:pPr>
        <w:spacing w:after="0" w:line="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2002</w:t>
      </w:r>
    </w:p>
    <w:p>
      <w:pPr>
        <w:jc w:val="center"/>
        <w:ind w:right="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3">
            <w:col w:w="5600" w:space="360"/>
            <w:col w:w="2000" w:space="280"/>
            <w:col w:w="199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for the year according to 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(38,492)</w:t>
      </w:r>
    </w:p>
    <w:p>
      <w:pPr>
        <w:spacing w:after="0" w:line="171" w:lineRule="exact"/>
        <w:rPr>
          <w:sz w:val="20"/>
          <w:szCs w:val="20"/>
          <w:color w:val="auto"/>
        </w:rPr>
      </w:pPr>
    </w:p>
    <w:p>
      <w:pPr>
        <w:sectPr>
          <w:pgSz w:w="11900" w:h="16838" w:orient="portrait"/>
          <w:cols w:equalWidth="0" w:num="4">
            <w:col w:w="4180" w:space="720"/>
            <w:col w:w="880" w:space="620"/>
            <w:col w:w="860" w:space="620"/>
            <w:col w:w="23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comprehensive loss: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Realized gain on securities</w:t>
      </w:r>
    </w:p>
    <w:p>
      <w:pPr>
        <w:sectPr>
          <w:pgSz w:w="11900" w:h="16838" w:orient="portrait"/>
          <w:cols w:equalWidth="0" w:num="1">
            <w:col w:w="10239"/>
          </w:cols>
          <w:pgMar w:left="220" w:top="785" w:right="1440"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arising 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(9,550)</w:t>
      </w:r>
    </w:p>
    <w:p>
      <w:pPr>
        <w:spacing w:after="0" w:line="10" w:lineRule="exact"/>
        <w:rPr>
          <w:sz w:val="20"/>
          <w:szCs w:val="20"/>
          <w:color w:val="auto"/>
        </w:rPr>
      </w:pPr>
    </w:p>
    <w:p>
      <w:pPr>
        <w:sectPr>
          <w:pgSz w:w="11900" w:h="16838" w:orient="portrait"/>
          <w:cols w:equalWidth="0" w:num="4">
            <w:col w:w="4800" w:space="720"/>
            <w:col w:w="760" w:space="720"/>
            <w:col w:w="420" w:space="720"/>
            <w:col w:w="2099"/>
          </w:cols>
          <w:pgMar w:left="220" w:top="7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Adjustment of unrealized gain</w:t>
      </w:r>
    </w:p>
    <w:p>
      <w:pPr>
        <w:sectPr>
          <w:pgSz w:w="11900" w:h="16838" w:orient="portrait"/>
          <w:cols w:equalWidth="0" w:num="1">
            <w:col w:w="10239"/>
          </w:cols>
          <w:pgMar w:left="220" w:top="785" w:right="1440"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on securities arising during previous year</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(3,013)</w:t>
      </w:r>
    </w:p>
    <w:p>
      <w:pPr>
        <w:spacing w:after="0" w:line="10" w:lineRule="exact"/>
        <w:rPr>
          <w:sz w:val="20"/>
          <w:szCs w:val="20"/>
          <w:color w:val="auto"/>
        </w:rPr>
      </w:pPr>
    </w:p>
    <w:p>
      <w:pPr>
        <w:sectPr>
          <w:pgSz w:w="11900" w:h="16838" w:orient="portrait"/>
          <w:cols w:equalWidth="0" w:num="4">
            <w:col w:w="4800" w:space="720"/>
            <w:col w:w="760" w:space="720"/>
            <w:col w:w="420" w:space="720"/>
            <w:col w:w="2099"/>
          </w:cols>
          <w:pgMar w:left="220" w:top="7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Amortization of unrealized</w:t>
      </w:r>
    </w:p>
    <w:p>
      <w:pPr>
        <w:sectPr>
          <w:pgSz w:w="11900" w:h="16838" w:orient="portrait"/>
          <w:cols w:equalWidth="0" w:num="1">
            <w:col w:w="10239"/>
          </w:cols>
          <w:pgMar w:left="220" w:top="785" w:right="1440"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losses on derivatives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Unrealized gains (losses) on derivatives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comprehensive loss for the year</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664</w:t>
      </w:r>
    </w:p>
    <w:p>
      <w:pPr>
        <w:ind w:left="360"/>
        <w:spacing w:after="0" w:line="237" w:lineRule="auto"/>
        <w:rPr>
          <w:sz w:val="20"/>
          <w:szCs w:val="20"/>
          <w:color w:val="auto"/>
        </w:rPr>
      </w:pPr>
      <w:r>
        <w:rPr>
          <w:rFonts w:ascii="Courier New" w:cs="Courier New" w:eastAsia="Courier New" w:hAnsi="Courier New"/>
          <w:sz w:val="15"/>
          <w:szCs w:val="15"/>
          <w:color w:val="auto"/>
        </w:rPr>
        <w:t>1,276</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$(112,321)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(61,040)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(8,199)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(59,254)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180" w:space="720"/>
            <w:col w:w="880" w:space="620"/>
            <w:col w:w="860" w:space="620"/>
            <w:col w:w="2359"/>
          </w:cols>
          <w:pgMar w:left="220" w:top="785" w:right="1440" w:bottom="1440" w:gutter="0" w:footer="0" w:header="0"/>
          <w:type w:val="continuous"/>
        </w:sect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785" w:right="1440" w:bottom="1440" w:gutter="0" w:footer="0" w:header="0"/>
          <w:type w:val="continuous"/>
        </w:sectPr>
      </w:pPr>
    </w:p>
    <w:bookmarkStart w:id="50" w:name="page51"/>
    <w:bookmarkEnd w:id="5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as described above), the basic and diluted loss per share would be: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2003</w:t>
            </w:r>
          </w:p>
        </w:tc>
        <w:tc>
          <w:tcPr>
            <w:tcW w:w="8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68"/>
        </w:trPr>
        <w:tc>
          <w:tcPr>
            <w:tcW w:w="2280" w:type="dxa"/>
            <w:vAlign w:val="bottom"/>
          </w:tcPr>
          <w:p>
            <w:pPr>
              <w:spacing w:after="0"/>
              <w:rPr>
                <w:sz w:val="14"/>
                <w:szCs w:val="14"/>
                <w:color w:val="auto"/>
              </w:rPr>
            </w:pPr>
          </w:p>
        </w:tc>
        <w:tc>
          <w:tcPr>
            <w:tcW w:w="13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per share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2280" w:type="dxa"/>
            <w:vAlign w:val="bottom"/>
          </w:tcPr>
          <w:p>
            <w:pPr>
              <w:spacing w:after="0"/>
              <w:rPr>
                <w:sz w:val="14"/>
                <w:szCs w:val="14"/>
                <w:color w:val="auto"/>
              </w:rPr>
            </w:pPr>
          </w:p>
        </w:tc>
        <w:tc>
          <w:tcPr>
            <w:tcW w:w="13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3239"/>
        <w:spacing w:after="0" w:line="254" w:lineRule="auto"/>
        <w:rPr>
          <w:sz w:val="20"/>
          <w:szCs w:val="20"/>
          <w:color w:val="auto"/>
        </w:rPr>
      </w:pPr>
      <w:r>
        <w:rPr>
          <w:rFonts w:ascii="Courier New" w:cs="Courier New" w:eastAsia="Courier New" w:hAnsi="Courier New"/>
          <w:sz w:val="14"/>
          <w:szCs w:val="14"/>
          <w:color w:val="auto"/>
        </w:rPr>
        <w:t>The following tables provide a reconciliation of the numerators and denominators of the basic and diluted per share computations for 2003, 2002 and 2001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IL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warrants and convertible debentures is accounted for according to the treasury method, regardless of the probability of the exercise of the options and warrants or the conversion into shares of the convertible debentures. According to Israeli GAAP, the loss to compute loss per share may include imputed interest income on the exercise price of options and warrants exercised during the year and of probable Exercise and probable Conversion, an inclusion which is not required by U.S. GAAP.</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39"/>
          </w:cols>
          <w:pgMar w:left="220" w:top="617" w:right="1440" w:bottom="1440" w:gutter="0" w:footer="0" w:header="0"/>
        </w:sectPr>
      </w:pPr>
    </w:p>
    <w:bookmarkStart w:id="51" w:name="page52"/>
    <w:bookmarkEnd w:id="5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3" w:lineRule="exact"/>
        <w:rPr>
          <w:sz w:val="20"/>
          <w:szCs w:val="20"/>
          <w:color w:val="auto"/>
        </w:rPr>
      </w:pPr>
    </w:p>
    <w:p>
      <w:pPr>
        <w:ind w:left="880" w:right="3499" w:hanging="433"/>
        <w:spacing w:after="0" w:line="703"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 RECONCILIATION FOR 2003:</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Year ended December 31, 2003</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Shares</w:t>
      </w:r>
    </w:p>
    <w:p>
      <w:pPr>
        <w:ind w:left="2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spacing w:after="0" w:line="238" w:lineRule="auto"/>
        <w:tabs>
          <w:tab w:leader="none" w:pos="1380" w:val="left"/>
          <w:tab w:leader="none" w:pos="30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ind w:left="180"/>
        <w:spacing w:after="0"/>
        <w:tabs>
          <w:tab w:leader="none" w:pos="1560" w:val="left"/>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46,710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80" w:space="720"/>
            <w:col w:w="1040" w:space="720"/>
            <w:col w:w="520" w:space="620"/>
            <w:col w:w="31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warrants</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5"/>
          <w:szCs w:val="15"/>
          <w:color w:val="auto"/>
        </w:rPr>
        <w:t>--</w:t>
      </w:r>
    </w:p>
    <w:p>
      <w:pPr>
        <w:jc w:val="right"/>
        <w:ind w:right="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759"/>
        <w:spacing w:after="0"/>
        <w:rPr>
          <w:sz w:val="20"/>
          <w:szCs w:val="20"/>
          <w:color w:val="auto"/>
        </w:rPr>
      </w:pPr>
      <w:r>
        <w:rPr>
          <w:rFonts w:ascii="Courier New" w:cs="Courier New" w:eastAsia="Courier New" w:hAnsi="Courier New"/>
          <w:sz w:val="15"/>
          <w:szCs w:val="15"/>
          <w:color w:val="auto"/>
        </w:rPr>
        <w:t>--</w:t>
      </w:r>
    </w:p>
    <w:p>
      <w:pPr>
        <w:jc w:val="right"/>
        <w:ind w:right="375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80" w:space="720"/>
            <w:col w:w="1040" w:space="7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46,710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600" w:space="600"/>
            <w:col w:w="1040" w:space="720"/>
            <w:col w:w="520" w:space="620"/>
            <w:col w:w="313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80" w:right="3239"/>
        <w:spacing w:after="0" w:line="237" w:lineRule="auto"/>
        <w:rPr>
          <w:sz w:val="20"/>
          <w:szCs w:val="20"/>
          <w:color w:val="auto"/>
        </w:rPr>
      </w:pPr>
      <w:r>
        <w:rPr>
          <w:rFonts w:ascii="Courier New" w:cs="Courier New" w:eastAsia="Courier New" w:hAnsi="Courier New"/>
          <w:sz w:val="15"/>
          <w:szCs w:val="15"/>
          <w:color w:val="auto"/>
        </w:rPr>
        <w:t>Options and warrants to purchase 14,003,621 Ordinary Shares at an average exercise price of $7.87 per share were outstanding as of December 31, 2003 but were not included in the computation of diluted loss per share because their effect was anti-dilutive. The options and warrants, which as of December 31, 2003 expire between April 2005 and December 2013 (weighted average remaining contractual life of 5.02 years), were still outstanding as of such date. Convertible debentures, convertible into 2,697,068 Ordinary Shares, were outstanding as of December 31, 2003 but were not included in the computation of diluted loss per share since their effect is anti-dilutive. The convertible debentures may be converted until December 31, 2008 into Ordinary Shares.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39"/>
          </w:cols>
          <w:pgMar w:left="220" w:top="617" w:right="1440" w:bottom="1440" w:gutter="0" w:footer="0" w:header="0"/>
          <w:type w:val="continuous"/>
        </w:sectPr>
      </w:pPr>
    </w:p>
    <w:bookmarkStart w:id="52" w:name="page53"/>
    <w:bookmarkEnd w:id="5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3" w:lineRule="exact"/>
        <w:rPr>
          <w:sz w:val="20"/>
          <w:szCs w:val="20"/>
          <w:color w:val="auto"/>
        </w:rPr>
      </w:pPr>
    </w:p>
    <w:p>
      <w:pPr>
        <w:ind w:left="880" w:right="3499" w:hanging="433"/>
        <w:spacing w:after="0" w:line="465"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 RECONCILIATION FOR 2002:</w:t>
      </w:r>
    </w:p>
    <w:p>
      <w:pPr>
        <w:spacing w:after="0" w:line="200" w:lineRule="exact"/>
        <w:rPr>
          <w:sz w:val="20"/>
          <w:szCs w:val="20"/>
          <w:color w:val="auto"/>
        </w:rPr>
      </w:pPr>
    </w:p>
    <w:p>
      <w:pPr>
        <w:spacing w:after="0" w:line="312"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Year ended December 31, 2002</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5780"/>
        <w:spacing w:after="0" w:line="238" w:lineRule="auto"/>
        <w:rPr>
          <w:sz w:val="20"/>
          <w:szCs w:val="20"/>
          <w:color w:val="auto"/>
        </w:rPr>
      </w:pPr>
      <w:r>
        <w:rPr>
          <w:rFonts w:ascii="Courier New" w:cs="Courier New" w:eastAsia="Courier New" w:hAnsi="Courier New"/>
          <w:sz w:val="15"/>
          <w:szCs w:val="15"/>
          <w:color w:val="auto"/>
        </w:rPr>
        <w:t>Shares</w:t>
      </w:r>
    </w:p>
    <w:p>
      <w:pPr>
        <w:ind w:left="4480"/>
        <w:spacing w:after="0"/>
        <w:tabs>
          <w:tab w:leader="none" w:pos="5500" w:val="left"/>
          <w:tab w:leader="none" w:pos="71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4120"/>
        <w:spacing w:after="0" w:line="238" w:lineRule="auto"/>
        <w:tabs>
          <w:tab w:leader="none" w:pos="5500" w:val="left"/>
          <w:tab w:leader="none" w:pos="72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ind w:left="4120"/>
        <w:spacing w:after="0"/>
        <w:tabs>
          <w:tab w:leader="none" w:pos="5500" w:val="left"/>
          <w:tab w:leader="none" w:pos="7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31,523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80" w:space="720"/>
            <w:col w:w="860" w:space="720"/>
            <w:col w:w="520" w:space="620"/>
            <w:col w:w="33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warrants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w:t>
      </w:r>
    </w:p>
    <w:p>
      <w:pPr>
        <w:jc w:val="right"/>
        <w:ind w:right="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939"/>
        <w:spacing w:after="0"/>
        <w:rPr>
          <w:sz w:val="20"/>
          <w:szCs w:val="20"/>
          <w:color w:val="auto"/>
        </w:rPr>
      </w:pPr>
      <w:r>
        <w:rPr>
          <w:rFonts w:ascii="Courier New" w:cs="Courier New" w:eastAsia="Courier New" w:hAnsi="Courier New"/>
          <w:sz w:val="15"/>
          <w:szCs w:val="15"/>
          <w:color w:val="auto"/>
        </w:rPr>
        <w:t>--</w:t>
      </w:r>
    </w:p>
    <w:p>
      <w:pPr>
        <w:jc w:val="right"/>
        <w:ind w:right="393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80" w:space="720"/>
            <w:col w:w="860" w:space="720"/>
            <w:col w:w="4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31,523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600" w:space="600"/>
            <w:col w:w="860" w:space="720"/>
            <w:col w:w="520" w:space="620"/>
            <w:col w:w="331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80" w:right="3239"/>
        <w:spacing w:after="0" w:line="237" w:lineRule="auto"/>
        <w:rPr>
          <w:sz w:val="20"/>
          <w:szCs w:val="20"/>
          <w:color w:val="auto"/>
        </w:rPr>
      </w:pPr>
      <w:r>
        <w:rPr>
          <w:rFonts w:ascii="Courier New" w:cs="Courier New" w:eastAsia="Courier New" w:hAnsi="Courier New"/>
          <w:sz w:val="15"/>
          <w:szCs w:val="15"/>
          <w:color w:val="auto"/>
        </w:rPr>
        <w:t>Options and warrants to purchase 10,053,578 Ordinary Shares at an average exercise price of $9.12 per share were outstanding as of December 31, 2002 but were not included in the computation of diluted loss per share because their effect was anti-dilutive. The options and warrants, which as of December 31, 2002 expire between April 2005 and December 2012 (weighted average remaining contractual life of 4.9 years), were still outstanding as of such date. Convertible debentures, convertible into 2,697,068 Ordinary Shares, were outstanding as of December 31, 2002 but were not included in the computation of diluted loss per share since their effect is anti-dilutive. The convertible debentures may be converted until December 31, 2008 into Ordinary Shares.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RECONCILIATION FOR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Year ended December 31, 2001</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5700"/>
        <w:spacing w:after="0" w:line="238" w:lineRule="auto"/>
        <w:rPr>
          <w:sz w:val="20"/>
          <w:szCs w:val="20"/>
          <w:color w:val="auto"/>
        </w:rPr>
      </w:pPr>
      <w:r>
        <w:rPr>
          <w:rFonts w:ascii="Courier New" w:cs="Courier New" w:eastAsia="Courier New" w:hAnsi="Courier New"/>
          <w:sz w:val="15"/>
          <w:szCs w:val="15"/>
          <w:color w:val="auto"/>
        </w:rPr>
        <w:t>Shares</w:t>
      </w:r>
    </w:p>
    <w:p>
      <w:pPr>
        <w:ind w:left="4300"/>
        <w:spacing w:after="0"/>
        <w:tabs>
          <w:tab w:leader="none" w:pos="5420" w:val="left"/>
          <w:tab w:leader="none" w:pos="698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4040"/>
        <w:spacing w:after="0"/>
        <w:tabs>
          <w:tab w:leader="none" w:pos="5500" w:val="left"/>
          <w:tab w:leader="none" w:pos="708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4"/>
          <w:szCs w:val="14"/>
          <w:color w:val="auto"/>
        </w:rPr>
        <w:t>Amount</w:t>
      </w:r>
    </w:p>
    <w:p>
      <w:pPr>
        <w:ind w:left="4040"/>
        <w:spacing w:after="0"/>
        <w:tabs>
          <w:tab w:leader="none" w:pos="5500" w:val="left"/>
          <w:tab w:leader="none" w:pos="7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20" w:space="700"/>
            <w:col w:w="860" w:space="720"/>
            <w:col w:w="520" w:space="620"/>
            <w:col w:w="33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and warrants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0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00" w:space="720"/>
            <w:col w:w="860" w:space="720"/>
            <w:col w:w="4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500" w:space="620"/>
            <w:col w:w="860" w:space="720"/>
            <w:col w:w="520" w:space="620"/>
            <w:col w:w="3399"/>
          </w:cols>
          <w:pgMar w:left="220" w:top="617" w:right="1440" w:bottom="1440" w:gutter="0" w:footer="0" w:header="0"/>
          <w:type w:val="continuous"/>
        </w:sectPr>
      </w:pPr>
    </w:p>
    <w:p>
      <w:pPr>
        <w:spacing w:after="0" w:line="141"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Options and warrants to purchase 4,117,770 Ordinary Shares at an average exercise price of $11.39 per share were outstanding as of December 31, 2001 but were not included in the computation of diluted loss per share because their effect was anti-dilutive. The options and warrants, which as of December 31, 2001 expire between April 2005 and December 2011 (weighted average remaining contractual life of 6.84 years), were still outstanding as of such date.</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39"/>
          </w:cols>
          <w:pgMar w:left="220" w:top="617" w:right="1440" w:bottom="1440" w:gutter="0" w:footer="0" w:header="0"/>
          <w:type w:val="continuous"/>
        </w:sectPr>
      </w:pPr>
    </w:p>
    <w:bookmarkStart w:id="53" w:name="page54"/>
    <w:bookmarkEnd w:id="53"/>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95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Tamar Cohen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Tamar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Secretary &amp;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Counsel</w:t>
      </w:r>
    </w:p>
    <w:p>
      <w:pPr>
        <w:sectPr>
          <w:pgSz w:w="11900" w:h="16838" w:orient="portrait"/>
          <w:cols w:equalWidth="0" w:num="3">
            <w:col w:w="440" w:space="180"/>
            <w:col w:w="3220" w:space="720"/>
            <w:col w:w="5679"/>
          </w:cols>
          <w:pgMar w:left="220" w:top="953" w:right="1440" w:bottom="1440" w:gutter="0" w:footer="0" w:header="0"/>
          <w:type w:val="continuous"/>
        </w:sectPr>
      </w:pPr>
    </w:p>
    <w:bookmarkStart w:id="54" w:name="page55"/>
    <w:bookmarkEnd w:id="54"/>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Tower Semiconductor Ltd. (the "Company"), on Form F-3 (Nos. 333-85090,</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333-108896 and 333-110486) and Form S-8 (Nos. 33-80947, 333-06482, 333-11720, 333-83204 and 333-107943), of our report dated February 2, 2004, relating to the consolidated financial statements of the Company, appearing in the Company's Report on Form 6-K for the month of February 2004 (No. 2) , and to the reference to us under the heading "Experts" in any prospectus included in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February 2, 2004</w:t>
      </w:r>
    </w:p>
    <w:sectPr>
      <w:pgSz w:w="11900" w:h="16838" w:orient="portrait"/>
      <w:cols w:equalWidth="0" w:num="1">
        <w:col w:w="10239"/>
      </w:cols>
      <w:pgMar w:left="220" w:top="4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1"/>
    </w:lvl>
  </w:abstractNum>
  <w:abstractNum w:abstractNumId="1">
    <w:nsid w:val="8138641"/>
    <w:multiLevelType w:val="hybridMultilevel"/>
    <w:lvl w:ilvl="0">
      <w:lvlJc w:val="left"/>
      <w:lvlText w:val="%1."/>
      <w:numFmt w:val="upperLetter"/>
      <w:start w:val="3"/>
    </w:lvl>
    <w:lvl w:ilvl="1">
      <w:lvlJc w:val="left"/>
      <w:lvlText w:val="-"/>
      <w:numFmt w:val="bullet"/>
      <w:start w:val="1"/>
    </w:lvl>
  </w:abstractNum>
  <w:abstractNum w:abstractNumId="2">
    <w:nsid w:val="1E7FF52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
    <w:nsid w:val="7C3DBD3D"/>
    <w:multiLevelType w:val="hybridMultilevel"/>
    <w:lvl w:ilvl="0">
      <w:lvlJc w:val="left"/>
      <w:lvlText w:val="%1."/>
      <w:numFmt w:val="upperLetter"/>
      <w:start w:val="6"/>
    </w:lvl>
    <w:lvl w:ilvl="1">
      <w:lvlJc w:val="left"/>
      <w:lvlText w:val="(%2)"/>
      <w:numFmt w:val="decimal"/>
      <w:start w:val="1"/>
    </w:lvl>
  </w:abstractNum>
  <w:abstractNum w:abstractNumId="4">
    <w:nsid w:val="737B8DDC"/>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5">
    <w:nsid w:val="6CEAF087"/>
    <w:multiLevelType w:val="hybridMultilevel"/>
    <w:lvl w:ilvl="0">
      <w:lvlJc w:val="left"/>
      <w:lvlText w:val="%1."/>
      <w:numFmt w:val="upperLetter"/>
      <w:start w:val="7"/>
    </w:lvl>
    <w:lvl w:ilvl="1">
      <w:lvlJc w:val="left"/>
      <w:lvlText w:val="%2"/>
      <w:numFmt w:val="decimal"/>
      <w:start w:val="1"/>
    </w:lvl>
    <w:lvl w:ilvl="2">
      <w:lvlJc w:val="left"/>
      <w:lvlText w:val="-"/>
      <w:numFmt w:val="bullet"/>
      <w:start w:val="1"/>
    </w:lvl>
  </w:abstractNum>
  <w:abstractNum w:abstractNumId="6">
    <w:nsid w:val="22221A70"/>
    <w:multiLevelType w:val="hybridMultilevel"/>
    <w:lvl w:ilvl="0">
      <w:lvlJc w:val="left"/>
      <w:lvlText w:val="%1."/>
      <w:numFmt w:val="upperLetter"/>
      <w:start w:val="9"/>
    </w:lvl>
    <w:lvl w:ilvl="1">
      <w:lvlJc w:val="left"/>
      <w:lvlText w:val="-"/>
      <w:numFmt w:val="bullet"/>
      <w:start w:val="1"/>
    </w:lvl>
  </w:abstractNum>
  <w:abstractNum w:abstractNumId="7">
    <w:nsid w:val="4516DDE9"/>
    <w:multiLevelType w:val="hybridMultilevel"/>
    <w:lvl w:ilvl="0">
      <w:lvlJc w:val="left"/>
      <w:lvlText w:val="%1."/>
      <w:numFmt w:val="upperLetter"/>
      <w:start w:val="13"/>
    </w:lvl>
    <w:lvl w:ilvl="1">
      <w:lvlJc w:val="left"/>
      <w:lvlText w:val="-"/>
      <w:numFmt w:val="bullet"/>
      <w:start w:val="1"/>
    </w:lvl>
  </w:abstractNum>
  <w:abstractNum w:abstractNumId="8">
    <w:nsid w:val="3006C83E"/>
    <w:multiLevelType w:val="hybridMultilevel"/>
    <w:lvl w:ilvl="0">
      <w:lvlJc w:val="left"/>
      <w:lvlText w:val="%1."/>
      <w:numFmt w:val="upperLetter"/>
      <w:start w:val="16"/>
    </w:lvl>
    <w:lvl w:ilvl="1">
      <w:lvlJc w:val="left"/>
      <w:lvlText w:val="(%2)"/>
      <w:numFmt w:val="decimal"/>
      <w:start w:val="1"/>
    </w:lvl>
    <w:lvl w:ilvl="2">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upperLetter"/>
      <w:start w:val="1"/>
    </w:lvl>
    <w:lvl w:ilvl="1">
      <w:lvlJc w:val="left"/>
      <w:lvlText w:val="-"/>
      <w:numFmt w:val="bullet"/>
      <w:start w:val="1"/>
    </w:lvl>
  </w:abstractNum>
  <w:abstractNum w:abstractNumId="11">
    <w:nsid w:val="5577F8E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2">
    <w:nsid w:val="440BADFC"/>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3">
    <w:nsid w:val="5072367"/>
    <w:multiLevelType w:val="hybridMultilevel"/>
    <w:lvl w:ilvl="0">
      <w:lvlJc w:val="left"/>
      <w:lvlText w:val="%1."/>
      <w:numFmt w:val="upperLetter"/>
      <w:start w:val="2"/>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upperLetter"/>
      <w:start w:val="2"/>
    </w:lvl>
  </w:abstractNum>
  <w:abstractNum w:abstractNumId="16">
    <w:nsid w:val="7724C67E"/>
    <w:multiLevelType w:val="hybridMultilevel"/>
    <w:lvl w:ilvl="0">
      <w:lvlJc w:val="left"/>
      <w:lvlText w:val="%1."/>
      <w:numFmt w:val="upperLetter"/>
      <w:start w:val="5"/>
    </w:lvl>
    <w:lvl w:ilvl="1">
      <w:lvlJc w:val="left"/>
      <w:lvlText w:val="-"/>
      <w:numFmt w:val="bullet"/>
      <w:start w:val="1"/>
    </w:lvl>
  </w:abstractNum>
  <w:abstractNum w:abstractNumId="17">
    <w:nsid w:val="5C482A97"/>
    <w:multiLevelType w:val="hybridMultilevel"/>
    <w:lvl w:ilvl="0">
      <w:lvlJc w:val="left"/>
      <w:lvlText w:val="%1."/>
      <w:numFmt w:val="upperLetter"/>
      <w:start w:val="2"/>
    </w:lvl>
  </w:abstractNum>
  <w:abstractNum w:abstractNumId="18">
    <w:nsid w:val="2463B9E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9">
    <w:nsid w:val="5E884ADC"/>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0">
    <w:nsid w:val="51EAD36B"/>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21">
    <w:nsid w:val="2D517796"/>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22">
    <w:nsid w:val="580BD78F"/>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23">
    <w:nsid w:val="153EA438"/>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24">
    <w:nsid w:val="3855585C"/>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25">
    <w:nsid w:val="70A64E2A"/>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26">
    <w:nsid w:val="6A2342EC"/>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27">
    <w:nsid w:val="2A487CB0"/>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28">
    <w:nsid w:val="1D4ED43B"/>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29">
    <w:nsid w:val="725A06FB"/>
    <w:multiLevelType w:val="hybridMultilevel"/>
    <w:lvl w:ilvl="0">
      <w:lvlJc w:val="left"/>
      <w:lvlText w:val="%1."/>
      <w:numFmt w:val="upperLetter"/>
      <w:start w:val="7"/>
    </w:lvl>
    <w:lvl w:ilvl="1">
      <w:lvlJc w:val="left"/>
      <w:lvlText w:val="-"/>
      <w:numFmt w:val="bullet"/>
      <w:start w:val="1"/>
    </w:lvl>
  </w:abstractNum>
  <w:abstractNum w:abstractNumId="30">
    <w:nsid w:val="2CD89A3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lvl w:ilvl="4">
      <w:lvlJc w:val="left"/>
      <w:lvlText w:val="-"/>
      <w:numFmt w:val="bullet"/>
      <w:start w:val="1"/>
    </w:lvl>
  </w:abstractNum>
  <w:abstractNum w:abstractNumId="31">
    <w:nsid w:val="57E4CCAF"/>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lvl w:ilvl="3">
      <w:lvlJc w:val="left"/>
      <w:lvlText w:val="-"/>
      <w:numFmt w:val="bullet"/>
      <w:start w:val="1"/>
    </w:lvl>
  </w:abstractNum>
  <w:abstractNum w:abstractNumId="32">
    <w:nsid w:val="7A6D8D3C"/>
    <w:multiLevelType w:val="hybridMultilevel"/>
    <w:lvl w:ilvl="0">
      <w:lvlJc w:val="left"/>
      <w:lvlText w:val="%1."/>
      <w:numFmt w:val="upperLetter"/>
      <w:start w:val="2"/>
    </w:lvl>
    <w:lvl w:ilvl="1">
      <w:lvlJc w:val="left"/>
      <w:lvlText w:val="(%2)"/>
      <w:numFmt w:val="decimal"/>
      <w:start w:val="2"/>
    </w:lvl>
  </w:abstractNum>
  <w:abstractNum w:abstractNumId="33">
    <w:nsid w:val="4B588F54"/>
    <w:multiLevelType w:val="hybridMultilevel"/>
    <w:lvl w:ilvl="0">
      <w:lvlJc w:val="left"/>
      <w:lvlText w:val="(%1)"/>
      <w:numFmt w:val="decimal"/>
      <w:start w:val="3"/>
    </w:lvl>
  </w:abstractNum>
  <w:abstractNum w:abstractNumId="34">
    <w:nsid w:val="542289EC"/>
    <w:multiLevelType w:val="hybridMultilevel"/>
    <w:lvl w:ilvl="0">
      <w:lvlJc w:val="left"/>
      <w:lvlText w:val="%1."/>
      <w:numFmt w:val="upperLetter"/>
      <w:start w:val="2"/>
    </w:lvl>
    <w:lvl w:ilvl="1">
      <w:lvlJc w:val="left"/>
      <w:lvlText w:val="(%2)"/>
      <w:numFmt w:val="decimal"/>
      <w:start w:val="4"/>
    </w:lvl>
  </w:abstractNum>
  <w:abstractNum w:abstractNumId="35">
    <w:nsid w:val="6DE91B18"/>
    <w:multiLevelType w:val="hybridMultilevel"/>
    <w:lvl w:ilvl="0">
      <w:lvlJc w:val="left"/>
      <w:lvlText w:val="(%1)"/>
      <w:numFmt w:val="decimal"/>
      <w:start w:val="5"/>
    </w:lvl>
    <w:lvl w:ilvl="1">
      <w:lvlJc w:val="left"/>
      <w:lvlText w:val="(%2)"/>
      <w:numFmt w:val="upperLetter"/>
      <w:start w:val="1"/>
    </w:lvl>
    <w:lvl w:ilvl="2">
      <w:lvlJc w:val="left"/>
      <w:lvlText w:val="-"/>
      <w:numFmt w:val="bullet"/>
      <w:start w:val="1"/>
    </w:lvl>
  </w:abstractNum>
  <w:abstractNum w:abstractNumId="36">
    <w:nsid w:val="38437FDB"/>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37">
    <w:nsid w:val="7644A45C"/>
    <w:multiLevelType w:val="hybridMultilevel"/>
    <w:lvl w:ilvl="0">
      <w:lvlJc w:val="left"/>
      <w:lvlText w:val="%1."/>
      <w:numFmt w:val="upperLetter"/>
      <w:start w:val="2"/>
    </w:lvl>
    <w:lvl w:ilvl="1">
      <w:lvlJc w:val="left"/>
      <w:lvlText w:val="(%2)"/>
      <w:numFmt w:val="decimal"/>
      <w:start w:val="6"/>
    </w:lvl>
  </w:abstractNum>
  <w:abstractNum w:abstractNumId="38">
    <w:nsid w:val="32FFF902"/>
    <w:multiLevelType w:val="hybridMultilevel"/>
    <w:lvl w:ilvl="0">
      <w:lvlJc w:val="left"/>
      <w:lvlText w:val="%1."/>
      <w:numFmt w:val="upperLetter"/>
      <w:start w:val="3"/>
    </w:lvl>
    <w:lvl w:ilvl="1">
      <w:lvlJc w:val="left"/>
      <w:lvlText w:val="-"/>
      <w:numFmt w:val="bullet"/>
      <w:start w:val="1"/>
    </w:lvl>
  </w:abstractNum>
  <w:abstractNum w:abstractNumId="39">
    <w:nsid w:val="684A481A"/>
    <w:multiLevelType w:val="hybridMultilevel"/>
    <w:lvl w:ilvl="0">
      <w:lvlJc w:val="left"/>
      <w:lvlText w:val="%1."/>
      <w:numFmt w:val="upperLetter"/>
      <w:start w:val="5"/>
    </w:lvl>
    <w:lvl w:ilvl="1">
      <w:lvlJc w:val="left"/>
      <w:lvlText w:val="-"/>
      <w:numFmt w:val="bullet"/>
      <w:start w:val="1"/>
    </w:lvl>
  </w:abstractNum>
  <w:abstractNum w:abstractNumId="40">
    <w:nsid w:val="579478FE"/>
    <w:multiLevelType w:val="hybridMultilevel"/>
    <w:lvl w:ilvl="0">
      <w:lvlJc w:val="left"/>
      <w:lvlText w:val="%1."/>
      <w:numFmt w:val="upperLetter"/>
      <w:start w:val="1"/>
    </w:lvl>
  </w:abstractNum>
  <w:abstractNum w:abstractNumId="41">
    <w:nsid w:val="749ABB43"/>
    <w:multiLevelType w:val="hybridMultilevel"/>
    <w:lvl w:ilvl="0">
      <w:lvlJc w:val="left"/>
      <w:lvlText w:val="%1."/>
      <w:numFmt w:val="upperLetter"/>
      <w:start w:val="2"/>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upperLetter"/>
      <w:start w:val="1"/>
    </w:lvl>
  </w:abstractNum>
  <w:abstractNum w:abstractNumId="44">
    <w:nsid w:val="79A1DEAA"/>
    <w:multiLevelType w:val="hybridMultilevel"/>
    <w:lvl w:ilvl="0">
      <w:lvlJc w:val="left"/>
      <w:lvlText w:val="%1."/>
      <w:numFmt w:val="upperLetter"/>
      <w:start w:val="3"/>
    </w:lvl>
  </w:abstractNum>
  <w:abstractNum w:abstractNumId="45">
    <w:nsid w:val="75C6C33A"/>
    <w:multiLevelType w:val="hybridMultilevel"/>
    <w:lvl w:ilvl="0">
      <w:lvlJc w:val="left"/>
      <w:lvlText w:val="%1."/>
      <w:numFmt w:val="upperLetter"/>
      <w:start w:val="4"/>
    </w:lvl>
  </w:abstractNum>
  <w:abstractNum w:abstractNumId="46">
    <w:nsid w:val="12E685FB"/>
    <w:multiLevelType w:val="hybridMultilevel"/>
    <w:lvl w:ilvl="0">
      <w:lvlJc w:val="left"/>
      <w:lvlText w:val="%1."/>
      <w:numFmt w:val="upperLetter"/>
      <w:start w:val="1"/>
    </w:lvl>
    <w:lvl w:ilvl="1">
      <w:lvlJc w:val="left"/>
      <w:lvlText w:val="-"/>
      <w:numFmt w:val="bullet"/>
      <w:start w:val="1"/>
    </w:lvl>
  </w:abstractNum>
  <w:abstractNum w:abstractNumId="47">
    <w:nsid w:val="70C6A52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48">
    <w:nsid w:val="520EEDD1"/>
    <w:multiLevelType w:val="hybridMultilevel"/>
    <w:lvl w:ilvl="0">
      <w:lvlJc w:val="left"/>
      <w:lvlText w:val="%1."/>
      <w:numFmt w:val="upperLetter"/>
      <w:start w:val="1"/>
    </w:lvl>
  </w:abstractNum>
  <w:abstractNum w:abstractNumId="49">
    <w:nsid w:val="374A3FE6"/>
    <w:multiLevelType w:val="hybridMultilevel"/>
    <w:lvl w:ilvl="0">
      <w:lvlJc w:val="left"/>
      <w:lvlText w:val="%1."/>
      <w:numFmt w:val="upperLetter"/>
      <w:start w:val="3"/>
    </w:lvl>
  </w:abstractNum>
  <w:abstractNum w:abstractNumId="50">
    <w:nsid w:val="4F4EF005"/>
    <w:multiLevelType w:val="hybridMultilevel"/>
    <w:lvl w:ilvl="0">
      <w:lvlJc w:val="left"/>
      <w:lvlText w:val="%1."/>
      <w:numFmt w:val="upperLetter"/>
      <w:start w:val="1"/>
    </w:lvl>
    <w:lvl w:ilvl="1">
      <w:lvlJc w:val="left"/>
      <w:lvlText w:val="-"/>
      <w:numFmt w:val="bullet"/>
      <w:start w:val="1"/>
    </w:lvl>
  </w:abstractNum>
  <w:abstractNum w:abstractNumId="51">
    <w:nsid w:val="23F9C13C"/>
    <w:multiLevelType w:val="hybridMultilevel"/>
    <w:lvl w:ilvl="0">
      <w:lvlJc w:val="left"/>
      <w:lvlText w:val="%1."/>
      <w:numFmt w:val="upperLetter"/>
      <w:start w:val="3"/>
    </w:lvl>
    <w:lvl w:ilvl="1">
      <w:lvlJc w:val="left"/>
      <w:lvlText w:val="(%2)"/>
      <w:numFmt w:val="decimal"/>
      <w:start w:val="1"/>
    </w:lvl>
  </w:abstractNum>
  <w:abstractNum w:abstractNumId="52">
    <w:nsid w:val="649BB77C"/>
    <w:multiLevelType w:val="hybridMultilevel"/>
    <w:lvl w:ilvl="0">
      <w:lvlJc w:val="left"/>
      <w:lvlText w:val="%1."/>
      <w:numFmt w:val="upperLetter"/>
      <w:start w:val="3"/>
    </w:lvl>
    <w:lvl w:ilvl="1">
      <w:lvlJc w:val="left"/>
      <w:lvlText w:val="(%2)"/>
      <w:numFmt w:val="decimal"/>
      <w:start w:val="3"/>
    </w:lvl>
  </w:abstractNum>
  <w:abstractNum w:abstractNumId="53">
    <w:nsid w:val="275AC794"/>
    <w:multiLevelType w:val="hybridMultilevel"/>
    <w:lvl w:ilvl="0">
      <w:lvlJc w:val="left"/>
      <w:lvlText w:val="%1."/>
      <w:numFmt w:val="upperLetter"/>
      <w:start w:val="5"/>
    </w:lvl>
    <w:lvl w:ilvl="1">
      <w:lvlJc w:val="left"/>
      <w:lvlText w:val="-"/>
      <w:numFmt w:val="bullet"/>
      <w:start w:val="1"/>
    </w:lvl>
  </w:abstractNum>
  <w:abstractNum w:abstractNumId="54">
    <w:nsid w:val="39386575"/>
    <w:multiLevelType w:val="hybridMultilevel"/>
    <w:lvl w:ilvl="0">
      <w:lvlJc w:val="left"/>
      <w:lvlText w:val="%1."/>
      <w:numFmt w:val="upperLetter"/>
      <w:start w:val="8"/>
    </w:lvl>
  </w:abstractNum>
  <w:abstractNum w:abstractNumId="55">
    <w:nsid w:val="1CF10FD8"/>
    <w:multiLevelType w:val="hybridMultilevel"/>
    <w:lvl w:ilvl="0">
      <w:lvlJc w:val="left"/>
      <w:lvlText w:val="%1."/>
      <w:numFmt w:val="upperLetter"/>
      <w:start w:val="10"/>
    </w:lvl>
  </w:abstractNum>
  <w:abstractNum w:abstractNumId="56">
    <w:nsid w:val="180115BE"/>
    <w:multiLevelType w:val="hybridMultilevel"/>
    <w:lvl w:ilvl="0">
      <w:lvlJc w:val="left"/>
      <w:lvlText w:val="%1."/>
      <w:numFmt w:val="upperLetter"/>
      <w:start w:val="10"/>
    </w:lvl>
  </w:abstractNum>
  <w:abstractNum w:abstractNumId="57">
    <w:nsid w:val="235BA861"/>
    <w:multiLevelType w:val="hybridMultilevel"/>
    <w:lvl w:ilvl="0">
      <w:lvlJc w:val="left"/>
      <w:lvlText w:val="%1."/>
      <w:numFmt w:val="upp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2019-12-14T04:23:12Z</dcterms:created>
  <dcterms:modified xsi:type="dcterms:W3CDTF">2019-12-14T04:23:12Z</dcterms:modified>
</cp:coreProperties>
</file>