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before="0" w:after="300"/>
        <w:jc w:val="left"/>
        <w:rPr/>
      </w:pPr>
      <w:r>
        <w:rPr/>
      </w:r>
      <w:bookmarkStart w:id="0" w:name="zk2330033.htm"/>
      <w:bookmarkStart w:id="1" w:name="kszk2330033"/>
      <w:bookmarkStart w:id="2" w:name="zk2330033.htm"/>
      <w:bookmarkStart w:id="3" w:name="kszk2330033"/>
      <w:bookmarkEnd w:id="2"/>
      <w:bookmarkEnd w:id="3"/>
    </w:p>
    <w:p>
      <w:pPr>
        <w:pStyle w:val="TextBody"/>
        <w:bidi w:val="0"/>
        <w:spacing w:before="0" w:after="300"/>
        <w:jc w:val="left"/>
        <w:rPr/>
      </w:pPr>
      <w:r>
        <w:rPr/>
        <w:t> </w:t>
      </w:r>
    </w:p>
    <w:p>
      <w:pPr>
        <w:pStyle w:val="TextBody"/>
        <w:bidi w:val="0"/>
        <w:spacing w:lineRule="auto" w:line="300" w:before="0" w:after="30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lineRule="auto" w:line="300" w:before="0" w:after="30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lineRule="auto" w:line="300" w:before="0" w:after="30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300" w:before="0" w:after="300"/>
        <w:jc w:val="left"/>
        <w:rPr/>
      </w:pPr>
      <w:r>
        <w:rPr/>
        <w:t> </w:t>
      </w:r>
    </w:p>
    <w:p>
      <w:pPr>
        <w:pStyle w:val="TextBody"/>
        <w:bidi w:val="0"/>
        <w:spacing w:lineRule="auto" w:line="300" w:before="0" w:after="300"/>
        <w:jc w:val="center"/>
        <w:rPr>
          <w:rFonts w:ascii="Times New Roman;Times;serif" w:hAnsi="Times New Roman;Times;serif"/>
          <w:b/>
          <w:sz w:val="28"/>
        </w:rPr>
      </w:pPr>
      <w:r>
        <w:rPr>
          <w:rFonts w:ascii="Times New Roman;Times;serif" w:hAnsi="Times New Roman;Times;serif"/>
          <w:b/>
          <w:sz w:val="28"/>
        </w:rPr>
        <w:t>FORM 6-K</w:t>
      </w:r>
    </w:p>
    <w:p>
      <w:pPr>
        <w:pStyle w:val="TextBody"/>
        <w:bidi w:val="0"/>
        <w:spacing w:lineRule="auto" w:line="300" w:before="0" w:after="300"/>
        <w:jc w:val="left"/>
        <w:rPr/>
      </w:pPr>
      <w:r>
        <w:rPr/>
        <w:t> </w:t>
      </w:r>
    </w:p>
    <w:p>
      <w:pPr>
        <w:pStyle w:val="TextBody"/>
        <w:bidi w:val="0"/>
        <w:spacing w:lineRule="auto" w:line="300" w:before="0" w:after="300"/>
        <w:jc w:val="center"/>
        <w:rPr>
          <w:rFonts w:ascii="Times New Roman;Times;serif" w:hAnsi="Times New Roman;Times;serif"/>
          <w:b/>
          <w:sz w:val="20"/>
        </w:rPr>
      </w:pPr>
      <w:r>
        <w:rPr>
          <w:rFonts w:ascii="Times New Roman;Times;serif" w:hAnsi="Times New Roman;Times;serif"/>
          <w:b/>
          <w:sz w:val="20"/>
        </w:rPr>
        <w:t>REPORT OF FOREIGN PRIVATE ISSUER PURSUANT TO RULE 13a-16 OR 15d-16 OF THE</w:t>
      </w:r>
    </w:p>
    <w:p>
      <w:pPr>
        <w:pStyle w:val="TextBody"/>
        <w:bidi w:val="0"/>
        <w:spacing w:lineRule="auto" w:line="300" w:before="0" w:after="30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bidi w:val="0"/>
        <w:spacing w:lineRule="auto" w:line="300" w:before="0" w:after="300"/>
        <w:jc w:val="left"/>
        <w:rPr/>
      </w:pPr>
      <w:r>
        <w:rPr/>
        <w:t> </w:t>
      </w:r>
    </w:p>
    <w:p>
      <w:pPr>
        <w:pStyle w:val="TextBody"/>
        <w:bidi w:val="0"/>
        <w:spacing w:lineRule="auto" w:line="300" w:before="0" w:after="300"/>
        <w:jc w:val="center"/>
        <w:rPr>
          <w:rFonts w:ascii="Times New Roman;Times;serif" w:hAnsi="Times New Roman;Times;serif"/>
          <w:sz w:val="20"/>
        </w:rPr>
      </w:pPr>
      <w:r>
        <w:rPr>
          <w:rFonts w:ascii="Times New Roman;Times;serif" w:hAnsi="Times New Roman;Times;serif"/>
          <w:smallCaps/>
          <w:sz w:val="20"/>
        </w:rPr>
        <w:t>F</w:t>
      </w:r>
      <w:r>
        <w:rPr>
          <w:rFonts w:ascii="Times New Roman;Times;serif" w:hAnsi="Times New Roman;Times;serif"/>
          <w:sz w:val="20"/>
        </w:rPr>
        <w:t>or the month of July 2023 No.4</w:t>
      </w:r>
    </w:p>
    <w:p>
      <w:pPr>
        <w:pStyle w:val="TextBody"/>
        <w:bidi w:val="0"/>
        <w:spacing w:lineRule="auto" w:line="300" w:before="0" w:after="300"/>
        <w:jc w:val="left"/>
        <w:rPr/>
      </w:pPr>
      <w:r>
        <w:rPr/>
        <w:t> </w:t>
      </w:r>
    </w:p>
    <w:p>
      <w:pPr>
        <w:pStyle w:val="TextBody"/>
        <w:bidi w:val="0"/>
        <w:spacing w:lineRule="auto" w:line="300" w:before="0" w:after="300"/>
        <w:jc w:val="center"/>
        <w:rPr>
          <w:rFonts w:ascii="Times New Roman;Times;serif" w:hAnsi="Times New Roman;Times;serif"/>
          <w:sz w:val="20"/>
        </w:rPr>
      </w:pPr>
      <w:r>
        <w:rPr>
          <w:rFonts w:ascii="Times New Roman;Times;serif" w:hAnsi="Times New Roman;Times;serif"/>
          <w:sz w:val="20"/>
        </w:rPr>
        <w:t>Commission File Number 000-24790</w:t>
      </w:r>
    </w:p>
    <w:p>
      <w:pPr>
        <w:pStyle w:val="TextBody"/>
        <w:bidi w:val="0"/>
        <w:spacing w:lineRule="auto" w:line="300" w:before="0" w:after="300"/>
        <w:jc w:val="left"/>
        <w:rPr/>
      </w:pPr>
      <w:r>
        <w:rPr/>
        <w:t> </w:t>
      </w:r>
    </w:p>
    <w:p>
      <w:pPr>
        <w:pStyle w:val="TextBody"/>
        <w:bidi w:val="0"/>
        <w:spacing w:lineRule="auto" w:line="300" w:before="0" w:after="300"/>
        <w:jc w:val="center"/>
        <w:rPr>
          <w:rFonts w:ascii="Times New Roman;Times;serif" w:hAnsi="Times New Roman;Times;serif"/>
          <w:b/>
          <w:sz w:val="32"/>
        </w:rPr>
      </w:pPr>
      <w:r>
        <w:rPr>
          <w:rFonts w:ascii="Times New Roman;Times;serif" w:hAnsi="Times New Roman;Times;serif"/>
          <w:b/>
          <w:sz w:val="32"/>
        </w:rPr>
        <w:t>TOWER SEMICONDUCTOR LTD.</w:t>
      </w:r>
    </w:p>
    <w:p>
      <w:pPr>
        <w:pStyle w:val="TextBody"/>
        <w:bidi w:val="0"/>
        <w:spacing w:lineRule="auto" w:line="300" w:before="0" w:after="300"/>
        <w:jc w:val="center"/>
        <w:rPr>
          <w:rFonts w:ascii="Times New Roman;Times;serif" w:hAnsi="Times New Roman;Times;serif"/>
          <w:sz w:val="20"/>
        </w:rPr>
      </w:pPr>
      <w:r>
        <w:rPr>
          <w:rFonts w:ascii="Times New Roman;Times;serif" w:hAnsi="Times New Roman;Times;serif"/>
          <w:sz w:val="20"/>
        </w:rPr>
        <w:t>(Translation of registrant's name into English)</w:t>
      </w:r>
    </w:p>
    <w:p>
      <w:pPr>
        <w:pStyle w:val="TextBody"/>
        <w:bidi w:val="0"/>
        <w:spacing w:lineRule="auto" w:line="300" w:before="0" w:after="300"/>
        <w:jc w:val="left"/>
        <w:rPr/>
      </w:pPr>
      <w:r>
        <w:rPr/>
        <w:t> </w:t>
      </w:r>
    </w:p>
    <w:p>
      <w:pPr>
        <w:pStyle w:val="TextBody"/>
        <w:bidi w:val="0"/>
        <w:spacing w:lineRule="auto" w:line="300" w:before="0" w:after="300"/>
        <w:jc w:val="center"/>
        <w:rPr>
          <w:rFonts w:ascii="Times New Roman;Times;serif" w:hAnsi="Times New Roman;Times;serif"/>
          <w:b/>
          <w:sz w:val="20"/>
        </w:rPr>
      </w:pPr>
      <w:r>
        <w:rPr>
          <w:rFonts w:ascii="Times New Roman;Times;serif" w:hAnsi="Times New Roman;Times;serif"/>
          <w:b/>
          <w:sz w:val="20"/>
        </w:rPr>
        <w:t>Ramat Gavriel Industrial Park</w:t>
      </w:r>
    </w:p>
    <w:p>
      <w:pPr>
        <w:pStyle w:val="TextBody"/>
        <w:bidi w:val="0"/>
        <w:spacing w:lineRule="auto" w:line="300" w:before="0" w:after="300"/>
        <w:jc w:val="center"/>
        <w:rPr>
          <w:rFonts w:ascii="Times New Roman;Times;serif" w:hAnsi="Times New Roman;Times;serif"/>
          <w:b/>
          <w:sz w:val="20"/>
        </w:rPr>
      </w:pPr>
      <w:r>
        <w:rPr>
          <w:rFonts w:ascii="Times New Roman;Times;serif" w:hAnsi="Times New Roman;Times;serif"/>
          <w:b/>
          <w:sz w:val="20"/>
        </w:rPr>
        <w:t>P.O. Box 619, Migdal Haemek, Israel 2310502</w:t>
      </w:r>
    </w:p>
    <w:p>
      <w:pPr>
        <w:pStyle w:val="TextBody"/>
        <w:bidi w:val="0"/>
        <w:spacing w:lineRule="auto" w:line="300" w:before="0" w:after="30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bidi w:val="0"/>
        <w:spacing w:lineRule="auto" w:line="300" w:before="0" w:after="300"/>
        <w:jc w:val="left"/>
        <w:rPr/>
      </w:pPr>
      <w:r>
        <w:rPr/>
        <w:t> </w:t>
      </w:r>
    </w:p>
    <w:p>
      <w:pPr>
        <w:pStyle w:val="TextBody"/>
        <w:bidi w:val="0"/>
        <w:spacing w:lineRule="auto" w:line="300" w:before="0" w:after="300"/>
        <w:ind w:left="0" w:right="0" w:firstLine="900"/>
        <w:jc w:val="left"/>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Form 20-F or Form 40-F.</w:t>
      </w:r>
    </w:p>
    <w:p>
      <w:pPr>
        <w:pStyle w:val="TextBody"/>
        <w:bidi w:val="0"/>
        <w:spacing w:lineRule="auto" w:line="300" w:before="0" w:after="300"/>
        <w:jc w:val="center"/>
        <w:rPr/>
      </w:pPr>
      <w:r>
        <w:rPr/>
        <w:t> </w:t>
      </w:r>
    </w:p>
    <w:p>
      <w:pPr>
        <w:pStyle w:val="TextBody"/>
        <w:bidi w:val="0"/>
        <w:spacing w:lineRule="auto" w:line="300" w:before="0" w:after="300"/>
        <w:jc w:val="center"/>
        <w:rPr>
          <w:rFonts w:ascii="Times New Roman;Times;serif" w:hAnsi="Times New Roman;Times;serif"/>
          <w:sz w:val="20"/>
        </w:rPr>
      </w:pPr>
      <w:r>
        <w:rPr>
          <w:rFonts w:ascii="Times New Roman;Times;serif" w:hAnsi="Times New Roman;Times;serif"/>
          <w:sz w:val="20"/>
        </w:rPr>
        <w:t>Form 20-F ☒ Form 40-F ☐</w:t>
      </w:r>
    </w:p>
    <w:p>
      <w:pPr>
        <w:pStyle w:val="TextBody"/>
        <w:bidi w:val="0"/>
        <w:spacing w:lineRule="auto" w:line="300" w:before="0" w:after="300"/>
        <w:jc w:val="left"/>
        <w:rPr/>
      </w:pPr>
      <w:r>
        <w:rPr/>
        <w:t> </w:t>
      </w:r>
    </w:p>
    <w:p>
      <w:pPr>
        <w:pStyle w:val="HorizontalLine"/>
        <w:bidi w:val="0"/>
        <w:spacing w:before="200" w:after="200"/>
        <w:jc w:val="left"/>
        <w:rPr/>
      </w:pPr>
      <w:r>
        <w:rPr/>
      </w:r>
    </w:p>
    <w:p>
      <w:pPr>
        <w:pStyle w:val="TextBody"/>
        <w:bidi w:val="0"/>
        <w:spacing w:lineRule="auto" w:line="300" w:before="0" w:after="300"/>
        <w:jc w:val="left"/>
        <w:rPr/>
      </w:pPr>
      <w:r>
        <w:rPr/>
        <w:t> </w:t>
      </w:r>
    </w:p>
    <w:p>
      <w:pPr>
        <w:pStyle w:val="TextBody"/>
        <w:bidi w:val="0"/>
        <w:spacing w:lineRule="auto" w:line="300" w:before="0" w:after="300"/>
        <w:ind w:left="0" w:right="0" w:firstLine="900"/>
        <w:jc w:val="both"/>
        <w:rPr>
          <w:rFonts w:ascii="Times New Roman;Times;serif" w:hAnsi="Times New Roman;Times;serif"/>
          <w:sz w:val="20"/>
        </w:rPr>
      </w:pPr>
      <w:r>
        <w:rPr>
          <w:rFonts w:ascii="Times New Roman;Times;serif" w:hAnsi="Times New Roman;Times;serif"/>
          <w:sz w:val="20"/>
        </w:rPr>
        <w:t>On July 27, 2023, the Registrant issued unaudited condensed interim consolidated financial statements as of June 30, 2023, and for the six- and three-month periods then ended. Attached hereto are the following exhibits.</w:t>
      </w:r>
    </w:p>
    <w:p>
      <w:pPr>
        <w:pStyle w:val="TextBody"/>
        <w:bidi w:val="0"/>
        <w:spacing w:lineRule="auto" w:line="300" w:before="0" w:after="300"/>
        <w:jc w:val="left"/>
        <w:rPr/>
      </w:pPr>
      <w:r>
        <w:rPr/>
        <w:t> </w:t>
      </w:r>
    </w:p>
    <w:tbl>
      <w:tblPr>
        <w:tblW w:w="8860" w:type="dxa"/>
        <w:jc w:val="left"/>
        <w:tblInd w:w="0" w:type="dxa"/>
        <w:tblLayout w:type="fixed"/>
        <w:tblCellMar>
          <w:top w:w="0" w:type="dxa"/>
          <w:left w:w="0" w:type="dxa"/>
          <w:bottom w:w="0" w:type="dxa"/>
          <w:right w:w="0" w:type="dxa"/>
        </w:tblCellMar>
      </w:tblPr>
      <w:tblGrid>
        <w:gridCol w:w="1040"/>
        <w:gridCol w:w="7820"/>
      </w:tblGrid>
      <w:tr>
        <w:trPr/>
        <w:tc>
          <w:tcPr>
            <w:tcW w:w="1040" w:type="dxa"/>
            <w:tcBorders/>
            <w:vAlign w:val="center"/>
          </w:tcPr>
          <w:p>
            <w:pPr>
              <w:pStyle w:val="TableContents"/>
              <w:bidi w:val="0"/>
              <w:spacing w:lineRule="auto" w:line="300" w:before="0" w:after="0"/>
              <w:jc w:val="left"/>
              <w:rPr/>
            </w:pPr>
            <w:hyperlink w:anchor="exhibit_99-1.htm">
              <w:r>
                <w:rPr>
                  <w:rStyle w:val="InternetLink"/>
                  <w:rFonts w:ascii="Times New Roman;Times;serif" w:hAnsi="Times New Roman;Times;serif"/>
                  <w:sz w:val="20"/>
                </w:rPr>
                <w:t>Exhibit 99.1</w:t>
              </w:r>
            </w:hyperlink>
          </w:p>
        </w:tc>
        <w:tc>
          <w:tcPr>
            <w:tcW w:w="7820" w:type="dxa"/>
            <w:tcBorders/>
            <w:vAlign w:val="center"/>
          </w:tcPr>
          <w:p>
            <w:pPr>
              <w:pStyle w:val="TableContents"/>
              <w:bidi w:val="0"/>
              <w:spacing w:lineRule="auto" w:line="300" w:before="0" w:after="0"/>
              <w:jc w:val="left"/>
              <w:rPr/>
            </w:pPr>
            <w:hyperlink w:anchor="exhibit_99-1.htm">
              <w:r>
                <w:rPr>
                  <w:rStyle w:val="InternetLink"/>
                  <w:rFonts w:ascii="Times New Roman;Times;serif" w:hAnsi="Times New Roman;Times;serif"/>
                  <w:sz w:val="20"/>
                </w:rPr>
                <w:t>Registrant’s unaudited condensed interim consolidated financial statements as of June 30, 2023.</w:t>
              </w:r>
            </w:hyperlink>
          </w:p>
        </w:tc>
      </w:tr>
      <w:tr>
        <w:trPr/>
        <w:tc>
          <w:tcPr>
            <w:tcW w:w="1040" w:type="dxa"/>
            <w:tcBorders/>
            <w:vAlign w:val="center"/>
          </w:tcPr>
          <w:p>
            <w:pPr>
              <w:pStyle w:val="TableContents"/>
              <w:bidi w:val="0"/>
              <w:spacing w:lineRule="auto" w:line="300" w:before="0" w:after="0"/>
              <w:jc w:val="left"/>
              <w:rPr/>
            </w:pPr>
            <w:hyperlink w:anchor="exhibit_99-2.htm">
              <w:r>
                <w:rPr>
                  <w:rStyle w:val="InternetLink"/>
                  <w:rFonts w:ascii="Times New Roman;Times;serif" w:hAnsi="Times New Roman;Times;serif"/>
                  <w:sz w:val="20"/>
                </w:rPr>
                <w:t>Exhibit 99.2</w:t>
              </w:r>
            </w:hyperlink>
          </w:p>
        </w:tc>
        <w:tc>
          <w:tcPr>
            <w:tcW w:w="7820" w:type="dxa"/>
            <w:tcBorders/>
            <w:vAlign w:val="center"/>
          </w:tcPr>
          <w:p>
            <w:pPr>
              <w:pStyle w:val="TableContents"/>
              <w:bidi w:val="0"/>
              <w:spacing w:lineRule="auto" w:line="300" w:before="0" w:after="0"/>
              <w:jc w:val="left"/>
              <w:rPr/>
            </w:pPr>
            <w:hyperlink w:anchor="exhibit_99-2.htm">
              <w:r>
                <w:rPr>
                  <w:rStyle w:val="InternetLink"/>
                  <w:rFonts w:ascii="Times New Roman;Times;serif" w:hAnsi="Times New Roman;Times;serif"/>
                  <w:sz w:val="20"/>
                </w:rPr>
                <w:t>Management’s Discussion and Analysis of Financial Condition and Results of Operations.</w:t>
              </w:r>
            </w:hyperlink>
          </w:p>
        </w:tc>
      </w:tr>
    </w:tbl>
    <w:p>
      <w:pPr>
        <w:pStyle w:val="TextBody"/>
        <w:bidi w:val="0"/>
        <w:spacing w:lineRule="auto" w:line="300" w:before="0" w:after="300"/>
        <w:jc w:val="left"/>
        <w:rPr/>
      </w:pPr>
      <w:r>
        <w:rPr/>
        <w:t> </w:t>
      </w:r>
    </w:p>
    <w:p>
      <w:pPr>
        <w:pStyle w:val="TextBody"/>
        <w:bidi w:val="0"/>
        <w:spacing w:lineRule="auto" w:line="300" w:before="0" w:after="300"/>
        <w:ind w:left="0" w:right="0" w:firstLine="900"/>
        <w:jc w:val="both"/>
        <w:rPr>
          <w:rFonts w:ascii="Times New Roman;Times;serif" w:hAnsi="Times New Roman;Times;serif"/>
          <w:sz w:val="20"/>
        </w:rPr>
      </w:pPr>
      <w:r>
        <w:rPr>
          <w:rFonts w:ascii="Times New Roman;Times;serif" w:hAnsi="Times New Roman;Times;serif"/>
          <w:sz w:val="20"/>
        </w:rPr>
        <w:t xml:space="preserve">This Form 6-K, including all exhibits hereto, is hereby incorporated by reference into all effective registration statements filed by us under the Securities Act of 1933. </w:t>
      </w:r>
    </w:p>
    <w:p>
      <w:pPr>
        <w:pStyle w:val="TextBody"/>
        <w:bidi w:val="0"/>
        <w:spacing w:lineRule="auto" w:line="300" w:before="0" w:after="300"/>
        <w:jc w:val="left"/>
        <w:rPr/>
      </w:pPr>
      <w:r>
        <w:rPr/>
        <w:t> </w:t>
      </w:r>
    </w:p>
    <w:p>
      <w:pPr>
        <w:pStyle w:val="HorizontalLine"/>
        <w:bidi w:val="0"/>
        <w:spacing w:before="200" w:after="200"/>
        <w:jc w:val="left"/>
        <w:rPr/>
      </w:pPr>
      <w:r>
        <w:rPr/>
      </w:r>
    </w:p>
    <w:p>
      <w:pPr>
        <w:pStyle w:val="TextBody"/>
        <w:bidi w:val="0"/>
        <w:spacing w:lineRule="auto" w:line="300" w:before="0" w:after="300"/>
        <w:jc w:val="left"/>
        <w:rPr/>
      </w:pPr>
      <w:r>
        <w:rPr/>
        <w:t> </w:t>
      </w:r>
    </w:p>
    <w:p>
      <w:pPr>
        <w:pStyle w:val="TextBody"/>
        <w:bidi w:val="0"/>
        <w:spacing w:lineRule="auto" w:line="300" w:before="0" w:after="300"/>
        <w:jc w:val="left"/>
        <w:rPr>
          <w:rFonts w:ascii="Times New Roman;Times;serif" w:hAnsi="Times New Roman;Times;serif"/>
          <w:b/>
          <w:sz w:val="20"/>
        </w:rPr>
      </w:pPr>
      <w:r>
        <w:rPr>
          <w:rFonts w:ascii="Times New Roman;Times;serif" w:hAnsi="Times New Roman;Times;serif"/>
          <w:b/>
          <w:sz w:val="20"/>
        </w:rPr>
        <w:t>SIGNATURES</w:t>
      </w:r>
    </w:p>
    <w:p>
      <w:pPr>
        <w:pStyle w:val="TextBody"/>
        <w:bidi w:val="0"/>
        <w:spacing w:lineRule="auto" w:line="300" w:before="0" w:after="300"/>
        <w:jc w:val="left"/>
        <w:rPr/>
      </w:pPr>
      <w:r>
        <w:rPr/>
        <w:t> </w:t>
      </w:r>
    </w:p>
    <w:p>
      <w:pPr>
        <w:pStyle w:val="TextBody"/>
        <w:bidi w:val="0"/>
        <w:spacing w:lineRule="auto" w:line="300" w:before="0" w:after="30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300"/>
        <w:jc w:val="left"/>
        <w:rPr/>
      </w:pPr>
      <w:r>
        <w:rPr/>
        <w:t> </w:t>
      </w:r>
    </w:p>
    <w:tbl>
      <w:tblPr>
        <w:tblW w:w="4720" w:type="dxa"/>
        <w:jc w:val="left"/>
        <w:tblInd w:w="0" w:type="dxa"/>
        <w:tblLayout w:type="fixed"/>
        <w:tblCellMar>
          <w:top w:w="0" w:type="dxa"/>
          <w:left w:w="0" w:type="dxa"/>
          <w:bottom w:w="0" w:type="dxa"/>
          <w:right w:w="0" w:type="dxa"/>
        </w:tblCellMar>
      </w:tblPr>
      <w:tblGrid>
        <w:gridCol w:w="1610"/>
        <w:gridCol w:w="400"/>
        <w:gridCol w:w="2650"/>
        <w:gridCol w:w="60"/>
      </w:tblGrid>
      <w:tr>
        <w:trPr/>
        <w:tc>
          <w:tcPr>
            <w:tcW w:w="1610" w:type="dxa"/>
            <w:tcBorders/>
          </w:tcPr>
          <w:p>
            <w:pPr>
              <w:pStyle w:val="TableContents"/>
              <w:bidi w:val="0"/>
              <w:spacing w:before="0" w:after="283"/>
              <w:jc w:val="left"/>
              <w:rPr/>
            </w:pPr>
            <w:r>
              <w:rPr/>
              <w:t> </w:t>
            </w:r>
          </w:p>
        </w:tc>
        <w:tc>
          <w:tcPr>
            <w:tcW w:w="3050" w:type="dxa"/>
            <w:gridSpan w:val="2"/>
            <w:tcBorders/>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TOWER SEMICONDUCTOR LTD.</w:t>
            </w:r>
          </w:p>
        </w:tc>
        <w:tc>
          <w:tcPr>
            <w:tcW w:w="60" w:type="dxa"/>
            <w:tcBorders/>
          </w:tcPr>
          <w:p>
            <w:pPr>
              <w:pStyle w:val="TableContents"/>
              <w:bidi w:val="0"/>
              <w:spacing w:before="0" w:after="283"/>
              <w:jc w:val="left"/>
              <w:rPr/>
            </w:pPr>
            <w:r>
              <w:rPr/>
              <w:t> </w:t>
            </w:r>
          </w:p>
        </w:tc>
      </w:tr>
      <w:tr>
        <w:trPr/>
        <w:tc>
          <w:tcPr>
            <w:tcW w:w="1610" w:type="dxa"/>
            <w:tcBorders/>
          </w:tcPr>
          <w:p>
            <w:pPr>
              <w:pStyle w:val="TableContents"/>
              <w:bidi w:val="0"/>
              <w:spacing w:before="0" w:after="283"/>
              <w:jc w:val="left"/>
              <w:rPr/>
            </w:pPr>
            <w:r>
              <w:rPr/>
              <w:t> </w:t>
            </w:r>
          </w:p>
        </w:tc>
        <w:tc>
          <w:tcPr>
            <w:tcW w:w="400" w:type="dxa"/>
            <w:tcBorders/>
          </w:tcPr>
          <w:p>
            <w:pPr>
              <w:pStyle w:val="TableContents"/>
              <w:bidi w:val="0"/>
              <w:spacing w:before="0" w:after="283"/>
              <w:jc w:val="left"/>
              <w:rPr/>
            </w:pPr>
            <w:r>
              <w:rPr/>
              <w:t> </w:t>
            </w:r>
          </w:p>
        </w:tc>
        <w:tc>
          <w:tcPr>
            <w:tcW w:w="265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161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27, 2023</w:t>
            </w:r>
          </w:p>
        </w:tc>
        <w:tc>
          <w:tcPr>
            <w:tcW w:w="40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50" w:type="dxa"/>
            <w:tcBorders>
              <w:bottom w:val="single" w:sz="12" w:space="0" w:color="000000"/>
            </w:tcBorders>
            <w:tcMar>
              <w:bottom w:w="28" w:type="dxa"/>
            </w:tcMa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Nati Somekh</w:t>
            </w:r>
          </w:p>
        </w:tc>
        <w:tc>
          <w:tcPr>
            <w:tcW w:w="60" w:type="dxa"/>
            <w:tcBorders/>
          </w:tcPr>
          <w:p>
            <w:pPr>
              <w:pStyle w:val="TableContents"/>
              <w:bidi w:val="0"/>
              <w:spacing w:before="0" w:after="283"/>
              <w:jc w:val="left"/>
              <w:rPr/>
            </w:pPr>
            <w:r>
              <w:rPr/>
              <w:t> </w:t>
            </w:r>
          </w:p>
        </w:tc>
      </w:tr>
      <w:tr>
        <w:trPr/>
        <w:tc>
          <w:tcPr>
            <w:tcW w:w="1610" w:type="dxa"/>
            <w:tcBorders/>
          </w:tcPr>
          <w:p>
            <w:pPr>
              <w:pStyle w:val="TableContents"/>
              <w:bidi w:val="0"/>
              <w:spacing w:before="0" w:after="283"/>
              <w:jc w:val="left"/>
              <w:rPr/>
            </w:pPr>
            <w:r>
              <w:rPr/>
              <w:t> </w:t>
            </w:r>
          </w:p>
        </w:tc>
        <w:tc>
          <w:tcPr>
            <w:tcW w:w="400" w:type="dxa"/>
            <w:tcBorders/>
          </w:tcPr>
          <w:p>
            <w:pPr>
              <w:pStyle w:val="TableContents"/>
              <w:bidi w:val="0"/>
              <w:spacing w:before="0" w:after="283"/>
              <w:jc w:val="left"/>
              <w:rPr/>
            </w:pPr>
            <w:r>
              <w:rPr/>
              <w:t> </w:t>
            </w:r>
          </w:p>
        </w:tc>
        <w:tc>
          <w:tcPr>
            <w:tcW w:w="2650" w:type="dxa"/>
            <w:tcBorders/>
            <w:vAlign w:val="bottom"/>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Nati Somekh</w:t>
            </w:r>
          </w:p>
        </w:tc>
        <w:tc>
          <w:tcPr>
            <w:tcW w:w="60" w:type="dxa"/>
            <w:tcBorders/>
          </w:tcPr>
          <w:p>
            <w:pPr>
              <w:pStyle w:val="TableContents"/>
              <w:bidi w:val="0"/>
              <w:spacing w:before="0" w:after="283"/>
              <w:jc w:val="left"/>
              <w:rPr/>
            </w:pPr>
            <w:r>
              <w:rPr/>
              <w:t> </w:t>
            </w:r>
          </w:p>
        </w:tc>
      </w:tr>
      <w:tr>
        <w:trPr/>
        <w:tc>
          <w:tcPr>
            <w:tcW w:w="1610" w:type="dxa"/>
            <w:tcBorders/>
          </w:tcPr>
          <w:p>
            <w:pPr>
              <w:pStyle w:val="TableContents"/>
              <w:bidi w:val="0"/>
              <w:spacing w:before="0" w:after="283"/>
              <w:jc w:val="left"/>
              <w:rPr/>
            </w:pPr>
            <w:r>
              <w:rPr/>
              <w:t> </w:t>
            </w:r>
          </w:p>
        </w:tc>
        <w:tc>
          <w:tcPr>
            <w:tcW w:w="400" w:type="dxa"/>
            <w:tcBorders/>
          </w:tcPr>
          <w:p>
            <w:pPr>
              <w:pStyle w:val="TableContents"/>
              <w:bidi w:val="0"/>
              <w:spacing w:before="0" w:after="283"/>
              <w:jc w:val="left"/>
              <w:rPr/>
            </w:pPr>
            <w:r>
              <w:rPr/>
              <w:t> </w:t>
            </w:r>
          </w:p>
        </w:tc>
        <w:tc>
          <w:tcPr>
            <w:tcW w:w="2650"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Corporate Secretary</w:t>
            </w:r>
          </w:p>
        </w:tc>
        <w:tc>
          <w:tcPr>
            <w:tcW w:w="60" w:type="dxa"/>
            <w:tcBorders/>
          </w:tcPr>
          <w:p>
            <w:pPr>
              <w:pStyle w:val="TableContents"/>
              <w:bidi w:val="0"/>
              <w:spacing w:before="0" w:after="283"/>
              <w:jc w:val="left"/>
              <w:rPr/>
            </w:pPr>
            <w:r>
              <w:rPr/>
              <w:t> </w:t>
            </w:r>
          </w:p>
        </w:tc>
      </w:tr>
      <w:tr>
        <w:trPr/>
        <w:tc>
          <w:tcPr>
            <w:tcW w:w="1610" w:type="dxa"/>
            <w:tcBorders/>
          </w:tcPr>
          <w:p>
            <w:pPr>
              <w:pStyle w:val="TableContents"/>
              <w:bidi w:val="0"/>
              <w:spacing w:before="0" w:after="283"/>
              <w:jc w:val="left"/>
              <w:rPr/>
            </w:pPr>
            <w:r>
              <w:rPr/>
              <w:t> </w:t>
            </w:r>
          </w:p>
        </w:tc>
        <w:tc>
          <w:tcPr>
            <w:tcW w:w="400" w:type="dxa"/>
            <w:tcBorders/>
          </w:tcPr>
          <w:p>
            <w:pPr>
              <w:pStyle w:val="TableContents"/>
              <w:bidi w:val="0"/>
              <w:spacing w:before="0" w:after="283"/>
              <w:jc w:val="left"/>
              <w:rPr/>
            </w:pPr>
            <w:r>
              <w:rPr/>
              <w:t> </w:t>
            </w:r>
          </w:p>
        </w:tc>
        <w:tc>
          <w:tcPr>
            <w:tcW w:w="265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lineRule="auto" w:line="300" w:before="0" w:after="300"/>
        <w:jc w:val="left"/>
        <w:rPr/>
      </w:pPr>
      <w:r>
        <w:rPr/>
        <w:t> </w:t>
      </w:r>
    </w:p>
    <w:p>
      <w:pPr>
        <w:pStyle w:val="TextBody"/>
        <w:bidi w:val="0"/>
        <w:spacing w:lineRule="auto" w:line="300" w:before="0" w:after="300"/>
        <w:jc w:val="left"/>
        <w:rPr/>
      </w:pPr>
      <w:r>
        <w:rPr/>
        <w:t> </w:t>
      </w:r>
    </w:p>
    <w:p>
      <w:pPr>
        <w:pStyle w:val="HorizontalLine"/>
        <w:bidi w:val="0"/>
        <w:spacing w:lineRule="auto" w:line="300" w:before="0" w:after="300"/>
        <w:jc w:val="left"/>
        <w:rPr/>
      </w:pPr>
      <w:r>
        <w:rPr/>
      </w:r>
    </w:p>
    <w:p>
      <w:pPr>
        <w:pStyle w:val="HorizontalLine"/>
        <w:bidi w:val="0"/>
        <w:spacing w:before="0" w:after="300"/>
        <w:jc w:val="left"/>
        <w:rPr/>
      </w:pPr>
      <w:r>
        <w:rPr/>
      </w:r>
      <w:bookmarkStart w:id="4" w:name="exhibit_99-1.htm"/>
      <w:bookmarkStart w:id="5" w:name="ksexhibit_991"/>
      <w:bookmarkStart w:id="6" w:name="exhibit_99-1.htm"/>
      <w:bookmarkStart w:id="7" w:name="ksexhibit_991"/>
      <w:bookmarkEnd w:id="6"/>
      <w:bookmarkEnd w:id="7"/>
      <w:r>
        <w:br w:type="page"/>
      </w:r>
    </w:p>
    <w:p>
      <w:pPr>
        <w:pStyle w:val="TextBody"/>
        <w:bidi w:val="0"/>
        <w:spacing w:before="0" w:after="300"/>
        <w:jc w:val="right"/>
        <w:rPr>
          <w:rFonts w:ascii="Times New Roman;Times;serif" w:hAnsi="Times New Roman;Times;serif"/>
          <w:b/>
          <w:sz w:val="20"/>
          <w:u w:val="single"/>
        </w:rPr>
      </w:pPr>
      <w:r>
        <w:rPr>
          <w:rFonts w:ascii="Times New Roman;Times;serif" w:hAnsi="Times New Roman;Times;serif"/>
          <w:b/>
          <w:sz w:val="20"/>
          <w:u w:val="single"/>
        </w:rPr>
        <w:t>Exhibit 99.1</w:t>
      </w:r>
    </w:p>
    <w:p>
      <w:pPr>
        <w:pStyle w:val="TextBody"/>
        <w:bidi w:val="0"/>
        <w:spacing w:before="0" w:after="300"/>
        <w:jc w:val="center"/>
        <w:rPr/>
      </w:pPr>
      <w:r>
        <w:rPr/>
        <w:t> </w:t>
      </w:r>
    </w:p>
    <w:p>
      <w:pPr>
        <w:pStyle w:val="TextBody"/>
        <w:bidi w:val="0"/>
        <w:spacing w:before="0" w:after="0"/>
        <w:jc w:val="center"/>
        <w:rPr/>
      </w:pPr>
      <w:r>
        <w:rPr>
          <w:rStyle w:val="StrongEmphasis"/>
          <w:rFonts w:ascii="Times New Roman;Times;serif" w:hAnsi="Times New Roman;Times;serif"/>
          <w:sz w:val="20"/>
        </w:rPr>
        <w:t>TOWER SEMICONDUCTOR LIMITED</w:t>
      </w:r>
    </w:p>
    <w:p>
      <w:pPr>
        <w:pStyle w:val="TextBody"/>
        <w:bidi w:val="0"/>
        <w:spacing w:before="0" w:after="0"/>
        <w:jc w:val="center"/>
        <w:rPr/>
      </w:pPr>
      <w:r>
        <w:rPr>
          <w:rStyle w:val="StrongEmphasis"/>
          <w:rFonts w:ascii="Times New Roman;Times;serif" w:hAnsi="Times New Roman;Times;serif"/>
          <w:sz w:val="20"/>
        </w:rPr>
        <w:t>AND SUBSIDIARIES</w:t>
      </w:r>
      <w:r>
        <w:rPr>
          <w:rFonts w:ascii="Times New Roman;Times;serif" w:hAnsi="Times New Roman;Times;serif"/>
          <w:sz w:val="20"/>
        </w:rPr>
        <w:br/>
        <w:t> </w:t>
      </w:r>
    </w:p>
    <w:p>
      <w:pPr>
        <w:pStyle w:val="TextBody"/>
        <w:bidi w:val="0"/>
        <w:spacing w:before="0" w:after="0"/>
        <w:jc w:val="center"/>
        <w:rPr/>
      </w:pPr>
      <w:r>
        <w:rPr>
          <w:rStyle w:val="StrongEmphasis"/>
          <w:rFonts w:ascii="Times New Roman;Times;serif" w:hAnsi="Times New Roman;Times;serif"/>
          <w:sz w:val="20"/>
        </w:rPr>
        <w:t>UNAUDITED CONDENSED INTERIM</w:t>
        <w:br/>
        <w:t>CONSOLIDATED FINANCIAL STATEMENTS</w:t>
        <w:br/>
        <w:t>AS OF JUNE 30, 2023</w:t>
      </w:r>
    </w:p>
    <w:p>
      <w:pPr>
        <w:pStyle w:val="TextBody"/>
        <w:bidi w:val="0"/>
        <w:spacing w:before="0" w:after="0"/>
        <w:jc w:val="center"/>
        <w:rPr/>
      </w:pPr>
      <w:r>
        <w:rPr/>
        <w:t> </w:t>
      </w:r>
    </w:p>
    <w:p>
      <w:pPr>
        <w:pStyle w:val="HorizontalLine"/>
        <w:bidi w:val="0"/>
        <w:spacing w:before="200" w:after="200"/>
        <w:jc w:val="left"/>
        <w:rPr/>
      </w:pPr>
      <w:r>
        <w:rPr/>
      </w:r>
    </w:p>
    <w:p>
      <w:pPr>
        <w:pStyle w:val="TextBody"/>
        <w:bidi w:val="0"/>
        <w:spacing w:before="0" w:after="300"/>
        <w:jc w:val="left"/>
        <w:rPr/>
      </w:pPr>
      <w:r>
        <w:rPr/>
        <w:t> </w:t>
      </w:r>
    </w:p>
    <w:p>
      <w:pPr>
        <w:pStyle w:val="TextBody"/>
        <w:bidi w:val="0"/>
        <w:spacing w:lineRule="auto" w:line="300" w:before="0" w:after="300"/>
        <w:jc w:val="center"/>
        <w:rPr>
          <w:rFonts w:ascii="Times New Roman;Times;serif" w:hAnsi="Times New Roman;Times;serif"/>
          <w:b/>
          <w:sz w:val="20"/>
        </w:rPr>
      </w:pPr>
      <w:r>
        <w:rPr>
          <w:rFonts w:ascii="Times New Roman;Times;serif" w:hAnsi="Times New Roman;Times;serif"/>
          <w:b/>
          <w:sz w:val="20"/>
        </w:rPr>
        <w:t>TOWER SEMICONDUCTOR LIMITED AND SUBSIDARIES</w:t>
      </w:r>
    </w:p>
    <w:p>
      <w:pPr>
        <w:pStyle w:val="TextBody"/>
        <w:bidi w:val="0"/>
        <w:spacing w:lineRule="auto" w:line="300" w:before="0" w:after="300"/>
        <w:jc w:val="left"/>
        <w:rPr/>
      </w:pPr>
      <w:r>
        <w:rPr/>
        <w:t> </w:t>
      </w:r>
    </w:p>
    <w:p>
      <w:pPr>
        <w:pStyle w:val="TextBody"/>
        <w:bidi w:val="0"/>
        <w:spacing w:lineRule="auto" w:line="300" w:before="0" w:after="300"/>
        <w:jc w:val="center"/>
        <w:rPr>
          <w:rFonts w:ascii="Times New Roman;Times;serif" w:hAnsi="Times New Roman;Times;serif"/>
          <w:b/>
          <w:sz w:val="20"/>
        </w:rPr>
      </w:pPr>
      <w:r>
        <w:rPr>
          <w:rFonts w:ascii="Times New Roman;Times;serif" w:hAnsi="Times New Roman;Times;serif"/>
          <w:b/>
          <w:sz w:val="20"/>
        </w:rPr>
        <w:t>INDEX TO UNAUDITED CONDENSED INTERIM</w:t>
      </w:r>
    </w:p>
    <w:p>
      <w:pPr>
        <w:pStyle w:val="TextBody"/>
        <w:bidi w:val="0"/>
        <w:spacing w:lineRule="auto" w:line="300" w:before="0" w:after="300"/>
        <w:jc w:val="center"/>
        <w:rPr>
          <w:rFonts w:ascii="Times New Roman;Times;serif" w:hAnsi="Times New Roman;Times;serif"/>
          <w:b/>
          <w:sz w:val="20"/>
        </w:rPr>
      </w:pPr>
      <w:r>
        <w:rPr>
          <w:rFonts w:ascii="Times New Roman;Times;serif" w:hAnsi="Times New Roman;Times;serif"/>
          <w:b/>
          <w:sz w:val="20"/>
        </w:rPr>
        <w:t>CONSOLIDATED FINANCIAL STATEMENTS</w:t>
      </w:r>
    </w:p>
    <w:p>
      <w:pPr>
        <w:pStyle w:val="TextBody"/>
        <w:bidi w:val="0"/>
        <w:spacing w:lineRule="auto" w:line="300" w:before="0" w:after="300"/>
        <w:jc w:val="center"/>
        <w:rPr>
          <w:rFonts w:ascii="Times New Roman;Times;serif" w:hAnsi="Times New Roman;Times;serif"/>
          <w:b/>
          <w:sz w:val="20"/>
        </w:rPr>
      </w:pPr>
      <w:r>
        <w:rPr>
          <w:rFonts w:ascii="Times New Roman;Times;serif" w:hAnsi="Times New Roman;Times;serif"/>
          <w:b/>
          <w:sz w:val="20"/>
        </w:rPr>
        <w:t>AS OF JUNE 30, 2023</w:t>
      </w:r>
    </w:p>
    <w:p>
      <w:pPr>
        <w:pStyle w:val="TextBody"/>
        <w:bidi w:val="0"/>
        <w:spacing w:lineRule="auto" w:line="300" w:before="0" w:after="300"/>
        <w:jc w:val="left"/>
        <w:rPr/>
      </w:pPr>
      <w:r>
        <w:rPr/>
        <w:t> </w:t>
      </w:r>
    </w:p>
    <w:tbl>
      <w:tblPr>
        <w:tblW w:w="5830" w:type="dxa"/>
        <w:jc w:val="left"/>
        <w:tblInd w:w="0" w:type="dxa"/>
        <w:tblLayout w:type="fixed"/>
        <w:tblCellMar>
          <w:top w:w="0" w:type="dxa"/>
          <w:left w:w="0" w:type="dxa"/>
          <w:bottom w:w="0" w:type="dxa"/>
          <w:right w:w="0" w:type="dxa"/>
        </w:tblCellMar>
      </w:tblPr>
      <w:tblGrid>
        <w:gridCol w:w="5120"/>
        <w:gridCol w:w="710"/>
      </w:tblGrid>
      <w:tr>
        <w:trPr/>
        <w:tc>
          <w:tcPr>
            <w:tcW w:w="5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Page</w:t>
            </w:r>
          </w:p>
        </w:tc>
      </w:tr>
      <w:tr>
        <w:trPr/>
        <w:tc>
          <w:tcPr>
            <w:tcW w:w="5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lineRule="auto" w:line="300" w:before="0" w:after="0"/>
              <w:jc w:val="both"/>
              <w:rPr/>
            </w:pPr>
            <w:hyperlink w:anchor="BALANCE_integixAnchor">
              <w:r>
                <w:rPr>
                  <w:rStyle w:val="InternetLink"/>
                  <w:rFonts w:ascii="Times New Roman;Times;serif" w:hAnsi="Times New Roman;Times;serif"/>
                  <w:sz w:val="20"/>
                </w:rPr>
                <w:t>BALANCE SHEETS</w:t>
              </w:r>
            </w:hyperlink>
          </w:p>
        </w:tc>
        <w:tc>
          <w:tcPr>
            <w:tcW w:w="71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F-2</w:t>
            </w:r>
          </w:p>
        </w:tc>
      </w:tr>
      <w:tr>
        <w:trPr/>
        <w:tc>
          <w:tcPr>
            <w:tcW w:w="5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lineRule="auto" w:line="300" w:before="0" w:after="0"/>
              <w:jc w:val="both"/>
              <w:rPr/>
            </w:pPr>
            <w:hyperlink w:anchor="OPERATIONS_integixAnchor">
              <w:r>
                <w:rPr>
                  <w:rStyle w:val="InternetLink"/>
                  <w:rFonts w:ascii="Times New Roman;Times;serif" w:hAnsi="Times New Roman;Times;serif"/>
                  <w:sz w:val="20"/>
                </w:rPr>
                <w:t>STATEMENTS OF OPERATIONS</w:t>
              </w:r>
            </w:hyperlink>
          </w:p>
        </w:tc>
        <w:tc>
          <w:tcPr>
            <w:tcW w:w="71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F-3</w:t>
            </w:r>
          </w:p>
        </w:tc>
      </w:tr>
      <w:tr>
        <w:trPr/>
        <w:tc>
          <w:tcPr>
            <w:tcW w:w="5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lineRule="auto" w:line="300" w:before="0" w:after="0"/>
              <w:jc w:val="both"/>
              <w:rPr/>
            </w:pPr>
            <w:hyperlink w:anchor="COMPREHENSIVE_integixAnchor">
              <w:r>
                <w:rPr>
                  <w:rStyle w:val="InternetLink"/>
                  <w:rFonts w:ascii="Times New Roman;Times;serif" w:hAnsi="Times New Roman;Times;serif"/>
                  <w:sz w:val="20"/>
                </w:rPr>
                <w:t>STATEMENTS OF COMPREHENSIVE INCOME</w:t>
              </w:r>
            </w:hyperlink>
          </w:p>
        </w:tc>
        <w:tc>
          <w:tcPr>
            <w:tcW w:w="71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F-4</w:t>
            </w:r>
          </w:p>
        </w:tc>
      </w:tr>
      <w:tr>
        <w:trPr/>
        <w:tc>
          <w:tcPr>
            <w:tcW w:w="5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lineRule="auto" w:line="300" w:before="0" w:after="0"/>
              <w:jc w:val="both"/>
              <w:rPr/>
            </w:pPr>
            <w:hyperlink w:anchor="EQUITY_integixAnchor">
              <w:r>
                <w:rPr>
                  <w:rStyle w:val="InternetLink"/>
                  <w:rFonts w:ascii="Times New Roman;Times;serif" w:hAnsi="Times New Roman;Times;serif"/>
                  <w:sz w:val="20"/>
                </w:rPr>
                <w:t>STATEMENTS OF CHANGES IN SHAREHOLDERS’ EQUITY</w:t>
              </w:r>
            </w:hyperlink>
          </w:p>
        </w:tc>
        <w:tc>
          <w:tcPr>
            <w:tcW w:w="71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F-5</w:t>
            </w:r>
          </w:p>
        </w:tc>
      </w:tr>
      <w:tr>
        <w:trPr/>
        <w:tc>
          <w:tcPr>
            <w:tcW w:w="5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lineRule="auto" w:line="300" w:before="0" w:after="0"/>
              <w:jc w:val="both"/>
              <w:rPr/>
            </w:pPr>
            <w:hyperlink w:anchor="CASH_integixAnchor">
              <w:r>
                <w:rPr>
                  <w:rStyle w:val="InternetLink"/>
                  <w:rFonts w:ascii="Times New Roman;Times;serif" w:hAnsi="Times New Roman;Times;serif"/>
                  <w:sz w:val="20"/>
                </w:rPr>
                <w:t>STATEMENTS OF CASH FLOWS</w:t>
              </w:r>
            </w:hyperlink>
          </w:p>
        </w:tc>
        <w:tc>
          <w:tcPr>
            <w:tcW w:w="71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F-6 - F-7</w:t>
            </w:r>
          </w:p>
        </w:tc>
      </w:tr>
      <w:tr>
        <w:trPr/>
        <w:tc>
          <w:tcPr>
            <w:tcW w:w="5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lineRule="auto" w:line="300" w:before="0" w:after="0"/>
              <w:jc w:val="both"/>
              <w:rPr/>
            </w:pPr>
            <w:hyperlink w:anchor="NOTES_integixAnchor">
              <w:r>
                <w:rPr>
                  <w:rStyle w:val="InternetLink"/>
                  <w:rFonts w:ascii="Times New Roman;Times;serif" w:hAnsi="Times New Roman;Times;serif"/>
                  <w:sz w:val="20"/>
                </w:rPr>
                <w:t>NOTES TO FINANCIAL STATEMENTS</w:t>
              </w:r>
            </w:hyperlink>
          </w:p>
        </w:tc>
        <w:tc>
          <w:tcPr>
            <w:tcW w:w="71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F-8 - F-9</w:t>
            </w:r>
          </w:p>
        </w:tc>
      </w:tr>
    </w:tbl>
    <w:p>
      <w:pPr>
        <w:pStyle w:val="TextBody"/>
        <w:bidi w:val="0"/>
        <w:spacing w:lineRule="auto" w:line="300" w:before="0" w:after="300"/>
        <w:jc w:val="left"/>
        <w:rPr/>
      </w:pPr>
      <w:r>
        <w:rPr/>
        <w:t> </w:t>
      </w:r>
    </w:p>
    <w:p>
      <w:pPr>
        <w:pStyle w:val="HorizontalLine"/>
        <w:bidi w:val="0"/>
        <w:spacing w:before="200" w:after="200"/>
        <w:jc w:val="left"/>
        <w:rPr/>
      </w:pPr>
      <w:r>
        <w:rPr/>
      </w:r>
    </w:p>
    <w:tbl>
      <w:tblPr>
        <w:tblW w:w="6890" w:type="dxa"/>
        <w:jc w:val="left"/>
        <w:tblInd w:w="0" w:type="dxa"/>
        <w:tblLayout w:type="fixed"/>
        <w:tblCellMar>
          <w:top w:w="0" w:type="dxa"/>
          <w:left w:w="0" w:type="dxa"/>
          <w:bottom w:w="0" w:type="dxa"/>
          <w:right w:w="0" w:type="dxa"/>
        </w:tblCellMar>
      </w:tblPr>
      <w:tblGrid>
        <w:gridCol w:w="6890"/>
      </w:tblGrid>
      <w:tr>
        <w:trPr/>
        <w:tc>
          <w:tcPr>
            <w:tcW w:w="689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689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CONDENSED INTERIM CONSOLIDATED </w:t>
            </w:r>
            <w:bookmarkStart w:id="8" w:name="BALANCE_integixAnchor"/>
            <w:bookmarkEnd w:id="8"/>
            <w:r>
              <w:rPr>
                <w:rFonts w:ascii="Times New Roman;Times;serif" w:hAnsi="Times New Roman;Times;serif"/>
                <w:b/>
                <w:sz w:val="20"/>
              </w:rPr>
              <w:t>BALANCE SHEETS (UNAUDITED)</w:t>
            </w:r>
          </w:p>
        </w:tc>
      </w:tr>
      <w:tr>
        <w:trPr/>
        <w:tc>
          <w:tcPr>
            <w:tcW w:w="689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lineRule="auto" w:line="300" w:before="0" w:after="300"/>
        <w:jc w:val="left"/>
        <w:rPr/>
      </w:pPr>
      <w:r>
        <w:rPr/>
        <w:t> </w:t>
      </w:r>
    </w:p>
    <w:tbl>
      <w:tblPr>
        <w:tblW w:w="8478" w:type="dxa"/>
        <w:jc w:val="left"/>
        <w:tblInd w:w="0" w:type="dxa"/>
        <w:tblLayout w:type="fixed"/>
        <w:tblCellMar>
          <w:top w:w="0" w:type="dxa"/>
          <w:left w:w="0" w:type="dxa"/>
          <w:bottom w:w="0" w:type="dxa"/>
          <w:right w:w="0" w:type="dxa"/>
        </w:tblCellMar>
      </w:tblPr>
      <w:tblGrid>
        <w:gridCol w:w="6079"/>
        <w:gridCol w:w="60"/>
        <w:gridCol w:w="125"/>
        <w:gridCol w:w="845"/>
        <w:gridCol w:w="60"/>
        <w:gridCol w:w="60"/>
        <w:gridCol w:w="151"/>
        <w:gridCol w:w="1023"/>
        <w:gridCol w:w="75"/>
      </w:tblGrid>
      <w:tr>
        <w:trPr/>
        <w:tc>
          <w:tcPr>
            <w:tcW w:w="60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4" w:type="dxa"/>
            <w:gridSpan w:val="6"/>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4"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4"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Cash and cash equivalents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318,195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340,759</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Short-term deposits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419,528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495,359</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Marketable securities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175,872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169,694</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Trade accounts receivable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163,293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152,935</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Inventories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330,819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302,108</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Other current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32,396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34,319</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Total current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1,440,103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1,495,174</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LONG-TERM INVESTMENTS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8,829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8,796</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PROPERTY AND EQUIPMENT,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1,018,636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962,258</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GOODWILL AND OTHER INTANGIBLE ASSETS,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13,049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14,031</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DEFERRED TAX AND OTHER LONG-TERM ASSETS, NET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53,459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67,349</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1124"/>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2,534,076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23"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2,547,608</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Current maturities of long-term debt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41,300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23"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62,275</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Trade accounts payable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154,507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150,930</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Deferred revenue and customers' advances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22,402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38,911</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Employee related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58,399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58,920</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Other 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25,231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76,352</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301,839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387,388</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LONG-TERM DEBT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178,865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210,069</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LONG-TERM CUSTOMERS' ADVANCES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31,209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40,893</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EMPLOYEE RELATED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8,349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7,711</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DEFERRED TAX AND OTHER LONG-TERM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13,006</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1124"/>
              <w:jc w:val="left"/>
              <w:rPr>
                <w:rFonts w:ascii="Times New Roman;Times;serif" w:hAnsi="Times New Roman;Times;serif"/>
                <w:b/>
                <w:sz w:val="20"/>
              </w:rPr>
            </w:pPr>
            <w:r>
              <w:rPr>
                <w:rFonts w:ascii="Times New Roman;Times;serif" w:hAnsi="Times New Roman;Times;serif"/>
                <w:b/>
                <w:sz w:val="20"/>
              </w:rPr>
              <w:t>TOTAL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522,971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659,067</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TOTAL SHAREHOLDERS' EQUITY</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2,011,105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bottom w:val="double" w:sz="8" w:space="0" w:color="000000"/>
            </w:tcBorders>
            <w:tcMar>
              <w:bottom w:w="28" w:type="dxa"/>
            </w:tcMar>
            <w:vAlign w:val="bottom"/>
          </w:tcPr>
          <w:p>
            <w:pPr>
              <w:pStyle w:val="TableContents"/>
              <w:bidi w:val="0"/>
              <w:spacing w:before="0" w:after="283"/>
              <w:jc w:val="left"/>
              <w:rPr/>
            </w:pPr>
            <w:r>
              <w:rPr/>
              <w:t> </w:t>
            </w:r>
          </w:p>
        </w:tc>
        <w:tc>
          <w:tcPr>
            <w:tcW w:w="1023"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1,888,541</w:t>
            </w:r>
          </w:p>
        </w:tc>
        <w:tc>
          <w:tcPr>
            <w:tcW w:w="75" w:type="dxa"/>
            <w:tcBorders/>
            <w:vAlign w:val="bottom"/>
          </w:tcPr>
          <w:p>
            <w:pPr>
              <w:pStyle w:val="TableContents"/>
              <w:bidi w:val="0"/>
              <w:spacing w:before="0" w:after="283"/>
              <w:jc w:val="left"/>
              <w:rPr/>
            </w:pPr>
            <w:r>
              <w:rPr/>
              <w:t> </w:t>
            </w:r>
          </w:p>
        </w:tc>
      </w:tr>
      <w:tr>
        <w:trPr/>
        <w:tc>
          <w:tcPr>
            <w:tcW w:w="60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lineRule="auto" w:line="300" w:before="0" w:after="0"/>
              <w:ind w:left="0" w:right="0" w:firstLine="1124"/>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2,534,076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23"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2,547,608</w:t>
            </w:r>
          </w:p>
        </w:tc>
        <w:tc>
          <w:tcPr>
            <w:tcW w:w="75" w:type="dxa"/>
            <w:tcBorders/>
            <w:vAlign w:val="bottom"/>
          </w:tcPr>
          <w:p>
            <w:pPr>
              <w:pStyle w:val="TableContents"/>
              <w:bidi w:val="0"/>
              <w:spacing w:before="0" w:after="283"/>
              <w:jc w:val="left"/>
              <w:rPr/>
            </w:pPr>
            <w:r>
              <w:rPr/>
              <w:t> </w:t>
            </w:r>
          </w:p>
        </w:tc>
      </w:tr>
    </w:tbl>
    <w:p>
      <w:pPr>
        <w:pStyle w:val="TextBody"/>
        <w:bidi w:val="0"/>
        <w:spacing w:lineRule="auto" w:line="300" w:before="0" w:after="300"/>
        <w:jc w:val="left"/>
        <w:rPr/>
      </w:pPr>
      <w:r>
        <w:rPr/>
        <w:t> </w:t>
      </w:r>
    </w:p>
    <w:p>
      <w:pPr>
        <w:pStyle w:val="TextBody"/>
        <w:bidi w:val="0"/>
        <w:spacing w:before="0" w:after="300"/>
        <w:jc w:val="both"/>
        <w:rPr/>
      </w:pPr>
      <w:r>
        <w:rPr>
          <w:rStyle w:val="StrongEmphasis"/>
          <w:rFonts w:ascii="Times New Roman;Times;serif" w:hAnsi="Times New Roman;Times;serif"/>
          <w:sz w:val="20"/>
        </w:rPr>
        <w:t>(*) Marketable securities are available-for-sale securities; the amortized cost of such marketable securities of $184,974 and $181,247 as of June 30, 2023 and December 31, 2022, respectively, is presented net of an immaterial allowance for credit losses.</w:t>
      </w:r>
    </w:p>
    <w:p>
      <w:pPr>
        <w:pStyle w:val="TextBody"/>
        <w:bidi w:val="0"/>
        <w:spacing w:lineRule="auto" w:line="300" w:before="0" w:after="300"/>
        <w:jc w:val="left"/>
        <w:rPr/>
      </w:pPr>
      <w:r>
        <w:rPr/>
        <w:t> </w:t>
      </w:r>
    </w:p>
    <w:p>
      <w:pPr>
        <w:pStyle w:val="TextBody"/>
        <w:bidi w:val="0"/>
        <w:spacing w:lineRule="auto" w:line="300" w:before="0" w:after="300"/>
        <w:jc w:val="left"/>
        <w:rPr>
          <w:rFonts w:ascii="Times New Roman;Times;serif" w:hAnsi="Times New Roman;Times;serif"/>
          <w:b/>
          <w:sz w:val="20"/>
        </w:rPr>
      </w:pPr>
      <w:r>
        <w:rPr>
          <w:rFonts w:ascii="Times New Roman;Times;serif" w:hAnsi="Times New Roman;Times;serif"/>
          <w:b/>
          <w:sz w:val="20"/>
        </w:rPr>
        <w:t>See notes to consolidated financial statements.</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- 2</w:t>
      </w:r>
    </w:p>
    <w:p>
      <w:pPr>
        <w:pStyle w:val="HorizontalLine"/>
        <w:bidi w:val="0"/>
        <w:spacing w:before="200" w:after="200"/>
        <w:jc w:val="left"/>
        <w:rPr/>
      </w:pPr>
      <w:r>
        <w:rPr/>
      </w:r>
    </w:p>
    <w:tbl>
      <w:tblPr>
        <w:tblW w:w="8105" w:type="dxa"/>
        <w:jc w:val="left"/>
        <w:tblInd w:w="0" w:type="dxa"/>
        <w:tblLayout w:type="fixed"/>
        <w:tblCellMar>
          <w:top w:w="0" w:type="dxa"/>
          <w:left w:w="0" w:type="dxa"/>
          <w:bottom w:w="0" w:type="dxa"/>
          <w:right w:w="0" w:type="dxa"/>
        </w:tblCellMar>
      </w:tblPr>
      <w:tblGrid>
        <w:gridCol w:w="8105"/>
      </w:tblGrid>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CONDENSED INTERIM CONSOLIDATED STATEMENTS OF </w:t>
            </w:r>
            <w:bookmarkStart w:id="9" w:name="OPERATIONS_integixAnchor"/>
            <w:bookmarkEnd w:id="9"/>
            <w:r>
              <w:rPr>
                <w:rFonts w:ascii="Times New Roman;Times;serif" w:hAnsi="Times New Roman;Times;serif"/>
                <w:b/>
                <w:sz w:val="20"/>
              </w:rPr>
              <w:t>OPERATIONS (UNAUDITED)</w:t>
            </w:r>
          </w:p>
        </w:tc>
      </w:tr>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and shares in thousands, except per share data)</w:t>
            </w:r>
          </w:p>
        </w:tc>
      </w:tr>
    </w:tbl>
    <w:p>
      <w:pPr>
        <w:pStyle w:val="TextBody"/>
        <w:bidi w:val="0"/>
        <w:spacing w:lineRule="auto" w:line="300" w:before="0" w:after="300"/>
        <w:jc w:val="left"/>
        <w:rPr/>
      </w:pPr>
      <w:r>
        <w:rPr/>
        <w:t> </w:t>
      </w:r>
    </w:p>
    <w:tbl>
      <w:tblPr>
        <w:tblW w:w="10205" w:type="dxa"/>
        <w:jc w:val="left"/>
        <w:tblInd w:w="0" w:type="dxa"/>
        <w:tblLayout w:type="fixed"/>
        <w:tblCellMar>
          <w:top w:w="0" w:type="dxa"/>
          <w:left w:w="0" w:type="dxa"/>
          <w:bottom w:w="0" w:type="dxa"/>
          <w:right w:w="0" w:type="dxa"/>
        </w:tblCellMar>
      </w:tblPr>
      <w:tblGrid>
        <w:gridCol w:w="5356"/>
        <w:gridCol w:w="60"/>
        <w:gridCol w:w="152"/>
        <w:gridCol w:w="848"/>
        <w:gridCol w:w="97"/>
        <w:gridCol w:w="72"/>
        <w:gridCol w:w="152"/>
        <w:gridCol w:w="848"/>
        <w:gridCol w:w="80"/>
        <w:gridCol w:w="60"/>
        <w:gridCol w:w="167"/>
        <w:gridCol w:w="929"/>
        <w:gridCol w:w="106"/>
        <w:gridCol w:w="79"/>
        <w:gridCol w:w="167"/>
        <w:gridCol w:w="929"/>
        <w:gridCol w:w="103"/>
      </w:tblGrid>
      <w:tr>
        <w:trPr/>
        <w:tc>
          <w:tcPr>
            <w:tcW w:w="5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9"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7"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103" w:type="dxa"/>
            <w:tcBorders/>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REVENUES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8"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712,802</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8"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847,300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29"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357,191</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29"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426,168</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COST OF REVENUES</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530,568</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630,229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270,674</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313,728</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182,234</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217,071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86,517</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112,440</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OPERATING COSTS AND EXPENSES: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Research and development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38,783</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40,799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19,452</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20,481</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Marketing, general and administrative</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36,016</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42,538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17,387</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21,285</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Restructuring gain from sale of machinery and equipment, net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(50,282</w:t>
            </w:r>
          </w:p>
        </w:tc>
        <w:tc>
          <w:tcPr>
            <w:tcW w:w="97"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(1,952</w:t>
            </w:r>
          </w:p>
        </w:tc>
        <w:tc>
          <w:tcPr>
            <w:tcW w:w="106"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Restructuring expense</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17,776</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1,101</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84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42,293</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84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83,337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before="0" w:after="283"/>
              <w:jc w:val="left"/>
              <w:rPr/>
            </w:pPr>
            <w:r>
              <w:rPr/>
              <w:t> </w:t>
            </w:r>
          </w:p>
        </w:tc>
        <w:tc>
          <w:tcPr>
            <w:tcW w:w="92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35,988</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before="0" w:after="283"/>
              <w:jc w:val="left"/>
              <w:rPr/>
            </w:pPr>
            <w:r>
              <w:rPr/>
              <w:t> </w:t>
            </w:r>
          </w:p>
        </w:tc>
        <w:tc>
          <w:tcPr>
            <w:tcW w:w="92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41,766</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OPERATING PROFIT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139,941</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133,734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50,529</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70,674</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FINANCING AND OTHER INCOME (EXPENSE), NET</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10,921</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(10,295</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92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3,924</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92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(8,162</w:t>
            </w:r>
          </w:p>
        </w:tc>
        <w:tc>
          <w:tcPr>
            <w:tcW w:w="103"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PROFIT BEFORE INCOME TAX</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150,862</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123,439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54,453</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62,512</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INCOME TAX EXPENSE, NET</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(20,788</w:t>
            </w:r>
          </w:p>
        </w:tc>
        <w:tc>
          <w:tcPr>
            <w:tcW w:w="97"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2"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(9,492</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92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(5,747</w:t>
            </w:r>
          </w:p>
        </w:tc>
        <w:tc>
          <w:tcPr>
            <w:tcW w:w="106"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9"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92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(4,339</w:t>
            </w:r>
          </w:p>
        </w:tc>
        <w:tc>
          <w:tcPr>
            <w:tcW w:w="103"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NET PROFIT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130,074</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113,947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48,706</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58,173</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Net loss (income) attributable to non-controlling interest</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(7,482</w:t>
            </w:r>
          </w:p>
        </w:tc>
        <w:tc>
          <w:tcPr>
            <w:tcW w:w="97"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2"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(1,837</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92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2,484</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92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(96</w:t>
            </w:r>
          </w:p>
        </w:tc>
        <w:tc>
          <w:tcPr>
            <w:tcW w:w="103"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NET PROFIT ATTRIBUTABLE TO THE COMPANY</w:t>
            </w:r>
          </w:p>
        </w:tc>
        <w:tc>
          <w:tcPr>
            <w:tcW w:w="60"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122,592</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112,110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2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51,190</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2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58,077</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BASIC EARNINGS PER SHARE</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Earnings per share</w:t>
            </w:r>
          </w:p>
        </w:tc>
        <w:tc>
          <w:tcPr>
            <w:tcW w:w="60"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1.11</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2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0.46</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2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0.53</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Weighted average number of shares</w:t>
            </w:r>
          </w:p>
        </w:tc>
        <w:tc>
          <w:tcPr>
            <w:tcW w:w="60"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84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110,025</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84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109,037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before="0" w:after="283"/>
              <w:jc w:val="left"/>
              <w:rPr/>
            </w:pPr>
            <w:r>
              <w:rPr/>
              <w:t> </w:t>
            </w:r>
          </w:p>
        </w:tc>
        <w:tc>
          <w:tcPr>
            <w:tcW w:w="92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110,088</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before="0" w:after="283"/>
              <w:jc w:val="left"/>
              <w:rPr/>
            </w:pPr>
            <w:r>
              <w:rPr/>
              <w:t> </w:t>
            </w:r>
          </w:p>
        </w:tc>
        <w:tc>
          <w:tcPr>
            <w:tcW w:w="92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109,138</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DILUTED EARNINGS PER ORDINARY SHARE:</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Earnings per share</w:t>
            </w:r>
          </w:p>
        </w:tc>
        <w:tc>
          <w:tcPr>
            <w:tcW w:w="60"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2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0.46</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2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0.53</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Net profit used for diluted earnings per share</w:t>
            </w:r>
          </w:p>
        </w:tc>
        <w:tc>
          <w:tcPr>
            <w:tcW w:w="60"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84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122,592</w:t>
            </w:r>
          </w:p>
        </w:tc>
        <w:tc>
          <w:tcPr>
            <w:tcW w:w="9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112,110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before="0" w:after="283"/>
              <w:jc w:val="left"/>
              <w:rPr/>
            </w:pPr>
            <w:r>
              <w:rPr/>
              <w:t> </w:t>
            </w:r>
          </w:p>
        </w:tc>
        <w:tc>
          <w:tcPr>
            <w:tcW w:w="92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51,190</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2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58,077</w:t>
            </w:r>
          </w:p>
        </w:tc>
        <w:tc>
          <w:tcPr>
            <w:tcW w:w="103" w:type="dxa"/>
            <w:tcBorders/>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Weighted average number of ordinary shares outstanding</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lineRule="auto" w:line="300" w:before="0" w:after="0"/>
              <w:ind w:left="0" w:right="0" w:firstLine="1124"/>
              <w:jc w:val="left"/>
              <w:rPr>
                <w:rFonts w:ascii="Times New Roman;Times;serif" w:hAnsi="Times New Roman;Times;serif"/>
                <w:b/>
                <w:sz w:val="20"/>
              </w:rPr>
            </w:pPr>
            <w:r>
              <w:rPr>
                <w:rFonts w:ascii="Times New Roman;Times;serif" w:hAnsi="Times New Roman;Times;serif"/>
                <w:b/>
                <w:sz w:val="20"/>
              </w:rPr>
              <w:t>used for diluted earnings per share</w:t>
            </w:r>
          </w:p>
        </w:tc>
        <w:tc>
          <w:tcPr>
            <w:tcW w:w="60"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111,153</w:t>
            </w:r>
          </w:p>
        </w:tc>
        <w:tc>
          <w:tcPr>
            <w:tcW w:w="9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110,561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2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111,234</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2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110,561</w:t>
            </w:r>
          </w:p>
        </w:tc>
        <w:tc>
          <w:tcPr>
            <w:tcW w:w="103"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300"/>
        <w:jc w:val="left"/>
        <w:rPr/>
      </w:pPr>
      <w:r>
        <w:rPr/>
        <w:t> </w:t>
      </w:r>
    </w:p>
    <w:p>
      <w:pPr>
        <w:pStyle w:val="TextBody"/>
        <w:bidi w:val="0"/>
        <w:spacing w:lineRule="auto" w:line="300" w:before="0" w:after="300"/>
        <w:jc w:val="left"/>
        <w:rPr>
          <w:rFonts w:ascii="Times New Roman;Times;serif" w:hAnsi="Times New Roman;Times;serif"/>
          <w:b/>
          <w:sz w:val="20"/>
        </w:rPr>
      </w:pPr>
      <w:r>
        <w:rPr>
          <w:rFonts w:ascii="Times New Roman;Times;serif" w:hAnsi="Times New Roman;Times;serif"/>
          <w:b/>
          <w:sz w:val="20"/>
        </w:rPr>
        <w:t>See notes to consolidated financial statements.</w:t>
      </w:r>
    </w:p>
    <w:p>
      <w:pPr>
        <w:pStyle w:val="TextBody"/>
        <w:bidi w:val="0"/>
        <w:spacing w:lineRule="auto" w:line="300" w:before="0" w:after="30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- 3</w:t>
      </w:r>
    </w:p>
    <w:p>
      <w:pPr>
        <w:pStyle w:val="HorizontalLine"/>
        <w:bidi w:val="0"/>
        <w:spacing w:before="200" w:after="200"/>
        <w:jc w:val="left"/>
        <w:rPr/>
      </w:pPr>
      <w:r>
        <w:rPr/>
      </w:r>
    </w:p>
    <w:tbl>
      <w:tblPr>
        <w:tblW w:w="9410" w:type="dxa"/>
        <w:jc w:val="left"/>
        <w:tblInd w:w="0" w:type="dxa"/>
        <w:tblLayout w:type="fixed"/>
        <w:tblCellMar>
          <w:top w:w="0" w:type="dxa"/>
          <w:left w:w="0" w:type="dxa"/>
          <w:bottom w:w="0" w:type="dxa"/>
          <w:right w:w="0" w:type="dxa"/>
        </w:tblCellMar>
      </w:tblPr>
      <w:tblGrid>
        <w:gridCol w:w="9410"/>
      </w:tblGrid>
      <w:tr>
        <w:trPr/>
        <w:tc>
          <w:tcPr>
            <w:tcW w:w="941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941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CONDENSED INTERIM CONSOLIDATED STATEMENTS OF </w:t>
            </w:r>
            <w:bookmarkStart w:id="10" w:name="COMPREHENSIVE_integixAnchor"/>
            <w:bookmarkEnd w:id="10"/>
            <w:r>
              <w:rPr>
                <w:rFonts w:ascii="Times New Roman;Times;serif" w:hAnsi="Times New Roman;Times;serif"/>
                <w:b/>
                <w:sz w:val="20"/>
              </w:rPr>
              <w:t>COMPREHENSIVE INCOME (UNAUDITED)</w:t>
            </w:r>
          </w:p>
        </w:tc>
      </w:tr>
      <w:tr>
        <w:trPr/>
        <w:tc>
          <w:tcPr>
            <w:tcW w:w="941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lineRule="auto" w:line="300" w:before="0" w:after="300"/>
        <w:jc w:val="left"/>
        <w:rPr/>
      </w:pPr>
      <w:r>
        <w:rPr/>
        <w:t> </w:t>
      </w:r>
    </w:p>
    <w:tbl>
      <w:tblPr>
        <w:tblW w:w="10205" w:type="dxa"/>
        <w:jc w:val="left"/>
        <w:tblInd w:w="0" w:type="dxa"/>
        <w:tblLayout w:type="fixed"/>
        <w:tblCellMar>
          <w:top w:w="0" w:type="dxa"/>
          <w:left w:w="0" w:type="dxa"/>
          <w:bottom w:w="0" w:type="dxa"/>
          <w:right w:w="0" w:type="dxa"/>
        </w:tblCellMar>
      </w:tblPr>
      <w:tblGrid>
        <w:gridCol w:w="5463"/>
        <w:gridCol w:w="60"/>
        <w:gridCol w:w="150"/>
        <w:gridCol w:w="835"/>
        <w:gridCol w:w="95"/>
        <w:gridCol w:w="71"/>
        <w:gridCol w:w="150"/>
        <w:gridCol w:w="835"/>
        <w:gridCol w:w="80"/>
        <w:gridCol w:w="60"/>
        <w:gridCol w:w="170"/>
        <w:gridCol w:w="887"/>
        <w:gridCol w:w="109"/>
        <w:gridCol w:w="81"/>
        <w:gridCol w:w="170"/>
        <w:gridCol w:w="887"/>
        <w:gridCol w:w="102"/>
      </w:tblGrid>
      <w:tr>
        <w:trPr/>
        <w:tc>
          <w:tcPr>
            <w:tcW w:w="54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6"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4"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102" w:type="dxa"/>
            <w:tcBorders/>
            <w:vAlign w:val="bottom"/>
          </w:tcPr>
          <w:p>
            <w:pPr>
              <w:pStyle w:val="TableContents"/>
              <w:bidi w:val="0"/>
              <w:spacing w:before="0" w:after="283"/>
              <w:jc w:val="left"/>
              <w:rPr/>
            </w:pPr>
            <w:r>
              <w:rPr/>
              <w:t> </w:t>
            </w:r>
          </w:p>
        </w:tc>
      </w:tr>
      <w:tr>
        <w:trPr/>
        <w:tc>
          <w:tcPr>
            <w:tcW w:w="54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102" w:type="dxa"/>
            <w:tcBorders/>
            <w:vAlign w:val="bottom"/>
          </w:tcPr>
          <w:p>
            <w:pPr>
              <w:pStyle w:val="TableContents"/>
              <w:bidi w:val="0"/>
              <w:spacing w:before="0" w:after="283"/>
              <w:jc w:val="left"/>
              <w:rPr/>
            </w:pPr>
            <w:r>
              <w:rPr/>
              <w:t> </w:t>
            </w:r>
          </w:p>
        </w:tc>
      </w:tr>
      <w:tr>
        <w:trPr/>
        <w:tc>
          <w:tcPr>
            <w:tcW w:w="5463"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Net profit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3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130,074</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3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113,947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48,706</w:t>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58,173</w:t>
            </w:r>
          </w:p>
        </w:tc>
        <w:tc>
          <w:tcPr>
            <w:tcW w:w="102" w:type="dxa"/>
            <w:tcBorders/>
            <w:shd w:fill="CCEEFF" w:val="clear"/>
            <w:vAlign w:val="bottom"/>
          </w:tcPr>
          <w:p>
            <w:pPr>
              <w:pStyle w:val="TableContents"/>
              <w:bidi w:val="0"/>
              <w:spacing w:before="0" w:after="283"/>
              <w:jc w:val="left"/>
              <w:rPr/>
            </w:pPr>
            <w:r>
              <w:rPr/>
              <w:t> </w:t>
            </w:r>
          </w:p>
        </w:tc>
      </w:tr>
      <w:tr>
        <w:trPr/>
        <w:tc>
          <w:tcPr>
            <w:tcW w:w="54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r>
      <w:tr>
        <w:trPr/>
        <w:tc>
          <w:tcPr>
            <w:tcW w:w="5463"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102" w:type="dxa"/>
            <w:tcBorders/>
            <w:shd w:fill="CCEEFF" w:val="clear"/>
            <w:vAlign w:val="bottom"/>
          </w:tcPr>
          <w:p>
            <w:pPr>
              <w:pStyle w:val="TableContents"/>
              <w:bidi w:val="0"/>
              <w:spacing w:before="0" w:after="283"/>
              <w:jc w:val="left"/>
              <w:rPr/>
            </w:pPr>
            <w:r>
              <w:rPr/>
              <w:t> </w:t>
            </w:r>
          </w:p>
        </w:tc>
      </w:tr>
      <w:tr>
        <w:trPr/>
        <w:tc>
          <w:tcPr>
            <w:tcW w:w="5463"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Foreign currency translation adjustment</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(12,818</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(25,206</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(11,904</w:t>
            </w:r>
          </w:p>
        </w:tc>
        <w:tc>
          <w:tcPr>
            <w:tcW w:w="109"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(16,921</w:t>
            </w:r>
          </w:p>
        </w:tc>
        <w:tc>
          <w:tcPr>
            <w:tcW w:w="102"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463"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Change in employees plan assets and benefit obligations, net of taxes</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185</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93</w:t>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w:t>
            </w:r>
          </w:p>
        </w:tc>
        <w:tc>
          <w:tcPr>
            <w:tcW w:w="102"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463"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Unrealized loss on derivatives</w:t>
            </w:r>
          </w:p>
        </w:tc>
        <w:tc>
          <w:tcPr>
            <w:tcW w:w="60" w:type="dxa"/>
            <w:tcBorders/>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(2,727</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1" w:type="dxa"/>
            <w:tcBorders/>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(14,922</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7"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(1,964</w:t>
            </w:r>
          </w:p>
        </w:tc>
        <w:tc>
          <w:tcPr>
            <w:tcW w:w="109"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1"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7"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(8,151</w:t>
            </w:r>
          </w:p>
        </w:tc>
        <w:tc>
          <w:tcPr>
            <w:tcW w:w="102"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463"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Comprehensive income</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114,714</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73,799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34,931</w:t>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33,091</w:t>
            </w:r>
          </w:p>
        </w:tc>
        <w:tc>
          <w:tcPr>
            <w:tcW w:w="102" w:type="dxa"/>
            <w:tcBorders/>
            <w:shd w:fill="CCEEFF" w:val="clear"/>
            <w:vAlign w:val="bottom"/>
          </w:tcPr>
          <w:p>
            <w:pPr>
              <w:pStyle w:val="TableContents"/>
              <w:bidi w:val="0"/>
              <w:spacing w:before="0" w:after="283"/>
              <w:jc w:val="left"/>
              <w:rPr/>
            </w:pPr>
            <w:r>
              <w:rPr/>
              <w:t> </w:t>
            </w:r>
          </w:p>
        </w:tc>
      </w:tr>
      <w:tr>
        <w:trPr/>
        <w:tc>
          <w:tcPr>
            <w:tcW w:w="5463"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Comprehensive loss (income) attributable to non-controlling interest</w:t>
            </w:r>
          </w:p>
        </w:tc>
        <w:tc>
          <w:tcPr>
            <w:tcW w:w="60" w:type="dxa"/>
            <w:tcBorders/>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(7,482</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1" w:type="dxa"/>
            <w:tcBorders/>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(1,837</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7"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2,484</w:t>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7"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(96</w:t>
            </w:r>
          </w:p>
        </w:tc>
        <w:tc>
          <w:tcPr>
            <w:tcW w:w="102"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463" w:type="dxa"/>
            <w:tcBorders/>
            <w:shd w:fill="CCEEFF" w:val="clear"/>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Comprehensive income attributable to the Company</w:t>
            </w:r>
          </w:p>
        </w:tc>
        <w:tc>
          <w:tcPr>
            <w:tcW w:w="60" w:type="dxa"/>
            <w:tcBorders/>
            <w:shd w:fill="CCEEFF" w:val="clear"/>
            <w:vAlign w:val="bottom"/>
          </w:tcPr>
          <w:p>
            <w:pPr>
              <w:pStyle w:val="TableContents"/>
              <w:bidi w:val="0"/>
              <w:spacing w:before="0" w:after="283"/>
              <w:jc w:val="left"/>
              <w:rPr/>
            </w:pPr>
            <w:r>
              <w:rPr/>
              <w:t> </w:t>
            </w:r>
          </w:p>
        </w:tc>
        <w:tc>
          <w:tcPr>
            <w:tcW w:w="15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3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107,232</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5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3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71,962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8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37,415</w:t>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8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32,995</w:t>
            </w:r>
          </w:p>
        </w:tc>
        <w:tc>
          <w:tcPr>
            <w:tcW w:w="102"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300"/>
        <w:jc w:val="left"/>
        <w:rPr/>
      </w:pPr>
      <w:r>
        <w:rPr/>
        <w:t> </w:t>
      </w:r>
    </w:p>
    <w:tbl>
      <w:tblPr>
        <w:tblW w:w="4325" w:type="dxa"/>
        <w:jc w:val="left"/>
        <w:tblInd w:w="0" w:type="dxa"/>
        <w:tblLayout w:type="fixed"/>
        <w:tblCellMar>
          <w:top w:w="0" w:type="dxa"/>
          <w:left w:w="0" w:type="dxa"/>
          <w:bottom w:w="0" w:type="dxa"/>
          <w:right w:w="0" w:type="dxa"/>
        </w:tblCellMar>
      </w:tblPr>
      <w:tblGrid>
        <w:gridCol w:w="3890"/>
        <w:gridCol w:w="60"/>
        <w:gridCol w:w="60"/>
        <w:gridCol w:w="60"/>
        <w:gridCol w:w="60"/>
        <w:gridCol w:w="60"/>
        <w:gridCol w:w="60"/>
        <w:gridCol w:w="75"/>
      </w:tblGrid>
      <w:tr>
        <w:trPr/>
        <w:tc>
          <w:tcPr>
            <w:tcW w:w="38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consolidated financial statements.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30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- 4</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102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CONDENSED INTERIM CONSOLIDATED STATEMENT OF CHANGES IN SHAREHOLDERS' </w:t>
            </w:r>
            <w:bookmarkStart w:id="11" w:name="EQUITY_integixAnchor"/>
            <w:bookmarkEnd w:id="11"/>
            <w:r>
              <w:rPr>
                <w:rFonts w:ascii="Times New Roman;Times;serif" w:hAnsi="Times New Roman;Times;serif"/>
                <w:b/>
                <w:sz w:val="20"/>
              </w:rPr>
              <w:t>EQUITY (UNAUDITED)</w:t>
            </w:r>
          </w:p>
        </w:tc>
      </w:tr>
    </w:tbl>
    <w:p>
      <w:pPr>
        <w:pStyle w:val="TextBody"/>
        <w:bidi w:val="0"/>
        <w:spacing w:lineRule="auto" w:line="300" w:before="0" w:after="300"/>
        <w:jc w:val="center"/>
        <w:rPr>
          <w:rFonts w:ascii="Times New Roman;Times;serif" w:hAnsi="Times New Roman;Times;serif"/>
          <w:b/>
          <w:sz w:val="20"/>
        </w:rPr>
      </w:pPr>
      <w:r>
        <w:rPr>
          <w:rFonts w:ascii="Times New Roman;Times;serif" w:hAnsi="Times New Roman;Times;serif"/>
          <w:b/>
          <w:sz w:val="20"/>
        </w:rPr>
        <w:t>(dollars and share data in thousands)</w:t>
      </w:r>
    </w:p>
    <w:p>
      <w:pPr>
        <w:pStyle w:val="TextBody"/>
        <w:bidi w:val="0"/>
        <w:spacing w:lineRule="auto" w:line="300" w:before="0" w:after="300"/>
        <w:jc w:val="left"/>
        <w:rPr/>
      </w:pPr>
      <w:r>
        <w:rPr/>
        <w:t> </w:t>
      </w:r>
    </w:p>
    <w:tbl>
      <w:tblPr>
        <w:tblW w:w="14612" w:type="dxa"/>
        <w:jc w:val="left"/>
        <w:tblInd w:w="0" w:type="dxa"/>
        <w:tblLayout w:type="fixed"/>
        <w:tblCellMar>
          <w:top w:w="0" w:type="dxa"/>
          <w:left w:w="0" w:type="dxa"/>
          <w:bottom w:w="0" w:type="dxa"/>
          <w:right w:w="0" w:type="dxa"/>
        </w:tblCellMar>
      </w:tblPr>
      <w:tblGrid>
        <w:gridCol w:w="1757"/>
        <w:gridCol w:w="60"/>
        <w:gridCol w:w="65"/>
        <w:gridCol w:w="765"/>
        <w:gridCol w:w="60"/>
        <w:gridCol w:w="60"/>
        <w:gridCol w:w="126"/>
        <w:gridCol w:w="704"/>
        <w:gridCol w:w="60"/>
        <w:gridCol w:w="60"/>
        <w:gridCol w:w="125"/>
        <w:gridCol w:w="845"/>
        <w:gridCol w:w="80"/>
        <w:gridCol w:w="60"/>
        <w:gridCol w:w="180"/>
        <w:gridCol w:w="1010"/>
        <w:gridCol w:w="60"/>
        <w:gridCol w:w="60"/>
        <w:gridCol w:w="240"/>
        <w:gridCol w:w="1055"/>
        <w:gridCol w:w="80"/>
        <w:gridCol w:w="60"/>
        <w:gridCol w:w="164"/>
        <w:gridCol w:w="861"/>
        <w:gridCol w:w="80"/>
        <w:gridCol w:w="60"/>
        <w:gridCol w:w="172"/>
        <w:gridCol w:w="958"/>
        <w:gridCol w:w="80"/>
        <w:gridCol w:w="60"/>
        <w:gridCol w:w="152"/>
        <w:gridCol w:w="663"/>
        <w:gridCol w:w="80"/>
        <w:gridCol w:w="60"/>
        <w:gridCol w:w="204"/>
        <w:gridCol w:w="1136"/>
        <w:gridCol w:w="80"/>
        <w:gridCol w:w="60"/>
        <w:gridCol w:w="180"/>
        <w:gridCol w:w="785"/>
        <w:gridCol w:w="80"/>
        <w:gridCol w:w="60"/>
        <w:gridCol w:w="125"/>
        <w:gridCol w:w="845"/>
        <w:gridCol w:w="95"/>
      </w:tblGrid>
      <w:tr>
        <w:trPr/>
        <w:tc>
          <w:tcPr>
            <w:tcW w:w="17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5" w:type="dxa"/>
            <w:gridSpan w:val="30"/>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THE COMPANY'S SHAREHOLDERS' EQUITY</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17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Foreign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17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Additional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other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currency</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17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paid-in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Unearned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translation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profit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Treasury</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controlling</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17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adjustments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income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interest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w:t>
            </w:r>
          </w:p>
        </w:tc>
        <w:tc>
          <w:tcPr>
            <w:tcW w:w="95" w:type="dxa"/>
            <w:tcBorders/>
            <w:vAlign w:val="bottom"/>
          </w:tcPr>
          <w:p>
            <w:pPr>
              <w:pStyle w:val="TableContents"/>
              <w:bidi w:val="0"/>
              <w:spacing w:before="0" w:after="283"/>
              <w:jc w:val="left"/>
              <w:rPr/>
            </w:pPr>
            <w:r>
              <w:rPr/>
              <w:t> </w:t>
            </w:r>
          </w:p>
        </w:tc>
      </w:tr>
      <w:tr>
        <w:trPr/>
        <w:tc>
          <w:tcPr>
            <w:tcW w:w="1757" w:type="dxa"/>
            <w:tcBorders/>
            <w:shd w:fill="CCEEFF" w:val="clear"/>
            <w:vAlign w:val="bottom"/>
          </w:tcPr>
          <w:p>
            <w:pPr>
              <w:pStyle w:val="TableContents"/>
              <w:bidi w:val="0"/>
              <w:spacing w:lineRule="auto" w:line="300" w:before="0" w:after="0"/>
              <w:ind w:left="0" w:right="0" w:firstLine="602"/>
              <w:jc w:val="left"/>
              <w:rPr>
                <w:rFonts w:ascii="Times New Roman;Times;serif" w:hAnsi="Times New Roman;Times;serif"/>
                <w:b/>
                <w:sz w:val="20"/>
              </w:rPr>
            </w:pPr>
            <w:r>
              <w:rPr>
                <w:rFonts w:ascii="Times New Roman;Times;serif" w:hAnsi="Times New Roman;Times;serif"/>
                <w:b/>
                <w:sz w:val="20"/>
              </w:rPr>
              <w:t>BALANCE AS OF JANUARY 1, 2023</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110,041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4"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440,150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1,384,398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1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174,121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(2,040</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61"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(45,497</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58"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(50,879</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63"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(9,072</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34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8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(2,640</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1,888,541</w:t>
            </w:r>
          </w:p>
        </w:tc>
        <w:tc>
          <w:tcPr>
            <w:tcW w:w="95" w:type="dxa"/>
            <w:tcBorders/>
            <w:shd w:fill="CCEEFF" w:val="clear"/>
            <w:vAlign w:val="bottom"/>
          </w:tcPr>
          <w:p>
            <w:pPr>
              <w:pStyle w:val="TableContents"/>
              <w:bidi w:val="0"/>
              <w:spacing w:before="0" w:after="283"/>
              <w:jc w:val="left"/>
              <w:rPr/>
            </w:pPr>
            <w:r>
              <w:rPr/>
              <w:t> </w:t>
            </w:r>
          </w:p>
        </w:tc>
      </w:tr>
      <w:tr>
        <w:trPr/>
        <w:tc>
          <w:tcPr>
            <w:tcW w:w="17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1757"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Changes during the period:</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1757"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Proceeds from an investment in a subsidiary</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1,960</w:t>
            </w:r>
          </w:p>
        </w:tc>
        <w:tc>
          <w:tcPr>
            <w:tcW w:w="95" w:type="dxa"/>
            <w:tcBorders/>
            <w:vAlign w:val="bottom"/>
          </w:tcPr>
          <w:p>
            <w:pPr>
              <w:pStyle w:val="TableContents"/>
              <w:bidi w:val="0"/>
              <w:spacing w:before="0" w:after="283"/>
              <w:jc w:val="left"/>
              <w:rPr/>
            </w:pPr>
            <w:r>
              <w:rPr/>
              <w:t> </w:t>
            </w:r>
          </w:p>
        </w:tc>
      </w:tr>
      <w:tr>
        <w:trPr/>
        <w:tc>
          <w:tcPr>
            <w:tcW w:w="1757"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Exercise of options and RSUs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(697</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bottom"/>
          </w:tcPr>
          <w:p>
            <w:pPr>
              <w:pStyle w:val="TableContents"/>
              <w:bidi w:val="0"/>
              <w:spacing w:before="0" w:after="283"/>
              <w:jc w:val="left"/>
              <w:rPr/>
            </w:pPr>
            <w:r>
              <w:rPr/>
              <w:t> </w:t>
            </w:r>
          </w:p>
        </w:tc>
      </w:tr>
      <w:tr>
        <w:trPr/>
        <w:tc>
          <w:tcPr>
            <w:tcW w:w="1757"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Employee stock-based compensation</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13,495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13,495</w:t>
            </w:r>
          </w:p>
        </w:tc>
        <w:tc>
          <w:tcPr>
            <w:tcW w:w="95" w:type="dxa"/>
            <w:tcBorders/>
            <w:vAlign w:val="bottom"/>
          </w:tcPr>
          <w:p>
            <w:pPr>
              <w:pStyle w:val="TableContents"/>
              <w:bidi w:val="0"/>
              <w:spacing w:before="0" w:after="283"/>
              <w:jc w:val="left"/>
              <w:rPr/>
            </w:pPr>
            <w:r>
              <w:rPr/>
              <w:t> </w:t>
            </w:r>
          </w:p>
        </w:tc>
      </w:tr>
      <w:tr>
        <w:trPr/>
        <w:tc>
          <w:tcPr>
            <w:tcW w:w="1757"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Other comprehensive income:</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1757" w:type="dxa"/>
            <w:tcBorders/>
            <w:vAlign w:val="bottom"/>
          </w:tcPr>
          <w:p>
            <w:pPr>
              <w:pStyle w:val="TableContents"/>
              <w:bidi w:val="0"/>
              <w:spacing w:lineRule="auto" w:line="300" w:before="0" w:after="0"/>
              <w:ind w:left="0" w:right="0" w:firstLine="402"/>
              <w:jc w:val="left"/>
              <w:rPr>
                <w:rFonts w:ascii="Times New Roman;Times;serif" w:hAnsi="Times New Roman;Times;serif"/>
                <w:b/>
                <w:sz w:val="20"/>
              </w:rPr>
            </w:pPr>
            <w:r>
              <w:rPr>
                <w:rFonts w:ascii="Times New Roman;Times;serif" w:hAnsi="Times New Roman;Times;serif"/>
                <w:b/>
                <w:sz w:val="20"/>
              </w:rPr>
              <w:t>Profit</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122,592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136"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122,592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7,482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130,074</w:t>
            </w:r>
          </w:p>
        </w:tc>
        <w:tc>
          <w:tcPr>
            <w:tcW w:w="95" w:type="dxa"/>
            <w:tcBorders/>
            <w:vAlign w:val="bottom"/>
          </w:tcPr>
          <w:p>
            <w:pPr>
              <w:pStyle w:val="TableContents"/>
              <w:bidi w:val="0"/>
              <w:spacing w:before="0" w:after="283"/>
              <w:jc w:val="left"/>
              <w:rPr/>
            </w:pPr>
            <w:r>
              <w:rPr/>
              <w:t> </w:t>
            </w:r>
          </w:p>
        </w:tc>
      </w:tr>
      <w:tr>
        <w:trPr/>
        <w:tc>
          <w:tcPr>
            <w:tcW w:w="1757" w:type="dxa"/>
            <w:tcBorders/>
            <w:shd w:fill="CCEEFF" w:val="clear"/>
            <w:vAlign w:val="bottom"/>
          </w:tcPr>
          <w:p>
            <w:pPr>
              <w:pStyle w:val="TableContents"/>
              <w:bidi w:val="0"/>
              <w:spacing w:lineRule="auto" w:line="300" w:before="0" w:after="0"/>
              <w:ind w:left="0" w:right="0" w:firstLine="402"/>
              <w:jc w:val="left"/>
              <w:rPr>
                <w:rFonts w:ascii="Times New Roman;Times;serif" w:hAnsi="Times New Roman;Times;serif"/>
                <w:b/>
                <w:sz w:val="20"/>
              </w:rPr>
            </w:pPr>
            <w:r>
              <w:rPr>
                <w:rFonts w:ascii="Times New Roman;Times;serif" w:hAnsi="Times New Roman;Times;serif"/>
                <w:b/>
                <w:sz w:val="20"/>
              </w:rPr>
              <w:t>Foreign currency translation adjustments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(12,818</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(12,818</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(7,605</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(20,423</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1757" w:type="dxa"/>
            <w:tcBorders/>
            <w:vAlign w:val="bottom"/>
          </w:tcPr>
          <w:p>
            <w:pPr>
              <w:pStyle w:val="TableContents"/>
              <w:bidi w:val="0"/>
              <w:spacing w:lineRule="auto" w:line="300" w:before="0" w:after="0"/>
              <w:ind w:left="0" w:right="0" w:firstLine="402"/>
              <w:jc w:val="left"/>
              <w:rPr>
                <w:rFonts w:ascii="Times New Roman;Times;serif" w:hAnsi="Times New Roman;Times;serif"/>
                <w:b/>
                <w:sz w:val="20"/>
              </w:rPr>
            </w:pPr>
            <w:r>
              <w:rPr>
                <w:rFonts w:ascii="Times New Roman;Times;serif" w:hAnsi="Times New Roman;Times;serif"/>
                <w:b/>
                <w:sz w:val="20"/>
              </w:rPr>
              <w:t>Change in employees plan assets and benefit obligations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185</w:t>
            </w:r>
          </w:p>
        </w:tc>
        <w:tc>
          <w:tcPr>
            <w:tcW w:w="95" w:type="dxa"/>
            <w:tcBorders/>
            <w:vAlign w:val="bottom"/>
          </w:tcPr>
          <w:p>
            <w:pPr>
              <w:pStyle w:val="TableContents"/>
              <w:bidi w:val="0"/>
              <w:spacing w:before="0" w:after="283"/>
              <w:jc w:val="left"/>
              <w:rPr/>
            </w:pPr>
            <w:r>
              <w:rPr/>
              <w:t> </w:t>
            </w:r>
          </w:p>
        </w:tc>
      </w:tr>
      <w:tr>
        <w:trPr/>
        <w:tc>
          <w:tcPr>
            <w:tcW w:w="1757" w:type="dxa"/>
            <w:tcBorders/>
            <w:shd w:fill="CCEEFF" w:val="clear"/>
            <w:vAlign w:val="bottom"/>
          </w:tcPr>
          <w:p>
            <w:pPr>
              <w:pStyle w:val="TableContents"/>
              <w:bidi w:val="0"/>
              <w:spacing w:lineRule="auto" w:line="300" w:before="0" w:after="0"/>
              <w:ind w:left="0" w:right="0" w:firstLine="402"/>
              <w:jc w:val="left"/>
              <w:rPr>
                <w:rFonts w:ascii="Times New Roman;Times;serif" w:hAnsi="Times New Roman;Times;serif"/>
                <w:b/>
                <w:sz w:val="20"/>
              </w:rPr>
            </w:pPr>
            <w:r>
              <w:rPr>
                <w:rFonts w:ascii="Times New Roman;Times;serif" w:hAnsi="Times New Roman;Times;serif"/>
                <w:b/>
                <w:sz w:val="20"/>
              </w:rPr>
              <w:t>Unrealized loss on derivatives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(2,727</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(2,727</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(2,727</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1757" w:type="dxa"/>
            <w:tcBorders/>
            <w:vAlign w:val="bottom"/>
          </w:tcPr>
          <w:p>
            <w:pPr>
              <w:pStyle w:val="TableContents"/>
              <w:bidi w:val="0"/>
              <w:spacing w:lineRule="auto" w:line="300" w:before="0" w:after="0"/>
              <w:ind w:left="0" w:right="0" w:firstLine="402"/>
              <w:jc w:val="left"/>
              <w:rPr>
                <w:rFonts w:ascii="Times New Roman;Times;serif" w:hAnsi="Times New Roman;Times;serif"/>
                <w:b/>
                <w:sz w:val="20"/>
              </w:rPr>
            </w:pPr>
            <w:r>
              <w:rPr>
                <w:rFonts w:ascii="Times New Roman;Times;serif" w:hAnsi="Times New Roman;Times;serif"/>
                <w:b/>
                <w:sz w:val="20"/>
              </w:rPr>
              <w:t>Comprehensive income</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30" w:type="dxa"/>
            </w:tcMar>
            <w:vAlign w:val="bottom"/>
          </w:tcPr>
          <w:p>
            <w:pPr>
              <w:pStyle w:val="TableContents"/>
              <w:bidi w:val="0"/>
              <w:spacing w:before="0" w:after="283"/>
              <w:jc w:val="left"/>
              <w:rPr/>
            </w:pPr>
            <w:r>
              <w:rPr/>
              <w:t> </w:t>
            </w:r>
          </w:p>
        </w:tc>
        <w:tc>
          <w:tcPr>
            <w:tcW w:w="765" w:type="dxa"/>
            <w:tcBorders>
              <w:bottom w:val="single" w:sz="12" w:space="0" w:color="000000"/>
            </w:tcBorders>
            <w:tcMar>
              <w:bottom w:w="30" w:type="dxa"/>
            </w:tcMar>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bottom w:val="single" w:sz="12" w:space="0" w:color="000000"/>
            </w:tcBorders>
            <w:tcMar>
              <w:bottom w:w="30" w:type="dxa"/>
            </w:tcMar>
            <w:vAlign w:val="bottom"/>
          </w:tcPr>
          <w:p>
            <w:pPr>
              <w:pStyle w:val="TableContents"/>
              <w:bidi w:val="0"/>
              <w:spacing w:before="0" w:after="283"/>
              <w:jc w:val="left"/>
              <w:rPr/>
            </w:pPr>
            <w:r>
              <w:rPr/>
              <w:t> </w:t>
            </w:r>
          </w:p>
        </w:tc>
        <w:tc>
          <w:tcPr>
            <w:tcW w:w="704" w:type="dxa"/>
            <w:tcBorders>
              <w:bottom w:val="single" w:sz="12" w:space="0" w:color="000000"/>
            </w:tcBorders>
            <w:tcMar>
              <w:bottom w:w="30" w:type="dxa"/>
            </w:tcMar>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30" w:type="dxa"/>
            </w:tcMar>
            <w:vAlign w:val="bottom"/>
          </w:tcPr>
          <w:p>
            <w:pPr>
              <w:pStyle w:val="TableContents"/>
              <w:bidi w:val="0"/>
              <w:spacing w:before="0" w:after="283"/>
              <w:jc w:val="left"/>
              <w:rPr/>
            </w:pPr>
            <w:r>
              <w:rPr/>
              <w:t> </w:t>
            </w:r>
          </w:p>
        </w:tc>
        <w:tc>
          <w:tcPr>
            <w:tcW w:w="845" w:type="dxa"/>
            <w:tcBorders>
              <w:bottom w:val="single" w:sz="12" w:space="0" w:color="000000"/>
            </w:tcBorders>
            <w:tcMar>
              <w:bottom w:w="30"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bottom w:val="single" w:sz="12" w:space="0" w:color="000000"/>
            </w:tcBorders>
            <w:tcMar>
              <w:bottom w:w="30" w:type="dxa"/>
            </w:tcMar>
            <w:vAlign w:val="bottom"/>
          </w:tcPr>
          <w:p>
            <w:pPr>
              <w:pStyle w:val="TableContents"/>
              <w:bidi w:val="0"/>
              <w:spacing w:before="0" w:after="283"/>
              <w:jc w:val="left"/>
              <w:rPr/>
            </w:pPr>
            <w:r>
              <w:rPr/>
              <w:t> </w:t>
            </w:r>
          </w:p>
        </w:tc>
        <w:tc>
          <w:tcPr>
            <w:tcW w:w="1010" w:type="dxa"/>
            <w:tcBorders>
              <w:bottom w:val="single" w:sz="12" w:space="0" w:color="000000"/>
            </w:tcBorders>
            <w:tcMar>
              <w:bottom w:w="30" w:type="dxa"/>
            </w:tcMar>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30" w:type="dxa"/>
            </w:tcMar>
            <w:vAlign w:val="bottom"/>
          </w:tcPr>
          <w:p>
            <w:pPr>
              <w:pStyle w:val="TableContents"/>
              <w:bidi w:val="0"/>
              <w:spacing w:before="0" w:after="283"/>
              <w:jc w:val="left"/>
              <w:rPr/>
            </w:pPr>
            <w:r>
              <w:rPr/>
              <w:t> </w:t>
            </w:r>
          </w:p>
        </w:tc>
        <w:tc>
          <w:tcPr>
            <w:tcW w:w="1055" w:type="dxa"/>
            <w:tcBorders>
              <w:bottom w:val="single" w:sz="12" w:space="0" w:color="000000"/>
            </w:tcBorders>
            <w:tcMar>
              <w:bottom w:w="30"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30" w:type="dxa"/>
            </w:tcMar>
            <w:vAlign w:val="bottom"/>
          </w:tcPr>
          <w:p>
            <w:pPr>
              <w:pStyle w:val="TableContents"/>
              <w:bidi w:val="0"/>
              <w:spacing w:before="0" w:after="283"/>
              <w:jc w:val="left"/>
              <w:rPr/>
            </w:pPr>
            <w:r>
              <w:rPr/>
              <w:t> </w:t>
            </w:r>
          </w:p>
        </w:tc>
        <w:tc>
          <w:tcPr>
            <w:tcW w:w="861" w:type="dxa"/>
            <w:tcBorders>
              <w:bottom w:val="single" w:sz="12" w:space="0" w:color="000000"/>
            </w:tcBorders>
            <w:tcMar>
              <w:bottom w:w="30"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30" w:type="dxa"/>
            </w:tcMar>
            <w:vAlign w:val="bottom"/>
          </w:tcPr>
          <w:p>
            <w:pPr>
              <w:pStyle w:val="TableContents"/>
              <w:bidi w:val="0"/>
              <w:spacing w:before="0" w:after="283"/>
              <w:jc w:val="left"/>
              <w:rPr/>
            </w:pPr>
            <w:r>
              <w:rPr/>
              <w:t> </w:t>
            </w:r>
          </w:p>
        </w:tc>
        <w:tc>
          <w:tcPr>
            <w:tcW w:w="958" w:type="dxa"/>
            <w:tcBorders>
              <w:bottom w:val="single" w:sz="12" w:space="0" w:color="000000"/>
            </w:tcBorders>
            <w:tcMar>
              <w:bottom w:w="30"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30" w:type="dxa"/>
            </w:tcMar>
            <w:vAlign w:val="bottom"/>
          </w:tcPr>
          <w:p>
            <w:pPr>
              <w:pStyle w:val="TableContents"/>
              <w:bidi w:val="0"/>
              <w:spacing w:before="0" w:after="283"/>
              <w:jc w:val="left"/>
              <w:rPr/>
            </w:pPr>
            <w:r>
              <w:rPr/>
              <w:t> </w:t>
            </w:r>
          </w:p>
        </w:tc>
        <w:tc>
          <w:tcPr>
            <w:tcW w:w="663" w:type="dxa"/>
            <w:tcBorders>
              <w:bottom w:val="single" w:sz="12" w:space="0" w:color="000000"/>
            </w:tcBorders>
            <w:tcMar>
              <w:bottom w:w="30"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136"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107,232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bottom w:val="single" w:sz="12" w:space="0" w:color="000000"/>
            </w:tcBorders>
            <w:tcMar>
              <w:bottom w:w="30" w:type="dxa"/>
            </w:tcMar>
            <w:vAlign w:val="bottom"/>
          </w:tcPr>
          <w:p>
            <w:pPr>
              <w:pStyle w:val="TableContents"/>
              <w:bidi w:val="0"/>
              <w:spacing w:before="0" w:after="283"/>
              <w:jc w:val="left"/>
              <w:rPr/>
            </w:pPr>
            <w:r>
              <w:rPr/>
              <w:t> </w:t>
            </w:r>
          </w:p>
        </w:tc>
        <w:tc>
          <w:tcPr>
            <w:tcW w:w="785" w:type="dxa"/>
            <w:tcBorders>
              <w:bottom w:val="single" w:sz="12" w:space="0" w:color="000000"/>
            </w:tcBorders>
            <w:tcMar>
              <w:bottom w:w="30"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30" w:type="dxa"/>
            </w:tcMar>
            <w:vAlign w:val="bottom"/>
          </w:tcPr>
          <w:p>
            <w:pPr>
              <w:pStyle w:val="TableContents"/>
              <w:bidi w:val="0"/>
              <w:spacing w:before="0" w:after="283"/>
              <w:jc w:val="left"/>
              <w:rPr/>
            </w:pPr>
            <w:r>
              <w:rPr/>
              <w:t> </w:t>
            </w:r>
          </w:p>
        </w:tc>
        <w:tc>
          <w:tcPr>
            <w:tcW w:w="845" w:type="dxa"/>
            <w:tcBorders>
              <w:bottom w:val="single" w:sz="12" w:space="0" w:color="000000"/>
            </w:tcBorders>
            <w:tcMar>
              <w:bottom w:w="30"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1757" w:type="dxa"/>
            <w:tcBorders/>
            <w:shd w:fill="CCEEFF" w:val="clear"/>
            <w:vAlign w:val="bottom"/>
          </w:tcPr>
          <w:p>
            <w:pPr>
              <w:pStyle w:val="TableContents"/>
              <w:bidi w:val="0"/>
              <w:spacing w:lineRule="auto" w:line="300" w:before="0" w:after="0"/>
              <w:ind w:left="0" w:right="0" w:firstLine="602"/>
              <w:jc w:val="left"/>
              <w:rPr>
                <w:rFonts w:ascii="Times New Roman;Times;serif" w:hAnsi="Times New Roman;Times;serif"/>
                <w:b/>
                <w:sz w:val="20"/>
              </w:rPr>
            </w:pPr>
            <w:r>
              <w:rPr>
                <w:rFonts w:ascii="Times New Roman;Times;serif" w:hAnsi="Times New Roman;Times;serif"/>
                <w:b/>
                <w:sz w:val="20"/>
              </w:rPr>
              <w:t>BALANCE AS OF JUNE 30, 2023</w:t>
            </w:r>
          </w:p>
        </w:tc>
        <w:tc>
          <w:tcPr>
            <w:tcW w:w="60" w:type="dxa"/>
            <w:tcBorders/>
            <w:shd w:fill="CCEEFF" w:val="clear"/>
            <w:vAlign w:val="bottom"/>
          </w:tcPr>
          <w:p>
            <w:pPr>
              <w:pStyle w:val="TableContents"/>
              <w:bidi w:val="0"/>
              <w:spacing w:before="0" w:after="283"/>
              <w:jc w:val="left"/>
              <w:rPr/>
            </w:pPr>
            <w:r>
              <w:rPr/>
              <w:t> </w:t>
            </w:r>
          </w:p>
        </w:tc>
        <w:tc>
          <w:tcPr>
            <w:tcW w:w="6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6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440,847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1,383,701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187,616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5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(4,582</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6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(58,315</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5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71,713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6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(9,072</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8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(803</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2,011,105</w:t>
            </w:r>
          </w:p>
        </w:tc>
        <w:tc>
          <w:tcPr>
            <w:tcW w:w="95" w:type="dxa"/>
            <w:tcBorders/>
            <w:shd w:fill="CCEEFF" w:val="clear"/>
            <w:vAlign w:val="bottom"/>
          </w:tcPr>
          <w:p>
            <w:pPr>
              <w:pStyle w:val="TableContents"/>
              <w:bidi w:val="0"/>
              <w:spacing w:before="0" w:after="283"/>
              <w:jc w:val="left"/>
              <w:rPr/>
            </w:pPr>
            <w:r>
              <w:rPr/>
              <w:t> </w:t>
            </w:r>
          </w:p>
        </w:tc>
      </w:tr>
      <w:tr>
        <w:trPr/>
        <w:tc>
          <w:tcPr>
            <w:tcW w:w="17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1757"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OUTSTANDING SHARES, NET OF TREASURY STOCK</w:t>
              <w:br/>
              <w:t>AS OF JUNE 30, 2023</w:t>
            </w:r>
          </w:p>
        </w:tc>
        <w:tc>
          <w:tcPr>
            <w:tcW w:w="60" w:type="dxa"/>
            <w:tcBorders/>
            <w:shd w:fill="CCEEFF" w:val="clear"/>
            <w:vAlign w:val="bottom"/>
          </w:tcPr>
          <w:p>
            <w:pPr>
              <w:pStyle w:val="TableContents"/>
              <w:bidi w:val="0"/>
              <w:spacing w:before="0" w:after="283"/>
              <w:jc w:val="left"/>
              <w:rPr/>
            </w:pPr>
            <w:r>
              <w:rPr/>
              <w:t> </w:t>
            </w:r>
          </w:p>
        </w:tc>
        <w:tc>
          <w:tcPr>
            <w:tcW w:w="6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6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110,123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300"/>
        <w:jc w:val="left"/>
        <w:rPr/>
      </w:pPr>
      <w:r>
        <w:rPr/>
        <w:t> </w:t>
      </w:r>
    </w:p>
    <w:p>
      <w:pPr>
        <w:pStyle w:val="TextBody"/>
        <w:bidi w:val="0"/>
        <w:spacing w:lineRule="auto" w:line="300" w:before="0" w:after="300"/>
        <w:jc w:val="left"/>
        <w:rPr>
          <w:rFonts w:ascii="Times New Roman;Times;serif" w:hAnsi="Times New Roman;Times;serif"/>
          <w:b/>
          <w:sz w:val="20"/>
        </w:rPr>
      </w:pPr>
      <w:r>
        <w:rPr>
          <w:rFonts w:ascii="Times New Roman;Times;serif" w:hAnsi="Times New Roman;Times;serif"/>
          <w:b/>
          <w:sz w:val="20"/>
        </w:rPr>
        <w:t>See notes to consolidated financial statements.</w:t>
      </w:r>
    </w:p>
    <w:p>
      <w:pPr>
        <w:pStyle w:val="TextBody"/>
        <w:bidi w:val="0"/>
        <w:spacing w:lineRule="auto" w:line="300" w:before="0" w:after="30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- 5</w:t>
      </w:r>
    </w:p>
    <w:p>
      <w:pPr>
        <w:pStyle w:val="HorizontalLine"/>
        <w:bidi w:val="0"/>
        <w:spacing w:before="200" w:after="200"/>
        <w:jc w:val="left"/>
        <w:rPr/>
      </w:pPr>
      <w:r>
        <w:rPr/>
      </w:r>
    </w:p>
    <w:tbl>
      <w:tblPr>
        <w:tblW w:w="8105" w:type="dxa"/>
        <w:jc w:val="left"/>
        <w:tblInd w:w="0" w:type="dxa"/>
        <w:tblLayout w:type="fixed"/>
        <w:tblCellMar>
          <w:top w:w="0" w:type="dxa"/>
          <w:left w:w="0" w:type="dxa"/>
          <w:bottom w:w="0" w:type="dxa"/>
          <w:right w:w="0" w:type="dxa"/>
        </w:tblCellMar>
      </w:tblPr>
      <w:tblGrid>
        <w:gridCol w:w="8105"/>
      </w:tblGrid>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CONDENSED INTERIM CONSOLIDATED STATEMENTS OF </w:t>
            </w:r>
            <w:bookmarkStart w:id="12" w:name="CASH_integixAnchor"/>
            <w:bookmarkEnd w:id="12"/>
            <w:r>
              <w:rPr>
                <w:rFonts w:ascii="Times New Roman;Times;serif" w:hAnsi="Times New Roman;Times;serif"/>
                <w:b/>
                <w:sz w:val="20"/>
              </w:rPr>
              <w:t>CASH FLOWS (UNAUDITED)</w:t>
            </w:r>
          </w:p>
        </w:tc>
      </w:tr>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lineRule="auto" w:line="300" w:before="0" w:after="300"/>
        <w:jc w:val="left"/>
        <w:rPr/>
      </w:pPr>
      <w:r>
        <w:rPr/>
        <w:t> </w:t>
      </w:r>
    </w:p>
    <w:tbl>
      <w:tblPr>
        <w:tblW w:w="8572" w:type="dxa"/>
        <w:jc w:val="left"/>
        <w:tblInd w:w="0" w:type="dxa"/>
        <w:tblLayout w:type="fixed"/>
        <w:tblCellMar>
          <w:top w:w="0" w:type="dxa"/>
          <w:left w:w="0" w:type="dxa"/>
          <w:bottom w:w="0" w:type="dxa"/>
          <w:right w:w="0" w:type="dxa"/>
        </w:tblCellMar>
      </w:tblPr>
      <w:tblGrid>
        <w:gridCol w:w="6179"/>
        <w:gridCol w:w="60"/>
        <w:gridCol w:w="147"/>
        <w:gridCol w:w="890"/>
        <w:gridCol w:w="94"/>
        <w:gridCol w:w="70"/>
        <w:gridCol w:w="147"/>
        <w:gridCol w:w="890"/>
        <w:gridCol w:w="95"/>
      </w:tblGrid>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95" w:type="dxa"/>
            <w:tcBorders/>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3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 OPERATING ACTIVITIES</w:t>
            </w:r>
          </w:p>
        </w:tc>
        <w:tc>
          <w:tcPr>
            <w:tcW w:w="60" w:type="dxa"/>
            <w:tcBorders/>
            <w:shd w:fill="CCEEFF" w:val="clear"/>
            <w:vAlign w:val="bottom"/>
          </w:tcPr>
          <w:p>
            <w:pPr>
              <w:pStyle w:val="TableContents"/>
              <w:bidi w:val="0"/>
              <w:spacing w:before="0" w:after="283"/>
              <w:jc w:val="left"/>
              <w:rPr/>
            </w:pPr>
            <w:r>
              <w:rPr/>
              <w:t> </w:t>
            </w:r>
          </w:p>
        </w:tc>
        <w:tc>
          <w:tcPr>
            <w:tcW w:w="1037" w:type="dxa"/>
            <w:gridSpan w:val="2"/>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37"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Net profit for the period</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130,074</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113,947</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Adjustments to reconcile net profit for the period</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522"/>
              <w:jc w:val="left"/>
              <w:rPr>
                <w:rFonts w:ascii="Times New Roman;Times;serif" w:hAnsi="Times New Roman;Times;serif"/>
                <w:b/>
                <w:sz w:val="20"/>
              </w:rPr>
            </w:pPr>
            <w:r>
              <w:rPr>
                <w:rFonts w:ascii="Times New Roman;Times;serif" w:hAnsi="Times New Roman;Times;serif"/>
                <w:b/>
                <w:sz w:val="20"/>
              </w:rPr>
              <w:t>to 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783"/>
              <w:jc w:val="left"/>
              <w:rPr>
                <w:rFonts w:ascii="Times New Roman;Times;serif" w:hAnsi="Times New Roman;Times;serif"/>
                <w:b/>
                <w:sz w:val="20"/>
              </w:rPr>
            </w:pPr>
            <w:r>
              <w:rPr>
                <w:rFonts w:ascii="Times New Roman;Times;serif" w:hAnsi="Times New Roman;Times;serif"/>
                <w:b/>
                <w:sz w:val="20"/>
              </w:rPr>
              <w:t>Income and expense items not involving cash flows:</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125,966</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137,787</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Effect of exchange rate differences and fair value adjustment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2,176</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946</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Other expense, net</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666</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1,907</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Changes in assets and liabilities: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Trade accounts receivable</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(13,828</w:t>
            </w:r>
          </w:p>
        </w:tc>
        <w:tc>
          <w:tcPr>
            <w:tcW w:w="9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(31,603</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Other current assets</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976</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10,519</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Inventories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(41,105</w:t>
            </w:r>
          </w:p>
        </w:tc>
        <w:tc>
          <w:tcPr>
            <w:tcW w:w="9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(28,958</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Trade accounts payable</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19,830</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53,010</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Deferred revenue and customers' advances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(26,193</w:t>
            </w:r>
          </w:p>
        </w:tc>
        <w:tc>
          <w:tcPr>
            <w:tcW w:w="9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(10,646</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Employee related liabilities and other current liabilities</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(50,533</w:t>
            </w:r>
          </w:p>
        </w:tc>
        <w:tc>
          <w:tcPr>
            <w:tcW w:w="94"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26,077</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Long-term employee related liabilities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638</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357</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Deferred tax, net and other long-term liabilities</w:t>
            </w:r>
          </w:p>
        </w:tc>
        <w:tc>
          <w:tcPr>
            <w:tcW w:w="6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(446</w:t>
            </w:r>
          </w:p>
        </w:tc>
        <w:tc>
          <w:tcPr>
            <w:tcW w:w="94"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1,325</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1305"/>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148,221</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274,668</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 INVESTING ACTIVITIES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Investments in property and equipment, net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(194,678</w:t>
            </w:r>
          </w:p>
        </w:tc>
        <w:tc>
          <w:tcPr>
            <w:tcW w:w="94"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(130,217</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Investments in marketable securities and other assets, net</w:t>
            </w:r>
          </w:p>
        </w:tc>
        <w:tc>
          <w:tcPr>
            <w:tcW w:w="60" w:type="dxa"/>
            <w:tcBorders/>
            <w:shd w:fill="CCEEFF" w:val="clear"/>
            <w:vAlign w:val="bottom"/>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66,809</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(94,745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lineRule="auto" w:line="300" w:before="0" w:after="0"/>
              <w:ind w:left="0" w:right="0" w:firstLine="1305"/>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6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(127,869</w:t>
            </w:r>
          </w:p>
        </w:tc>
        <w:tc>
          <w:tcPr>
            <w:tcW w:w="94"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(224,962</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 FINANCING ACTIVITIES</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Proceeds from an investment in a subsidiary</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1,932</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Exercise of options, net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Principal payments on account of capital lease obligation</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(20,396</w:t>
            </w:r>
          </w:p>
        </w:tc>
        <w:tc>
          <w:tcPr>
            <w:tcW w:w="9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(17,778</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Debentures repayment</w:t>
            </w:r>
          </w:p>
        </w:tc>
        <w:tc>
          <w:tcPr>
            <w:tcW w:w="6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(18,493</w:t>
            </w:r>
          </w:p>
        </w:tc>
        <w:tc>
          <w:tcPr>
            <w:tcW w:w="94"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(20,972</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shd w:fill="CCEEFF" w:val="clear"/>
            <w:vAlign w:val="bottom"/>
          </w:tcPr>
          <w:p>
            <w:pPr>
              <w:pStyle w:val="TableContents"/>
              <w:bidi w:val="0"/>
              <w:spacing w:lineRule="auto" w:line="300" w:before="0" w:after="0"/>
              <w:ind w:left="0" w:right="0" w:firstLine="1305"/>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60" w:type="dxa"/>
            <w:tcBorders/>
            <w:shd w:fill="CCEEFF" w:val="clear"/>
            <w:vAlign w:val="bottom"/>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(36,957</w:t>
            </w:r>
          </w:p>
        </w:tc>
        <w:tc>
          <w:tcPr>
            <w:tcW w:w="9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 w:type="dxa"/>
            <w:tcBorders/>
            <w:shd w:fill="CCEEFF" w:val="clear"/>
            <w:vAlign w:val="bottom"/>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(38,706</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EFFECT OF FOREIGN CURRENCY EXCHANGE RATE CHANGE</w:t>
            </w:r>
          </w:p>
        </w:tc>
        <w:tc>
          <w:tcPr>
            <w:tcW w:w="60"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(5,959</w:t>
            </w:r>
          </w:p>
        </w:tc>
        <w:tc>
          <w:tcPr>
            <w:tcW w:w="9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(10,753</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INCREASE (DECREASE) IN CASH AND CASH EQUIVALENTS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(22,564</w:t>
            </w:r>
          </w:p>
        </w:tc>
        <w:tc>
          <w:tcPr>
            <w:tcW w:w="9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247</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CASH AND CASH EQUIVALENTS - BEGINNING OF PERIOD</w:t>
            </w:r>
          </w:p>
        </w:tc>
        <w:tc>
          <w:tcPr>
            <w:tcW w:w="6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340,759</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210,930</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CASH AND CASH EQUIVALENTS - END OF PERIOD</w:t>
            </w:r>
          </w:p>
        </w:tc>
        <w:tc>
          <w:tcPr>
            <w:tcW w:w="60"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318,195</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211,177</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300"/>
        <w:jc w:val="left"/>
        <w:rPr/>
      </w:pPr>
      <w:r>
        <w:rPr/>
        <w:t> </w:t>
      </w:r>
    </w:p>
    <w:tbl>
      <w:tblPr>
        <w:tblW w:w="4085" w:type="dxa"/>
        <w:jc w:val="left"/>
        <w:tblInd w:w="0" w:type="dxa"/>
        <w:tblLayout w:type="fixed"/>
        <w:tblCellMar>
          <w:top w:w="0" w:type="dxa"/>
          <w:left w:w="0" w:type="dxa"/>
          <w:bottom w:w="0" w:type="dxa"/>
          <w:right w:w="0" w:type="dxa"/>
        </w:tblCellMar>
      </w:tblPr>
      <w:tblGrid>
        <w:gridCol w:w="3890"/>
        <w:gridCol w:w="60"/>
        <w:gridCol w:w="60"/>
        <w:gridCol w:w="75"/>
      </w:tblGrid>
      <w:tr>
        <w:trPr/>
        <w:tc>
          <w:tcPr>
            <w:tcW w:w="38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consolidated financial statements.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300"/>
        <w:jc w:val="left"/>
        <w:rPr/>
      </w:pPr>
      <w:r>
        <w:rPr/>
        <w:t> </w:t>
      </w:r>
    </w:p>
    <w:p>
      <w:pPr>
        <w:pStyle w:val="TextBody"/>
        <w:bidi w:val="0"/>
        <w:spacing w:lineRule="auto" w:line="300"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- 6</w:t>
      </w:r>
    </w:p>
    <w:p>
      <w:pPr>
        <w:pStyle w:val="HorizontalLine"/>
        <w:bidi w:val="0"/>
        <w:spacing w:lineRule="auto" w:line="300" w:before="0" w:after="0"/>
        <w:jc w:val="left"/>
        <w:rPr/>
      </w:pPr>
      <w:r>
        <w:rPr/>
      </w:r>
    </w:p>
    <w:tbl>
      <w:tblPr>
        <w:tblW w:w="8105" w:type="dxa"/>
        <w:jc w:val="left"/>
        <w:tblInd w:w="0" w:type="dxa"/>
        <w:tblLayout w:type="fixed"/>
        <w:tblCellMar>
          <w:top w:w="0" w:type="dxa"/>
          <w:left w:w="0" w:type="dxa"/>
          <w:bottom w:w="0" w:type="dxa"/>
          <w:right w:w="0" w:type="dxa"/>
        </w:tblCellMar>
      </w:tblPr>
      <w:tblGrid>
        <w:gridCol w:w="8105"/>
      </w:tblGrid>
      <w:tr>
        <w:trPr/>
        <w:tc>
          <w:tcPr>
            <w:tcW w:w="8105" w:type="dxa"/>
            <w:tcBorders/>
            <w:vAlign w:val="center"/>
          </w:tcPr>
          <w:p>
            <w:pPr>
              <w:pStyle w:val="TableContents"/>
              <w:bidi w:val="0"/>
              <w:spacing w:before="0" w:after="0"/>
              <w:jc w:val="left"/>
              <w:rPr/>
            </w:pPr>
            <w:r>
              <w:rPr/>
              <w:t> </w:t>
            </w:r>
          </w:p>
        </w:tc>
      </w:tr>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CONDENSED INTERIM CONSOLIDATED STATEMENTS OF CASH FLOWS (UNAUDITED)</w:t>
            </w:r>
          </w:p>
        </w:tc>
      </w:tr>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lineRule="auto" w:line="300" w:before="0" w:after="300"/>
        <w:jc w:val="left"/>
        <w:rPr/>
      </w:pPr>
      <w:r>
        <w:rPr/>
        <w:t> </w:t>
      </w:r>
    </w:p>
    <w:tbl>
      <w:tblPr>
        <w:tblW w:w="8363" w:type="dxa"/>
        <w:jc w:val="left"/>
        <w:tblInd w:w="0" w:type="dxa"/>
        <w:tblLayout w:type="fixed"/>
        <w:tblCellMar>
          <w:top w:w="0" w:type="dxa"/>
          <w:left w:w="0" w:type="dxa"/>
          <w:bottom w:w="0" w:type="dxa"/>
          <w:right w:w="0" w:type="dxa"/>
        </w:tblCellMar>
      </w:tblPr>
      <w:tblGrid>
        <w:gridCol w:w="5990"/>
        <w:gridCol w:w="60"/>
        <w:gridCol w:w="169"/>
        <w:gridCol w:w="940"/>
        <w:gridCol w:w="81"/>
        <w:gridCol w:w="81"/>
        <w:gridCol w:w="169"/>
        <w:gridCol w:w="798"/>
        <w:gridCol w:w="75"/>
      </w:tblGrid>
      <w:tr>
        <w:trPr/>
        <w:tc>
          <w:tcPr>
            <w:tcW w:w="5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75" w:type="dxa"/>
            <w:tcBorders/>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6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NON-CASH ACTIVITIES:</w:t>
            </w:r>
          </w:p>
        </w:tc>
        <w:tc>
          <w:tcPr>
            <w:tcW w:w="60" w:type="dxa"/>
            <w:tcBorders/>
            <w:shd w:fill="CCEEFF" w:val="clear"/>
            <w:vAlign w:val="bottom"/>
          </w:tcPr>
          <w:p>
            <w:pPr>
              <w:pStyle w:val="TableContents"/>
              <w:bidi w:val="0"/>
              <w:spacing w:before="0" w:after="283"/>
              <w:jc w:val="left"/>
              <w:rPr/>
            </w:pPr>
            <w:r>
              <w:rPr/>
              <w:t> </w:t>
            </w:r>
          </w:p>
        </w:tc>
        <w:tc>
          <w:tcPr>
            <w:tcW w:w="1109" w:type="dxa"/>
            <w:gridSpan w:val="2"/>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67"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Investments in property and equipment</w:t>
            </w:r>
          </w:p>
        </w:tc>
        <w:tc>
          <w:tcPr>
            <w:tcW w:w="60" w:type="dxa"/>
            <w:tcBorders/>
            <w:vAlign w:val="bottom"/>
          </w:tcPr>
          <w:p>
            <w:pPr>
              <w:pStyle w:val="TableContents"/>
              <w:bidi w:val="0"/>
              <w:spacing w:before="0" w:after="283"/>
              <w:jc w:val="left"/>
              <w:rPr/>
            </w:pPr>
            <w:r>
              <w:rPr/>
              <w:t> </w:t>
            </w:r>
          </w:p>
        </w:tc>
        <w:tc>
          <w:tcPr>
            <w:tcW w:w="169"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4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156,465</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9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82,526</w:t>
            </w:r>
          </w:p>
        </w:tc>
        <w:tc>
          <w:tcPr>
            <w:tcW w:w="7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Cash received during the period from interest, net of interest paid</w:t>
            </w:r>
          </w:p>
        </w:tc>
        <w:tc>
          <w:tcPr>
            <w:tcW w:w="60" w:type="dxa"/>
            <w:tcBorders/>
            <w:shd w:fill="CCEEFF" w:val="clear"/>
            <w:vAlign w:val="bottom"/>
          </w:tcPr>
          <w:p>
            <w:pPr>
              <w:pStyle w:val="TableContents"/>
              <w:bidi w:val="0"/>
              <w:spacing w:before="0" w:after="283"/>
              <w:jc w:val="left"/>
              <w:rPr/>
            </w:pPr>
            <w:r>
              <w:rPr/>
              <w:t> </w:t>
            </w:r>
          </w:p>
        </w:tc>
        <w:tc>
          <w:tcPr>
            <w:tcW w:w="169"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4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10,785</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69"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9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1,495</w:t>
            </w:r>
          </w:p>
        </w:tc>
        <w:tc>
          <w:tcPr>
            <w:tcW w:w="7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Cash paid for income taxes, net during the period</w:t>
            </w:r>
          </w:p>
        </w:tc>
        <w:tc>
          <w:tcPr>
            <w:tcW w:w="60" w:type="dxa"/>
            <w:tcBorders/>
            <w:vAlign w:val="bottom"/>
          </w:tcPr>
          <w:p>
            <w:pPr>
              <w:pStyle w:val="TableContents"/>
              <w:bidi w:val="0"/>
              <w:spacing w:before="0" w:after="283"/>
              <w:jc w:val="left"/>
              <w:rPr/>
            </w:pPr>
            <w:r>
              <w:rPr/>
              <w:t> </w:t>
            </w:r>
          </w:p>
        </w:tc>
        <w:tc>
          <w:tcPr>
            <w:tcW w:w="169"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4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6,916</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9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8,718</w:t>
            </w:r>
          </w:p>
        </w:tc>
        <w:tc>
          <w:tcPr>
            <w:tcW w:w="75" w:type="dxa"/>
            <w:tcBorders/>
            <w:vAlign w:val="bottom"/>
          </w:tcPr>
          <w:p>
            <w:pPr>
              <w:pStyle w:val="TableContents"/>
              <w:bidi w:val="0"/>
              <w:spacing w:before="0" w:after="283"/>
              <w:jc w:val="left"/>
              <w:rPr/>
            </w:pPr>
            <w:r>
              <w:rPr/>
              <w:t> </w:t>
            </w:r>
          </w:p>
        </w:tc>
      </w:tr>
    </w:tbl>
    <w:p>
      <w:pPr>
        <w:pStyle w:val="TextBody"/>
        <w:bidi w:val="0"/>
        <w:spacing w:lineRule="auto" w:line="300" w:before="0" w:after="300"/>
        <w:jc w:val="left"/>
        <w:rPr/>
      </w:pPr>
      <w:r>
        <w:rPr/>
        <w:t> </w:t>
      </w:r>
    </w:p>
    <w:tbl>
      <w:tblPr>
        <w:tblW w:w="4085" w:type="dxa"/>
        <w:jc w:val="left"/>
        <w:tblInd w:w="0" w:type="dxa"/>
        <w:tblLayout w:type="fixed"/>
        <w:tblCellMar>
          <w:top w:w="0" w:type="dxa"/>
          <w:left w:w="0" w:type="dxa"/>
          <w:bottom w:w="0" w:type="dxa"/>
          <w:right w:w="0" w:type="dxa"/>
        </w:tblCellMar>
      </w:tblPr>
      <w:tblGrid>
        <w:gridCol w:w="3890"/>
        <w:gridCol w:w="60"/>
        <w:gridCol w:w="60"/>
        <w:gridCol w:w="75"/>
      </w:tblGrid>
      <w:tr>
        <w:trPr/>
        <w:tc>
          <w:tcPr>
            <w:tcW w:w="38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consolidated financial statements.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30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- 7</w:t>
      </w:r>
    </w:p>
    <w:p>
      <w:pPr>
        <w:pStyle w:val="HorizontalLine"/>
        <w:bidi w:val="0"/>
        <w:spacing w:before="200" w:after="200"/>
        <w:jc w:val="left"/>
        <w:rPr/>
      </w:pPr>
      <w:r>
        <w:rPr/>
      </w:r>
    </w:p>
    <w:p>
      <w:pPr>
        <w:pStyle w:val="TextBody"/>
        <w:bidi w:val="0"/>
        <w:spacing w:before="0" w:after="0"/>
        <w:jc w:val="center"/>
        <w:rPr/>
      </w:pPr>
      <w:r>
        <w:rPr>
          <w:rStyle w:val="StrongEmphasis"/>
          <w:rFonts w:ascii="Times New Roman;Times;serif" w:hAnsi="Times New Roman;Times;serif"/>
          <w:sz w:val="20"/>
        </w:rPr>
        <w:t>TOWER SEMICONDUCTOR LTD. AND SUBSIDIARIES</w:t>
      </w:r>
      <w:r>
        <w:rPr>
          <w:rFonts w:ascii="Times New Roman;Times;serif" w:hAnsi="Times New Roman;Times;serif"/>
          <w:sz w:val="20"/>
        </w:rPr>
        <w:br/>
      </w:r>
      <w:bookmarkStart w:id="13" w:name="NOTES_integixAnchor"/>
      <w:bookmarkEnd w:id="13"/>
      <w:r>
        <w:rPr>
          <w:rStyle w:val="StrongEmphasis"/>
          <w:rFonts w:ascii="Times New Roman;Times;serif" w:hAnsi="Times New Roman;Times;serif"/>
          <w:sz w:val="20"/>
        </w:rPr>
        <w:t>NOTES TO UNAUDITED CONDENSED INTERIM CONSOLIDATED</w:t>
      </w:r>
      <w:r>
        <w:rPr>
          <w:rFonts w:ascii="Times New Roman;Times;serif" w:hAnsi="Times New Roman;Times;serif"/>
          <w:sz w:val="20"/>
        </w:rPr>
        <w:br/>
      </w:r>
      <w:r>
        <w:rPr>
          <w:rStyle w:val="StrongEmphasis"/>
          <w:rFonts w:ascii="Times New Roman;Times;serif" w:hAnsi="Times New Roman;Times;serif"/>
          <w:sz w:val="20"/>
        </w:rPr>
        <w:t>FINANCIAL STATEMENTS AS OF JUNE 30, 2023</w:t>
      </w:r>
      <w:r>
        <w:rPr>
          <w:rFonts w:ascii="Times New Roman;Times;serif" w:hAnsi="Times New Roman;Times;serif"/>
          <w:sz w:val="20"/>
        </w:rPr>
        <w:br/>
        <w:t>(dollars in thousands, except per share data)</w:t>
      </w:r>
    </w:p>
    <w:p>
      <w:pPr>
        <w:pStyle w:val="TextBody"/>
        <w:bidi w:val="0"/>
        <w:spacing w:before="0" w:after="0"/>
        <w:jc w:val="center"/>
        <w:rPr/>
      </w:pPr>
      <w:r>
        <w:rPr/>
        <w:t> </w:t>
      </w:r>
    </w:p>
    <w:p>
      <w:pPr>
        <w:pStyle w:val="TextBody"/>
        <w:bidi w:val="0"/>
        <w:spacing w:lineRule="auto" w:line="300" w:before="0" w:after="300"/>
        <w:jc w:val="both"/>
        <w:rPr/>
      </w:pPr>
      <w:r>
        <w:rPr>
          <w:rFonts w:ascii="Times New Roman;Times;serif" w:hAnsi="Times New Roman;Times;serif"/>
          <w:b/>
          <w:sz w:val="20"/>
        </w:rPr>
        <w:t>NOTE 1</w:t>
      </w:r>
      <w:r>
        <w:rPr>
          <w:rFonts w:ascii="Times New Roman;Times;serif" w:hAnsi="Times New Roman;Times;serif"/>
          <w:sz w:val="20"/>
        </w:rPr>
        <w:t>      </w:t>
      </w:r>
      <w:r>
        <w:rPr>
          <w:rFonts w:ascii="Times New Roman;Times;serif" w:hAnsi="Times New Roman;Times;serif"/>
          <w:b/>
          <w:sz w:val="20"/>
        </w:rPr>
        <w:t xml:space="preserve">- </w:t>
      </w:r>
      <w:r>
        <w:rPr/>
        <w:t> </w:t>
      </w:r>
      <w:r>
        <w:rPr>
          <w:rFonts w:ascii="Times New Roman;Times;serif" w:hAnsi="Times New Roman;Times;serif"/>
          <w:b/>
          <w:sz w:val="20"/>
        </w:rPr>
        <w:t>GENERAL</w:t>
      </w:r>
    </w:p>
    <w:p>
      <w:pPr>
        <w:pStyle w:val="TextBody"/>
        <w:bidi w:val="0"/>
        <w:spacing w:lineRule="auto" w:line="300" w:before="0" w:after="300"/>
        <w:jc w:val="left"/>
        <w:rPr/>
      </w:pPr>
      <w:r>
        <w:rPr/>
        <w:t> </w:t>
      </w:r>
    </w:p>
    <w:p>
      <w:pPr>
        <w:pStyle w:val="TextBody"/>
        <w:bidi w:val="0"/>
        <w:spacing w:lineRule="auto" w:line="300" w:before="0" w:after="300"/>
        <w:ind w:left="2070" w:right="360" w:hanging="630"/>
        <w:jc w:val="both"/>
        <w:rPr>
          <w:rFonts w:ascii="Times New Roman;Times;serif" w:hAnsi="Times New Roman;Times;serif"/>
          <w:b/>
          <w:sz w:val="20"/>
        </w:rPr>
      </w:pPr>
      <w:r>
        <w:rPr>
          <w:rFonts w:ascii="Times New Roman;Times;serif" w:hAnsi="Times New Roman;Times;serif"/>
          <w:b/>
          <w:sz w:val="20"/>
        </w:rPr>
        <w:t>Basis for Presentation</w:t>
      </w:r>
    </w:p>
    <w:p>
      <w:pPr>
        <w:pStyle w:val="TextBody"/>
        <w:bidi w:val="0"/>
        <w:spacing w:lineRule="auto" w:line="300" w:before="0" w:after="300"/>
        <w:jc w:val="left"/>
        <w:rPr/>
      </w:pPr>
      <w:r>
        <w:rPr/>
        <w:t> </w:t>
      </w:r>
    </w:p>
    <w:p>
      <w:pPr>
        <w:pStyle w:val="TextBody"/>
        <w:bidi w:val="0"/>
        <w:spacing w:lineRule="auto" w:line="300" w:before="0" w:after="300"/>
        <w:ind w:left="1440" w:right="0" w:hanging="0"/>
        <w:jc w:val="both"/>
        <w:rPr>
          <w:rFonts w:ascii="Times New Roman;Times;serif" w:hAnsi="Times New Roman;Times;serif"/>
          <w:sz w:val="20"/>
        </w:rPr>
      </w:pPr>
      <w:r>
        <w:rPr>
          <w:rFonts w:ascii="Times New Roman;Times;serif" w:hAnsi="Times New Roman;Times;serif"/>
          <w:sz w:val="20"/>
        </w:rPr>
        <w:t>The unaudited condensed interim consolidated financial statements of Tower Semiconductor Ltd. (“Tower” or “the Company”) as of June 30, 2023 include the financial statements of Tower and (i) its wholly-owned subsidiary Tower US Holdings Inc., the sole owner of: (1) Tower Semiconductor NPB Holdings, Inc. and its wholly-owned subsidiary, Tower Semiconductor Newport Beach, Inc. and (2) Tower Semiconductor San Antonio, Inc. (ii) its 51% owned subsidiary, Tower Partners Semiconductor Co., Ltd. (“TPSCo”) and (iii) its wholly-owned subsidiary, Tower Semiconductor Italy S.r.l. (“TSIT”). Tower and its subsidiaries are collectively referred to as the “Company”.</w:t>
      </w:r>
    </w:p>
    <w:p>
      <w:pPr>
        <w:pStyle w:val="TextBody"/>
        <w:bidi w:val="0"/>
        <w:spacing w:lineRule="auto" w:line="300" w:before="0" w:after="300"/>
        <w:jc w:val="left"/>
        <w:rPr/>
      </w:pPr>
      <w:r>
        <w:rPr/>
        <w:t> </w:t>
      </w:r>
    </w:p>
    <w:p>
      <w:pPr>
        <w:pStyle w:val="TextBody"/>
        <w:bidi w:val="0"/>
        <w:spacing w:lineRule="auto" w:line="300" w:before="0" w:after="300"/>
        <w:ind w:left="1440" w:right="0" w:hanging="0"/>
        <w:jc w:val="both"/>
        <w:rPr>
          <w:rFonts w:ascii="Times New Roman;Times;serif" w:hAnsi="Times New Roman;Times;serif"/>
          <w:sz w:val="20"/>
        </w:rPr>
      </w:pPr>
      <w:r>
        <w:rPr>
          <w:rFonts w:ascii="Times New Roman;Times;serif" w:hAnsi="Times New Roman;Times;serif"/>
          <w:sz w:val="20"/>
        </w:rPr>
        <w:t>The Company’s unaudited condensed interim consolidated financial statements are presented after elimination of inter-company transactions and balances and are presented in accordance with U.S. generally accepted accounting principles (“US GAAP”).</w:t>
      </w:r>
    </w:p>
    <w:p>
      <w:pPr>
        <w:pStyle w:val="TextBody"/>
        <w:bidi w:val="0"/>
        <w:spacing w:lineRule="auto" w:line="300" w:before="0" w:after="300"/>
        <w:jc w:val="left"/>
        <w:rPr/>
      </w:pPr>
      <w:r>
        <w:rPr/>
        <w:t> </w:t>
      </w:r>
    </w:p>
    <w:p>
      <w:pPr>
        <w:pStyle w:val="TextBody"/>
        <w:bidi w:val="0"/>
        <w:spacing w:lineRule="auto" w:line="300" w:before="0" w:after="300"/>
        <w:ind w:left="1440" w:right="0" w:hanging="0"/>
        <w:jc w:val="both"/>
        <w:rPr>
          <w:rFonts w:ascii="Times New Roman;Times;serif" w:hAnsi="Times New Roman;Times;serif"/>
          <w:sz w:val="20"/>
        </w:rPr>
      </w:pPr>
      <w:r>
        <w:rPr>
          <w:rFonts w:ascii="Times New Roman;Times;serif" w:hAnsi="Times New Roman;Times;serif"/>
          <w:sz w:val="20"/>
        </w:rPr>
        <w:t>The unaudited condensed interim consolidated financial statements of the Company should be read in conjunction with the audited consolidated financial statements of the Company as of December 31, 2022 and for the year then ended, including the notes thereto.</w:t>
      </w:r>
    </w:p>
    <w:p>
      <w:pPr>
        <w:pStyle w:val="TextBody"/>
        <w:bidi w:val="0"/>
        <w:spacing w:lineRule="auto" w:line="300" w:before="0" w:after="300"/>
        <w:ind w:left="1440" w:right="0" w:hanging="0"/>
        <w:jc w:val="both"/>
        <w:rPr/>
      </w:pPr>
      <w:r>
        <w:rPr/>
        <w:t> </w:t>
      </w:r>
    </w:p>
    <w:p>
      <w:pPr>
        <w:pStyle w:val="TextBody"/>
        <w:bidi w:val="0"/>
        <w:spacing w:lineRule="auto" w:line="300" w:before="0" w:after="300"/>
        <w:ind w:left="1440" w:right="0" w:hanging="0"/>
        <w:jc w:val="both"/>
        <w:rPr>
          <w:rFonts w:ascii="Times New Roman;Times;serif" w:hAnsi="Times New Roman;Times;serif"/>
          <w:sz w:val="20"/>
        </w:rPr>
      </w:pPr>
      <w:r>
        <w:rPr>
          <w:rFonts w:ascii="Times New Roman;Times;serif" w:hAnsi="Times New Roman;Times;serif"/>
          <w:sz w:val="20"/>
        </w:rPr>
        <w:t>In the opinion of the Company's management, the unaudited condensed interim consolidated financial statements include all adjustments necessary for a fair presentation of the Company’s financial position as of the dates presented and results of operations for the interim periods presented. The results of operations for the interim periods are not necessarily indicative of the results to be expected on a full-year basis.</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 xml:space="preserve">NOTE 2   - </w:t>
      </w:r>
      <w:r>
        <w:rPr>
          <w:rFonts w:ascii="Times New Roman;Times;serif" w:hAnsi="Times New Roman;Times;serif"/>
          <w:sz w:val="20"/>
        </w:rPr>
        <w:t> </w:t>
      </w:r>
      <w:r>
        <w:rPr>
          <w:rFonts w:ascii="Times New Roman;Times;serif" w:hAnsi="Times New Roman;Times;serif"/>
          <w:b/>
          <w:sz w:val="20"/>
        </w:rPr>
        <w:t>INITIAL ADOPTION OF NEW STANDARDS</w:t>
      </w:r>
    </w:p>
    <w:p>
      <w:pPr>
        <w:pStyle w:val="TextBody"/>
        <w:bidi w:val="0"/>
        <w:spacing w:before="0" w:after="0"/>
        <w:jc w:val="left"/>
        <w:rPr/>
      </w:pPr>
      <w:r>
        <w:rPr/>
        <w:t> </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During the period there was no initial adoption of new accounting standards.</w:t>
      </w:r>
    </w:p>
    <w:p>
      <w:pPr>
        <w:pStyle w:val="TextBody"/>
        <w:bidi w:val="0"/>
        <w:spacing w:before="0" w:after="0"/>
        <w:jc w:val="center"/>
        <w:rPr/>
      </w:pPr>
      <w:r>
        <w:rPr/>
        <w:t> </w:t>
      </w:r>
    </w:p>
    <w:p>
      <w:pPr>
        <w:pStyle w:val="TextBody"/>
        <w:bidi w:val="0"/>
        <w:spacing w:before="200" w:after="0"/>
        <w:jc w:val="center"/>
        <w:rPr/>
      </w:pPr>
      <w:r>
        <w:rPr>
          <w:rFonts w:ascii="Times New Roman;Times;serif" w:hAnsi="Times New Roman;Times;serif"/>
          <w:sz w:val="20"/>
        </w:rPr>
        <w:t>F -</w:t>
      </w:r>
      <w:r>
        <w:rPr/>
        <w:t> </w:t>
      </w:r>
      <w:r>
        <w:rPr>
          <w:rFonts w:ascii="Times New Roman;Times;serif" w:hAnsi="Times New Roman;Times;serif"/>
          <w:sz w:val="20"/>
        </w:rPr>
        <w:t>8</w:t>
      </w:r>
    </w:p>
    <w:p>
      <w:pPr>
        <w:pStyle w:val="HorizontalLine"/>
        <w:bidi w:val="0"/>
        <w:spacing w:before="0" w:after="300"/>
        <w:jc w:val="left"/>
        <w:rPr/>
      </w:pPr>
      <w:r>
        <w:rPr/>
      </w:r>
    </w:p>
    <w:p>
      <w:pPr>
        <w:pStyle w:val="TextBody"/>
        <w:bidi w:val="0"/>
        <w:spacing w:before="28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UNAUDITED CONDENSED INTERIM CONSOLIDATED</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FINANCIAL STATEMENTS AS OF JUNE 30, 2023</w:t>
      </w:r>
    </w:p>
    <w:p>
      <w:pPr>
        <w:pStyle w:val="TextBody"/>
        <w:bidi w:val="0"/>
        <w:spacing w:before="0" w:after="20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300"/>
        <w:jc w:val="both"/>
        <w:rPr/>
      </w:pPr>
      <w:r>
        <w:rPr>
          <w:rFonts w:ascii="Times New Roman;Times;serif" w:hAnsi="Times New Roman;Times;serif"/>
          <w:b/>
          <w:sz w:val="20"/>
        </w:rPr>
        <w:t>NOTE 3     </w:t>
      </w:r>
      <w:r>
        <w:rPr>
          <w:rFonts w:ascii="Times New Roman;Times;serif" w:hAnsi="Times New Roman;Times;serif"/>
          <w:sz w:val="20"/>
        </w:rPr>
        <w:t> </w:t>
      </w:r>
      <w:r>
        <w:rPr>
          <w:rFonts w:ascii="Times New Roman;Times;serif" w:hAnsi="Times New Roman;Times;serif"/>
          <w:b/>
          <w:sz w:val="20"/>
        </w:rPr>
        <w:t>- </w:t>
      </w:r>
      <w:r>
        <w:rPr/>
        <w:t> </w:t>
      </w:r>
      <w:r>
        <w:rPr>
          <w:rFonts w:ascii="Times New Roman;Times;serif" w:hAnsi="Times New Roman;Times;serif"/>
          <w:b/>
          <w:sz w:val="20"/>
        </w:rPr>
        <w:t>SUBSEQUENT EVENTS</w:t>
      </w:r>
    </w:p>
    <w:p>
      <w:pPr>
        <w:pStyle w:val="TextBody"/>
        <w:bidi w:val="0"/>
        <w:spacing w:lineRule="auto" w:line="300" w:before="0" w:after="300"/>
        <w:ind w:left="1440" w:right="0" w:hanging="0"/>
        <w:jc w:val="both"/>
        <w:rPr/>
      </w:pPr>
      <w:r>
        <w:rPr/>
        <w:t> </w:t>
      </w:r>
    </w:p>
    <w:p>
      <w:pPr>
        <w:pStyle w:val="TextBody"/>
        <w:bidi w:val="0"/>
        <w:spacing w:lineRule="auto" w:line="300" w:before="0" w:after="300"/>
        <w:ind w:left="1440" w:right="0" w:hanging="0"/>
        <w:jc w:val="both"/>
        <w:rPr>
          <w:rFonts w:ascii="Times New Roman;Times;serif" w:hAnsi="Times New Roman;Times;serif"/>
          <w:sz w:val="20"/>
        </w:rPr>
      </w:pPr>
      <w:r>
        <w:rPr>
          <w:rFonts w:ascii="Times New Roman;Times;serif" w:hAnsi="Times New Roman;Times;serif"/>
          <w:sz w:val="20"/>
        </w:rPr>
        <w:t>In July 2023, the Company’s affiliates, including TPSCo, extended their existing capital lease lines with JA Mitsui Leasing, Ltd., described in Note 11D to the Company’s annual financial statements as of December 31, 2022, whereby the availability period of such lines was extended to June 2024 with an updated remaining amount available for future utilization, totaling up to approximately JPY 6.5 billion (approximately $45,000 as of July 1, 2023). The lease agreements’ terms did not change and contain annual interest rates of approximately 2%.</w:t>
      </w:r>
    </w:p>
    <w:p>
      <w:pPr>
        <w:pStyle w:val="TextBody"/>
        <w:bidi w:val="0"/>
        <w:spacing w:lineRule="auto" w:line="300" w:before="0" w:after="300"/>
        <w:jc w:val="left"/>
        <w:rPr/>
      </w:pPr>
      <w:r>
        <w:rPr/>
        <w:t> </w:t>
      </w:r>
    </w:p>
    <w:p>
      <w:pPr>
        <w:pStyle w:val="TextBody"/>
        <w:bidi w:val="0"/>
        <w:spacing w:lineRule="auto" w:line="300" w:before="0" w:after="300"/>
        <w:ind w:left="1440" w:right="0" w:hanging="0"/>
        <w:jc w:val="both"/>
        <w:rPr>
          <w:rFonts w:ascii="Times New Roman;Times;serif" w:hAnsi="Times New Roman;Times;serif"/>
          <w:sz w:val="20"/>
        </w:rPr>
      </w:pPr>
      <w:r>
        <w:rPr>
          <w:rFonts w:ascii="Times New Roman;Times;serif" w:hAnsi="Times New Roman;Times;serif"/>
          <w:sz w:val="20"/>
        </w:rPr>
        <w:t>On July 3, 2023, the Company's shareholders approved the following RSU awards to the CEO and members of the Board of Directors of the Company under the Company’s 2013 Plan:</w:t>
      </w:r>
    </w:p>
    <w:p>
      <w:pPr>
        <w:pStyle w:val="TextBody"/>
        <w:bidi w:val="0"/>
        <w:spacing w:lineRule="auto" w:line="300" w:before="0" w:after="300"/>
        <w:jc w:val="left"/>
        <w:rPr/>
      </w:pPr>
      <w:r>
        <w:rPr/>
        <w:t> </w:t>
      </w:r>
    </w:p>
    <w:p>
      <w:pPr>
        <w:pStyle w:val="TextBody"/>
        <w:bidi w:val="0"/>
        <w:spacing w:lineRule="auto" w:line="300" w:before="0" w:after="300"/>
        <w:ind w:left="1440" w:right="0" w:hanging="0"/>
        <w:jc w:val="both"/>
        <w:rPr>
          <w:rFonts w:ascii="Times New Roman;Times;serif" w:hAnsi="Times New Roman;Times;serif"/>
          <w:sz w:val="20"/>
        </w:rPr>
      </w:pPr>
      <w:r>
        <w:rPr>
          <w:rFonts w:ascii="Times New Roman;Times;serif" w:hAnsi="Times New Roman;Times;serif"/>
          <w:sz w:val="20"/>
        </w:rPr>
        <w:t>(i) 75.8 thousand time-vested RSUs and 125.1 thousand performance RSUs (“PSUs”) subject also to time-vesting, to the CEO, with 33% of such RSUs and PSUs to vest at the end of each year for 3 years following the grant date for a total compensation value of approximately $7,500. The grant also includes a provision requiring the CEO to own, commencing May 2024, ordinary shares of the Company at a minimum value that equals at least three times his annual base salary as of May 2024 (the “Minimum Holding”). The CEO has until May 2024 to accumulate the Minimum Holding (whether by conversion of RSUs to ordinary shares or by purchase of ordinary shares), and during such period, until he accumulates the Minimum Holding, he must retain at least 20% of the vested time-based RSUs granted to him on or after May 2019;</w:t>
      </w:r>
    </w:p>
    <w:p>
      <w:pPr>
        <w:pStyle w:val="TextBody"/>
        <w:bidi w:val="0"/>
        <w:spacing w:lineRule="auto" w:line="300" w:before="0" w:after="300"/>
        <w:jc w:val="left"/>
        <w:rPr/>
      </w:pPr>
      <w:r>
        <w:rPr/>
        <w:t> </w:t>
      </w:r>
    </w:p>
    <w:p>
      <w:pPr>
        <w:pStyle w:val="TextBody"/>
        <w:bidi w:val="0"/>
        <w:spacing w:lineRule="auto" w:line="300" w:before="0" w:after="300"/>
        <w:ind w:left="1440" w:right="0" w:hanging="0"/>
        <w:jc w:val="both"/>
        <w:rPr>
          <w:rFonts w:ascii="Times New Roman;Times;serif" w:hAnsi="Times New Roman;Times;serif"/>
          <w:sz w:val="20"/>
        </w:rPr>
      </w:pPr>
      <w:r>
        <w:rPr>
          <w:rFonts w:ascii="Times New Roman;Times;serif" w:hAnsi="Times New Roman;Times;serif"/>
          <w:sz w:val="20"/>
        </w:rPr>
        <w:t>(ii) 8.0 thousand time-vested RSUs to the chairman of the Board of Directors (“the Chairman”) for a total compensation value of $300, to vest 33% at the end of each year following the grant date; and</w:t>
      </w:r>
    </w:p>
    <w:p>
      <w:pPr>
        <w:pStyle w:val="TextBody"/>
        <w:bidi w:val="0"/>
        <w:spacing w:lineRule="auto" w:line="300" w:before="0" w:after="300"/>
        <w:jc w:val="left"/>
        <w:rPr/>
      </w:pPr>
      <w:r>
        <w:rPr/>
        <w:t> </w:t>
      </w:r>
    </w:p>
    <w:p>
      <w:pPr>
        <w:pStyle w:val="TextBody"/>
        <w:bidi w:val="0"/>
        <w:spacing w:lineRule="auto" w:line="300" w:before="0" w:after="300"/>
        <w:ind w:left="1440" w:right="0" w:hanging="0"/>
        <w:jc w:val="both"/>
        <w:rPr>
          <w:rFonts w:ascii="Times New Roman;Times;serif" w:hAnsi="Times New Roman;Times;serif"/>
          <w:sz w:val="20"/>
        </w:rPr>
      </w:pPr>
      <w:r>
        <w:rPr>
          <w:rFonts w:ascii="Times New Roman;Times;serif" w:hAnsi="Times New Roman;Times;serif"/>
          <w:sz w:val="20"/>
        </w:rPr>
        <w:t>(iii) 3.3 thousand time-vested RSUs to each of the seven members of the Board of Directors then serving (other than to the Chairman and the CEO), for an aggregate compensation value of $875, vesting over a two-year period, with 50% vesting at the first anniversary of the date of grant and 50% on the second anniversary of the date of grant.</w:t>
      </w:r>
    </w:p>
    <w:p>
      <w:pPr>
        <w:pStyle w:val="TextBody"/>
        <w:bidi w:val="0"/>
        <w:spacing w:lineRule="auto" w:line="300" w:before="0" w:after="300"/>
        <w:jc w:val="left"/>
        <w:rPr/>
      </w:pPr>
      <w:r>
        <w:rPr/>
        <w:t> </w:t>
      </w:r>
    </w:p>
    <w:p>
      <w:pPr>
        <w:pStyle w:val="TextBody"/>
        <w:bidi w:val="0"/>
        <w:spacing w:lineRule="auto" w:line="300" w:before="0" w:after="300"/>
        <w:ind w:left="1440" w:right="0" w:hanging="0"/>
        <w:jc w:val="both"/>
        <w:rPr>
          <w:rFonts w:ascii="Times New Roman;Times;serif" w:hAnsi="Times New Roman;Times;serif"/>
          <w:sz w:val="20"/>
        </w:rPr>
      </w:pPr>
      <w:r>
        <w:rPr>
          <w:rFonts w:ascii="Times New Roman;Times;serif" w:hAnsi="Times New Roman;Times;serif"/>
          <w:sz w:val="20"/>
        </w:rPr>
        <w:t>The Chairman and the members of the Board will have to own, commencing July 2025, ordinary shares of the Company at a minimum value that equals at least 50% of their annual cash compensation (the “BOD Minimum Holding”). The Chairman and the members of the Board have until July 2025 to accumulate the BOD Minimum Holding (whether by conversion of RSUs to ordinary shares or by purchase of ordinary shares), and during such period, until they accumulate the BOD Minimum Holding, they must retain at least 20% of the vested time-based RSUs granted to them on or after July 2020.</w:t>
      </w:r>
    </w:p>
    <w:p>
      <w:pPr>
        <w:pStyle w:val="TextBody"/>
        <w:bidi w:val="0"/>
        <w:spacing w:lineRule="auto" w:line="300" w:before="0" w:after="300"/>
        <w:jc w:val="both"/>
        <w:rPr/>
      </w:pPr>
      <w:r>
        <w:rPr/>
        <w:t> </w:t>
      </w:r>
    </w:p>
    <w:p>
      <w:pPr>
        <w:pStyle w:val="TextBody"/>
        <w:bidi w:val="0"/>
        <w:spacing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F - 9</w:t>
      </w:r>
    </w:p>
    <w:p>
      <w:pPr>
        <w:pStyle w:val="HorizontalLine"/>
        <w:bidi w:val="0"/>
        <w:spacing w:lineRule="auto" w:line="300" w:before="0" w:after="300"/>
        <w:jc w:val="left"/>
        <w:rPr/>
      </w:pPr>
      <w:r>
        <w:rPr/>
      </w:r>
    </w:p>
    <w:p>
      <w:pPr>
        <w:pStyle w:val="HorizontalLine"/>
        <w:bidi w:val="0"/>
        <w:jc w:val="left"/>
        <w:rPr/>
      </w:pPr>
      <w:r>
        <w:rPr/>
      </w:r>
      <w:bookmarkStart w:id="14" w:name="exhibit_99-2.htm"/>
      <w:bookmarkStart w:id="15" w:name="ksexhibit_992"/>
      <w:bookmarkStart w:id="16" w:name="exhibit_99-2.htm"/>
      <w:bookmarkStart w:id="17" w:name="ksexhibit_992"/>
      <w:bookmarkEnd w:id="16"/>
      <w:bookmarkEnd w:id="17"/>
      <w:r>
        <w:br w:type="page"/>
      </w:r>
    </w:p>
    <w:p>
      <w:pPr>
        <w:pStyle w:val="TextBody"/>
        <w:bidi w:val="0"/>
        <w:spacing w:before="0" w:after="0"/>
        <w:jc w:val="left"/>
        <w:rPr/>
      </w:pPr>
      <w:r>
        <w:rPr/>
      </w:r>
    </w:p>
    <w:p>
      <w:pPr>
        <w:pStyle w:val="TextBody"/>
        <w:bidi w:val="0"/>
        <w:spacing w:lineRule="auto" w:line="300" w:before="0" w:after="0"/>
        <w:ind w:left="2" w:right="0" w:hanging="0"/>
        <w:jc w:val="right"/>
        <w:rPr>
          <w:rFonts w:ascii="Times New Roman;Times;serif" w:hAnsi="Times New Roman;Times;serif"/>
          <w:b/>
          <w:u w:val="single"/>
        </w:rPr>
      </w:pPr>
      <w:r>
        <w:rPr>
          <w:rFonts w:ascii="Times New Roman;Times;serif" w:hAnsi="Times New Roman;Times;serif"/>
          <w:b/>
          <w:u w:val="single"/>
        </w:rPr>
        <w:t>Exhibit 99.2</w:t>
      </w:r>
    </w:p>
    <w:p>
      <w:pPr>
        <w:pStyle w:val="TextBody"/>
        <w:bidi w:val="0"/>
        <w:spacing w:lineRule="auto" w:line="300" w:before="0" w:after="0"/>
        <w:ind w:left="2" w:right="0" w:hanging="0"/>
        <w:jc w:val="right"/>
        <w:rPr>
          <w:rFonts w:ascii="Times New Roman;Times;serif" w:hAnsi="Times New Roman;Times;serif"/>
          <w:b/>
          <w:u w:val="single"/>
        </w:rPr>
      </w:pPr>
      <w:r>
        <w:rPr>
          <w:rFonts w:ascii="Times New Roman;Times;serif" w:hAnsi="Times New Roman;Times;serif"/>
          <w:b/>
          <w:u w:val="single"/>
        </w:rPr>
      </w:r>
    </w:p>
    <w:p>
      <w:pPr>
        <w:pStyle w:val="TextBody"/>
        <w:bidi w:val="0"/>
        <w:spacing w:lineRule="auto" w:line="300" w:before="0" w:after="0"/>
        <w:ind w:left="2" w:right="0" w:hanging="0"/>
        <w:jc w:val="center"/>
        <w:rPr>
          <w:b/>
        </w:rPr>
      </w:pPr>
      <w:r>
        <w:rPr>
          <w:b/>
        </w:rPr>
      </w:r>
    </w:p>
    <w:p>
      <w:pPr>
        <w:pStyle w:val="TextBody"/>
        <w:bidi w:val="0"/>
        <w:spacing w:lineRule="auto" w:line="300" w:before="0" w:after="0"/>
        <w:ind w:left="2" w:right="0" w:hanging="0"/>
        <w:jc w:val="center"/>
        <w:rPr>
          <w:b/>
        </w:rPr>
      </w:pPr>
      <w:r>
        <w:rPr>
          <w:b/>
        </w:rPr>
        <w:t>TOWER SEMICONDUCTOR LTD. AND SUBSIDIARIES</w:t>
      </w:r>
    </w:p>
    <w:p>
      <w:pPr>
        <w:pStyle w:val="TextBody"/>
        <w:bidi w:val="0"/>
        <w:spacing w:lineRule="auto" w:line="300" w:before="0" w:after="0"/>
        <w:ind w:left="2" w:right="0" w:hanging="0"/>
        <w:jc w:val="center"/>
        <w:rPr>
          <w:b/>
        </w:rPr>
      </w:pPr>
      <w:r>
        <w:rPr>
          <w:b/>
        </w:rPr>
        <w:t>MANAGEMENT’S DISCUSSION AND ANALYSIS OF FINANCIAL</w:t>
      </w:r>
    </w:p>
    <w:p>
      <w:pPr>
        <w:pStyle w:val="TextBody"/>
        <w:bidi w:val="0"/>
        <w:spacing w:lineRule="auto" w:line="300" w:before="0" w:after="0"/>
        <w:ind w:left="2" w:right="0" w:hanging="0"/>
        <w:jc w:val="center"/>
        <w:rPr>
          <w:b/>
        </w:rPr>
      </w:pPr>
      <w:r>
        <w:rPr>
          <w:b/>
        </w:rPr>
        <w:t>CONDITION AND RESULTS OF OPERATIONS</w:t>
      </w:r>
    </w:p>
    <w:p>
      <w:pPr>
        <w:pStyle w:val="TextBody"/>
        <w:bidi w:val="0"/>
        <w:spacing w:lineRule="auto" w:line="300" w:before="0" w:after="0"/>
        <w:jc w:val="left"/>
        <w:rPr/>
      </w:pPr>
      <w:r>
        <w:rPr/>
      </w:r>
    </w:p>
    <w:p>
      <w:pPr>
        <w:pStyle w:val="TextBody"/>
        <w:bidi w:val="0"/>
        <w:spacing w:lineRule="auto" w:line="300" w:before="0" w:after="0"/>
        <w:jc w:val="both"/>
        <w:rPr>
          <w:i/>
        </w:rPr>
      </w:pPr>
      <w:r>
        <w:rPr>
          <w:i/>
        </w:rPr>
        <w:t>The information contained in this section should be read in conjunction with (1) our unaudited condensed interim consolidated financial statements as of June 30, 2023 and for the six months then ended and related notes included in this report and (2) our audited consolidated financial statements and related notes included in our Annual Report on Form 20-F for the year ended December 31, 2022 and the other information contained in such annual report, particularly the information in Item 5 - “Operating and Financial Review and Prospects”. Our financial statements have been prepared in accordance with generally accepted accounting principles in the United States (“US GAAP”).</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Results of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The following table sets forth certain statement of operations data as a percentage of total revenues for the six months ended June 30, 2023 and 2022:</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 w:name="z5a188feb4a814eeda9eb73be39a53f62"/>
      <w:bookmarkStart w:id="19" w:name="z5a188feb4a814eeda9eb73be39a53f62"/>
      <w:bookmarkEnd w:id="19"/>
    </w:p>
    <w:tbl>
      <w:tblPr>
        <w:tblW w:w="7405" w:type="dxa"/>
        <w:jc w:val="left"/>
        <w:tblInd w:w="0" w:type="dxa"/>
        <w:tblLayout w:type="fixed"/>
        <w:tblCellMar>
          <w:top w:w="0" w:type="dxa"/>
          <w:left w:w="0" w:type="dxa"/>
          <w:bottom w:w="0" w:type="dxa"/>
          <w:right w:w="0" w:type="dxa"/>
        </w:tblCellMar>
      </w:tblPr>
      <w:tblGrid>
        <w:gridCol w:w="5855"/>
        <w:gridCol w:w="60"/>
        <w:gridCol w:w="60"/>
        <w:gridCol w:w="440"/>
        <w:gridCol w:w="215"/>
        <w:gridCol w:w="60"/>
        <w:gridCol w:w="60"/>
        <w:gridCol w:w="440"/>
        <w:gridCol w:w="215"/>
      </w:tblGrid>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Details</w:t>
            </w:r>
          </w:p>
        </w:tc>
        <w:tc>
          <w:tcPr>
            <w:tcW w:w="60" w:type="dxa"/>
            <w:tcBorders/>
            <w:shd w:fill="CCEEFF" w:val="clear"/>
            <w:vAlign w:val="bottom"/>
          </w:tcPr>
          <w:p>
            <w:pPr>
              <w:pStyle w:val="TableContents"/>
              <w:bidi w:val="0"/>
              <w:spacing w:before="0" w:after="283"/>
              <w:jc w:val="left"/>
              <w:rPr/>
            </w:pPr>
            <w:r>
              <w:rPr/>
              <w:t> </w:t>
            </w:r>
          </w:p>
        </w:tc>
        <w:tc>
          <w:tcPr>
            <w:tcW w:w="500" w:type="dxa"/>
            <w:gridSpan w:val="2"/>
            <w:tcBorders>
              <w:bottom w:val="single" w:sz="12" w:space="0" w:color="000000"/>
            </w:tcBorders>
            <w:shd w:fill="CCEEFF" w:val="clear"/>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gridSpan w:val="2"/>
            <w:tcBorders>
              <w:bottom w:val="single" w:sz="12" w:space="0" w:color="000000"/>
            </w:tcBorders>
            <w:shd w:fill="CCEEFF" w:val="clear"/>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2022</w:t>
            </w:r>
          </w:p>
        </w:tc>
        <w:tc>
          <w:tcPr>
            <w:tcW w:w="21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Revenues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100</w:t>
            </w:r>
          </w:p>
        </w:tc>
        <w:tc>
          <w:tcPr>
            <w:tcW w:w="21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100</w:t>
            </w:r>
          </w:p>
        </w:tc>
        <w:tc>
          <w:tcPr>
            <w:tcW w:w="21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74.4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74.4</w:t>
            </w:r>
          </w:p>
        </w:tc>
        <w:tc>
          <w:tcPr>
            <w:tcW w:w="21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Gross profit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25.6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25.6</w:t>
            </w:r>
          </w:p>
        </w:tc>
        <w:tc>
          <w:tcPr>
            <w:tcW w:w="21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Research and Development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4.8</w:t>
            </w:r>
          </w:p>
        </w:tc>
        <w:tc>
          <w:tcPr>
            <w:tcW w:w="21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Marketing, general and administrative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5.0</w:t>
            </w:r>
          </w:p>
        </w:tc>
        <w:tc>
          <w:tcPr>
            <w:tcW w:w="21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Restructuring gain from sale of machinery and equipment, net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(7.1</w:t>
            </w:r>
          </w:p>
        </w:tc>
        <w:tc>
          <w:tcPr>
            <w:tcW w:w="21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Restructuring expense</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w:t>
            </w:r>
          </w:p>
        </w:tc>
        <w:tc>
          <w:tcPr>
            <w:tcW w:w="21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Operating profit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19.6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15.8</w:t>
            </w:r>
          </w:p>
        </w:tc>
        <w:tc>
          <w:tcPr>
            <w:tcW w:w="21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Financing and other income (expense), net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w:t>
            </w:r>
          </w:p>
        </w:tc>
        <w:tc>
          <w:tcPr>
            <w:tcW w:w="21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Profit before income tax</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21.2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14.6</w:t>
            </w:r>
          </w:p>
        </w:tc>
        <w:tc>
          <w:tcPr>
            <w:tcW w:w="21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Income tax expense, net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(3.0</w:t>
            </w:r>
          </w:p>
        </w:tc>
        <w:tc>
          <w:tcPr>
            <w:tcW w:w="21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w:t>
            </w:r>
          </w:p>
        </w:tc>
        <w:tc>
          <w:tcPr>
            <w:tcW w:w="21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Net profit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18.2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13.4</w:t>
            </w:r>
          </w:p>
        </w:tc>
        <w:tc>
          <w:tcPr>
            <w:tcW w:w="21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Net income attributable to non-controlling interest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(1.0</w:t>
            </w:r>
          </w:p>
        </w:tc>
        <w:tc>
          <w:tcPr>
            <w:tcW w:w="21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(0.2</w:t>
            </w:r>
          </w:p>
        </w:tc>
        <w:tc>
          <w:tcPr>
            <w:tcW w:w="21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Net profit attributable to the company</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17.2</w:t>
            </w:r>
          </w:p>
        </w:tc>
        <w:tc>
          <w:tcPr>
            <w:tcW w:w="21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13.2</w:t>
            </w:r>
          </w:p>
        </w:tc>
        <w:tc>
          <w:tcPr>
            <w:tcW w:w="21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The following table sets forth certain statement of operations data for the six months ended June 30, 2023 and 2022 (dollars in thousands):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 w:name="z304857cf1a584c35bd7304a380c648d1"/>
      <w:bookmarkStart w:id="21" w:name="z304857cf1a584c35bd7304a380c648d1"/>
      <w:bookmarkEnd w:id="21"/>
    </w:p>
    <w:tbl>
      <w:tblPr>
        <w:tblW w:w="8045" w:type="dxa"/>
        <w:jc w:val="left"/>
        <w:tblInd w:w="0" w:type="dxa"/>
        <w:tblLayout w:type="fixed"/>
        <w:tblCellMar>
          <w:top w:w="0" w:type="dxa"/>
          <w:left w:w="0" w:type="dxa"/>
          <w:bottom w:w="0" w:type="dxa"/>
          <w:right w:w="0" w:type="dxa"/>
        </w:tblCellMar>
      </w:tblPr>
      <w:tblGrid>
        <w:gridCol w:w="5855"/>
        <w:gridCol w:w="60"/>
        <w:gridCol w:w="140"/>
        <w:gridCol w:w="800"/>
        <w:gridCol w:w="95"/>
        <w:gridCol w:w="60"/>
        <w:gridCol w:w="140"/>
        <w:gridCol w:w="800"/>
        <w:gridCol w:w="95"/>
      </w:tblGrid>
      <w:tr>
        <w:trPr/>
        <w:tc>
          <w:tcPr>
            <w:tcW w:w="5855" w:type="dxa"/>
            <w:tcBorders/>
            <w:vAlign w:val="bottom"/>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Details</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2022</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712,802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847,300</w:t>
            </w:r>
          </w:p>
        </w:tc>
        <w:tc>
          <w:tcPr>
            <w:tcW w:w="9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Cost of Revenues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530,568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630,229</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182,234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217,071</w:t>
            </w:r>
          </w:p>
        </w:tc>
        <w:tc>
          <w:tcPr>
            <w:tcW w:w="9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Research and Development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38,783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40,799</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Marketing, general and administrative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36,016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42,538</w:t>
            </w:r>
          </w:p>
        </w:tc>
        <w:tc>
          <w:tcPr>
            <w:tcW w:w="9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Restructuring gain from sale of machinery and equipment,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(50,282</w:t>
            </w:r>
          </w:p>
        </w:tc>
        <w:tc>
          <w:tcPr>
            <w:tcW w:w="9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Restructuring expense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17,776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Operating profit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139,941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133,734</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Financing and other income (expense),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10,921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(10,295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Profit before income tax</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150,862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123,439</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Income tax expense,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(20,788</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(9,492</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Net profit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130,074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113,947</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Net income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(7,482</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(1,837</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5855" w:type="dxa"/>
            <w:tcBorders/>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Net profit attributable to the company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122,592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112,110</w:t>
            </w:r>
          </w:p>
        </w:tc>
        <w:tc>
          <w:tcPr>
            <w:tcW w:w="95"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Six months ended June 30, 2023 compared to six months ended June 30, 2022</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Revenues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Revenues for the six months ended June 30, 2023 were $712.8 million, as compared to $847.3 million for the six months ended June 30, 2022. The $134.5 million revenue decrease is attributed mainly to a decrease in the quantity of products (CMOS silicon wafers) manufactured and shipped to our foundry customers from our factories during the six months ended June 30, 2023 as compared to the six months ended June 30, 2022, as well as  to the reorganization and restructuring of our Japan operations as executed during 2022, that included the cessation of operations of Arai factory in Japan, which resulted in no revenue from Arai factory for the six months ended June 30, 2023.</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Cost of Revenues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Cost of revenues for the six months ended June 30, 2023 amounted to $530.6 million as compared to $630.2 million for the six months ended June 30, 2022. The $99.6 million decrease in manufacturing cost is mainly due to the decreased quantity of wafers manufactured and shipped to our foundry customers from our factories as described above, which resulted in lower variable and other manufacturing cost, as well as having no cost associated with Arai factory in the six months ended June 30, 2023 due to the cessation of operations of Arai factory during 2022 as noted above.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Gross Profit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Gross profit for the six months ended June 30, 2023 amounted to $182.2 million as compared to $217.1 million for the six months ended June 30, 2022. The $34.9 million decrease in gross profit resulted from the $134.5 million revenue decrease, net of the $99.6 million decrease in cost of revenues, as described above.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Research and Development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Research and development expense for the six months ended June 30, 2023, amounted to $38.8 million, reflecting a decrease in cost of $2.0 million as compared to $40.8 million in the six months ended June 30, 2022.</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Marketing, General and Administrative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Marketing, general and administrative expense for the six months ended June 30, 2023 amounted to $36.0 million, a decrease of $6.5 million as compared to $42.5 million recorded in the six months ended June 30, 2022, both reflecting approximately 5% of revenues.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Restructuring gain from sale of machinery and equipment, net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Restructuring gain from sale of machinery and equipment, net for the six months ended June 30, 2023 amounted to $50.3 million, and resulted from the gain on sale of machinery and equipment to third parties following the reorganization and restructuring of our Japan operations executed during 2022, which included the cessation of operations of Arai factory as noted above.</w:t>
      </w:r>
    </w:p>
    <w:p>
      <w:pPr>
        <w:pStyle w:val="TextBody"/>
        <w:bidi w:val="0"/>
        <w:spacing w:lineRule="auto" w:line="300"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Restructuring expense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Restructuring expense for the six months ended June 30, 2023 amounted to $17.8 million, resulted from the reorganization and restructuring of our Japan operations executed during 2022, which included  the cessation of operations of Arai factory as noted above.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Operating Profit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Operating profit for the six months ended June 30, 2023 amounted to $139.9 million as compared to $133.7 million for the six months ended June 30, 2022. The $6.2 million increase in operating profit resulted mainly from the $50.3 million restructuring gain from sale of machinery and equipment, net of the $2.0 million decrease in research and development expense and the $6.5 million decrease in marketing, general and administrative expense, described above; offset by $34.9 million decrease in gross profit and by the $17.8 million restructuring costs described above.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Financing and other income (expense), net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Financing and other income (expense), net for the six months ended June 30, 2023 amounted to $10.9 million income as compared to $10.3 million expense for the six months ended June 30, 2022. The $21.2 million increase in financing and other income, net resulted mainly from higher interest gained from bank deposits, marketable securities and other financing income.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Income Tax Expense, net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Income tax expense, net for the six months ended June 30, 2023 amounted to $20.8 million as compared to $9.5 million income tax expense, net for the six months ended June 30, 2022. This $11.3 million increase in income tax expense, net is mainly a result of $27.4 million higher profit before tax for the six months ended June 30, 2023 as compared to the six months ended June 30, 2022 resulting mainly from the higher operating profit and higher financing and other income as described above.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Net Profit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Net profit for the six months ended June 30, 2023 amounted to $130.1 million as compared to a net profit of $113.9 million for the six months ended June 30, 2022. The increase in net profit in the amount of $16.2 million was mainly due to the increase in operating profit and the increase in financing and other income, net, offset by the increase in tax expense, net, as described above.</w:t>
      </w:r>
    </w:p>
    <w:p>
      <w:pPr>
        <w:pStyle w:val="TextBody"/>
        <w:bidi w:val="0"/>
        <w:spacing w:lineRule="auto" w:line="300"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Net Income Attributable to Non-Controlling Interest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Net income attributable to non-controlling interest for the six months ended June 30, 2023 amounted to $7.5 million as compared to $1.8 million for the six months ended June 30, 2022.</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Net Profit Attributable to the Company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Net profit attributable to the company for the six months ended June 30, 2023 amounted to $122.6 million as compared to $112.1 million for the six months ended June 30, 2022. The increase in net profit attributable to the company in the amount of $10.5 million was mainly due to the increase in the net profit of $16.2 million offset by the increase in net income attributable to non-controlling interest, of $5.7 million, as described above.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Impact of Currency Fluctuations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The Company currently operates in three different regions: The United States, Japan and Israel. In addition, the Company has initial activities in Italy related to the new fabrication facility that is being established by ST in Agrate, Italy. The functional currency of our entities in the United States, Israel and Italy is the US dollar (“USD”). The functional currency of our operations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 As the establishment of the facility in Italy progresses, the Company may be further exposed to the Euro exchange rate fluctuations in relation to the USD regarding any costs denominated in Euro.</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The USD cost of our operations in Israel is influenced by changes in the USD-to-NIS exchange rate, with respect to costs that are denominated in NIS. During the six months ended June 30, 2023, the USD appreciated against the NIS by 4.9%, as compared to 12.5% appreciation during the six months ended June 30, 2022.</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The fluctuation of the USD against the NIS may affect our results of operations as it relates to the entity in Israel. Appreciation of the NIS may have the effect of increasing the cost, in USD terms, of some of the purchases and labor costs that are denominated in NIS, which may lead to erosion of the profit margins. The Company uses foreign currency cylinder and forward transactions to hedge a portion of this currency exposure to be contained within a pre-defined fixed range.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The majority of TPSCo revenues are denominated in JPY and the majority of TPSCo expenses are in JPY, which limits the exposure to fluctuations of the USD/JPY exchange rate on TPSCo’s results of operations. In order to mitigate a portion of the net exposure to the USD/JPY exchange rate, the Company has engaged in cylinder hedging transactions to contain the currency’s fluctuation within a pre-defined, fixed range.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During the six months ended June 30, 2023, the USD appreciated against the JPY by 9.3%, as compared to 18.5% appreciation during the six months ended June 30, 2022. The net effect of USD appreciation against the JPY on TPSCo’s assets and liabilities denominated in JPY is presented in the Cumulative Translation Adjustment (“CTA”) as part of Other Comprehensive Income (“OCI”) in the balance sheet.</w:t>
      </w:r>
    </w:p>
    <w:p>
      <w:pPr>
        <w:pStyle w:val="TextBody"/>
        <w:bidi w:val="0"/>
        <w:spacing w:lineRule="auto" w:line="300"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t>Liquidity and Capital Resources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As of June 30, 2023, the Company had an aggregate amount of $318.2 million in cash and cash equivalents, as compared to $340.8 million as of December 31, 2022. The main cash activities during the six months ended June 30, 2023 were as follows: $148.2 million net cash provided by operating activities; $194.7 million invested in property and equipment, net; $66.9 million provided by investments in short-term deposits, marketable securities and other assets, net; and $37.0 million debt repaid, net.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t>Short-term and long-term debt presented in the balance sheet as of June 30, 2023 amounted to $41.3 million and $178.9 million, respectively, and included loans, operating leases and capital leases. On March 31, 2023, we repaid the Series G debentures in full (principal and interest) and have no outstanding debentures or bonds as of June 30, 2023.</w:t>
      </w:r>
    </w:p>
    <w:p>
      <w:pPr>
        <w:pStyle w:val="TextBody"/>
        <w:bidi w:val="0"/>
        <w:spacing w:lineRule="auto" w:line="300" w:before="0" w:after="0"/>
        <w:jc w:val="left"/>
        <w:rPr/>
      </w:pPr>
      <w:r>
        <w:rPr/>
        <w:t xml:space="preserve">  </w:t>
      </w:r>
    </w:p>
    <w:p>
      <w:pPr>
        <w:pStyle w:val="HorizontalLine"/>
        <w:bidi w:val="0"/>
        <w:spacing w:lineRule="auto" w:line="300"/>
        <w:jc w:val="left"/>
        <w:rPr/>
      </w:pPr>
      <w:r>
        <w:rPr/>
      </w:r>
    </w:p>
    <w:p>
      <w:pPr>
        <w:pStyle w:val="TextBody"/>
        <w:bidi w:val="0"/>
        <w:spacing w:lineRule="auto" w:line="300" w:before="0" w:after="0"/>
        <w:jc w:val="left"/>
        <w:rPr/>
      </w:pPr>
      <w:r>
        <w:rPr/>
      </w:r>
    </w:p>
    <w:p>
      <w:pPr>
        <w:pStyle w:val="TextBody"/>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4101</Words>
  <Characters>21932</Characters>
  <CharactersWithSpaces>27461</CharactersWithSpaces>
  <Paragraphs>3019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