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(Name of Issuer)</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Ordinary Shares, par value New Israeli Shekels 15.00 per share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(Title of Class of Securities)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M87915274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December 31, 2019</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9"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w:t>
      </w:r>
      <w:r>
        <w:rPr>
          <w:rFonts w:ascii="Arial" w:cs="Arial" w:eastAsia="Arial" w:hAnsi="Arial"/>
          <w:sz w:val="22"/>
          <w:szCs w:val="22"/>
          <w:i w:val="1"/>
          <w:iCs w:val="1"/>
          <w:color w:val="auto"/>
        </w:rPr>
        <w:t xml:space="preserve">Securities Exchange Act </w:t>
      </w:r>
      <w:r>
        <w:rPr>
          <w:rFonts w:ascii="Arial" w:cs="Arial" w:eastAsia="Arial" w:hAnsi="Arial"/>
          <w:sz w:val="22"/>
          <w:szCs w:val="22"/>
          <w:color w:val="auto"/>
        </w:rPr>
        <w:t>of 1934 (“Act”) or otherwise subject to the liabilities of that section of the Act but shall be subject to all</w:t>
      </w:r>
      <w:r>
        <w:rPr>
          <w:rFonts w:ascii="Arial" w:cs="Arial" w:eastAsia="Arial" w:hAnsi="Arial"/>
          <w:sz w:val="22"/>
          <w:szCs w:val="22"/>
          <w:i w:val="1"/>
          <w:iCs w:val="1"/>
          <w:color w:val="auto"/>
        </w:rPr>
        <w:t xml:space="preserve"> </w:t>
      </w:r>
      <w:r>
        <w:rPr>
          <w:rFonts w:ascii="Arial" w:cs="Arial" w:eastAsia="Arial" w:hAnsi="Arial"/>
          <w:sz w:val="22"/>
          <w:szCs w:val="22"/>
          <w:color w:val="auto"/>
        </w:rPr>
        <w:t>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2"/>
        </w:trPr>
        <w:tc>
          <w:tcPr>
            <w:tcW w:w="418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13G</w:t>
            </w: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2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48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48705"/>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4"/>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Itshak Sharon (Tshuva)</w:t>
      </w:r>
    </w:p>
    <w:p>
      <w:pPr>
        <w:spacing w:after="0" w:line="68" w:lineRule="exact"/>
        <w:rPr>
          <w:sz w:val="20"/>
          <w:szCs w:val="20"/>
          <w:color w:val="auto"/>
        </w:rPr>
      </w:pPr>
    </w:p>
    <w:p>
      <w:pPr>
        <w:ind w:left="1980" w:hanging="1056"/>
        <w:spacing w:after="0"/>
        <w:tabs>
          <w:tab w:leader="none" w:pos="1980" w:val="left"/>
        </w:tabs>
        <w:numPr>
          <w:ilvl w:val="0"/>
          <w:numId w:val="5"/>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8"/>
        <w:spacing w:after="0" w:line="207" w:lineRule="exact"/>
        <w:tabs>
          <w:tab w:leader="none" w:pos="23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2400" w:hanging="258"/>
        <w:spacing w:after="0" w:line="207" w:lineRule="exact"/>
        <w:tabs>
          <w:tab w:leader="none" w:pos="24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w w:val="96"/>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118"/>
              <w:spacing w:after="0" w:line="189" w:lineRule="exact"/>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7</w:t>
            </w: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118"/>
              <w:spacing w:after="0" w:line="170" w:lineRule="exact"/>
              <w:rPr>
                <w:sz w:val="20"/>
                <w:szCs w:val="20"/>
                <w:color w:val="auto"/>
              </w:rPr>
            </w:pPr>
            <w:r>
              <w:rPr>
                <w:rFonts w:ascii="Arial" w:cs="Arial" w:eastAsia="Arial" w:hAnsi="Arial"/>
                <w:sz w:val="18"/>
                <w:szCs w:val="18"/>
                <w:color w:val="auto"/>
                <w:w w:val="94"/>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0 (*)</w:t>
            </w:r>
          </w:p>
        </w:tc>
        <w:tc>
          <w:tcPr>
            <w:tcW w:w="7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920" w:type="dxa"/>
            <w:vAlign w:val="bottom"/>
            <w:tcBorders>
              <w:bottom w:val="single" w:sz="8" w:color="auto"/>
              <w:right w:val="single" w:sz="8" w:color="auto"/>
            </w:tcBorders>
          </w:tcPr>
          <w:p>
            <w:pPr>
              <w:spacing w:after="0"/>
              <w:rPr>
                <w:sz w:val="4"/>
                <w:szCs w:val="4"/>
                <w:color w:val="auto"/>
              </w:rPr>
            </w:pPr>
          </w:p>
        </w:tc>
        <w:tc>
          <w:tcPr>
            <w:tcW w:w="95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0% (*)</w:t>
            </w:r>
          </w:p>
        </w:tc>
        <w:tc>
          <w:tcPr>
            <w:tcW w:w="7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IN</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60" w:right="3920" w:hanging="5652"/>
        <w:spacing w:after="0" w:line="776" w:lineRule="auto"/>
        <w:tabs>
          <w:tab w:leader="none" w:pos="314"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beneficial ownership of the securities reported herein is described in Item 4(a).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2"/>
        </w:trPr>
        <w:tc>
          <w:tcPr>
            <w:tcW w:w="418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13G</w:t>
            </w: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3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48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6148705"/>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Delek Group Ltd.</w:t>
      </w:r>
    </w:p>
    <w:p>
      <w:pPr>
        <w:spacing w:after="0" w:line="68" w:lineRule="exact"/>
        <w:rPr>
          <w:sz w:val="20"/>
          <w:szCs w:val="20"/>
          <w:color w:val="auto"/>
        </w:rPr>
      </w:pPr>
    </w:p>
    <w:p>
      <w:pPr>
        <w:ind w:left="1980" w:hanging="1056"/>
        <w:spacing w:after="0"/>
        <w:tabs>
          <w:tab w:leader="none" w:pos="1980" w:val="left"/>
        </w:tabs>
        <w:numPr>
          <w:ilvl w:val="0"/>
          <w:numId w:val="8"/>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8"/>
        <w:spacing w:after="0" w:line="207" w:lineRule="exact"/>
        <w:tabs>
          <w:tab w:leader="none" w:pos="23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2400" w:hanging="258"/>
        <w:spacing w:after="0" w:line="207" w:lineRule="exact"/>
        <w:tabs>
          <w:tab w:leader="none" w:pos="24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w w:val="96"/>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118"/>
              <w:spacing w:after="0" w:line="189" w:lineRule="exact"/>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7</w:t>
            </w: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118"/>
              <w:spacing w:after="0" w:line="170" w:lineRule="exact"/>
              <w:rPr>
                <w:sz w:val="20"/>
                <w:szCs w:val="20"/>
                <w:color w:val="auto"/>
              </w:rPr>
            </w:pPr>
            <w:r>
              <w:rPr>
                <w:rFonts w:ascii="Arial" w:cs="Arial" w:eastAsia="Arial" w:hAnsi="Arial"/>
                <w:sz w:val="18"/>
                <w:szCs w:val="18"/>
                <w:color w:val="auto"/>
                <w:w w:val="94"/>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0 (*)</w:t>
            </w:r>
          </w:p>
        </w:tc>
        <w:tc>
          <w:tcPr>
            <w:tcW w:w="7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920" w:type="dxa"/>
            <w:vAlign w:val="bottom"/>
            <w:tcBorders>
              <w:bottom w:val="single" w:sz="8" w:color="auto"/>
              <w:right w:val="single" w:sz="8" w:color="auto"/>
            </w:tcBorders>
          </w:tcPr>
          <w:p>
            <w:pPr>
              <w:spacing w:after="0"/>
              <w:rPr>
                <w:sz w:val="4"/>
                <w:szCs w:val="4"/>
                <w:color w:val="auto"/>
              </w:rPr>
            </w:pPr>
          </w:p>
        </w:tc>
        <w:tc>
          <w:tcPr>
            <w:tcW w:w="95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0% (*)</w:t>
            </w:r>
          </w:p>
        </w:tc>
        <w:tc>
          <w:tcPr>
            <w:tcW w:w="7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60" w:right="3920" w:hanging="5652"/>
        <w:spacing w:after="0" w:line="520" w:lineRule="auto"/>
        <w:tabs>
          <w:tab w:leader="none" w:pos="31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beneficial ownership of the securities reported herein is described in Item 4(a).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2"/>
        </w:trPr>
        <w:tc>
          <w:tcPr>
            <w:tcW w:w="418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13G</w:t>
            </w: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4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06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106160"/>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10"/>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Phoenix Holdings Ltd.</w:t>
      </w:r>
    </w:p>
    <w:p>
      <w:pPr>
        <w:spacing w:after="0" w:line="68" w:lineRule="exact"/>
        <w:rPr>
          <w:sz w:val="20"/>
          <w:szCs w:val="20"/>
          <w:color w:val="auto"/>
        </w:rPr>
      </w:pPr>
    </w:p>
    <w:p>
      <w:pPr>
        <w:ind w:left="1980" w:hanging="1056"/>
        <w:spacing w:after="0"/>
        <w:tabs>
          <w:tab w:leader="none" w:pos="1980" w:val="left"/>
        </w:tabs>
        <w:numPr>
          <w:ilvl w:val="0"/>
          <w:numId w:val="11"/>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8"/>
        <w:spacing w:after="0" w:line="207" w:lineRule="exact"/>
        <w:tabs>
          <w:tab w:leader="none" w:pos="23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2400" w:hanging="258"/>
        <w:spacing w:after="0" w:line="207" w:lineRule="exact"/>
        <w:tabs>
          <w:tab w:leader="none" w:pos="240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w w:val="96"/>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7,817,059.11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118"/>
              <w:spacing w:after="0" w:line="189" w:lineRule="exact"/>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7</w:t>
            </w: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118"/>
              <w:spacing w:after="0" w:line="170" w:lineRule="exact"/>
              <w:rPr>
                <w:sz w:val="20"/>
                <w:szCs w:val="20"/>
                <w:color w:val="auto"/>
              </w:rPr>
            </w:pPr>
            <w:r>
              <w:rPr>
                <w:rFonts w:ascii="Arial" w:cs="Arial" w:eastAsia="Arial" w:hAnsi="Arial"/>
                <w:sz w:val="18"/>
                <w:szCs w:val="18"/>
                <w:color w:val="auto"/>
                <w:w w:val="94"/>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7,817,059.11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7,817,059.11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920" w:type="dxa"/>
            <w:vAlign w:val="bottom"/>
            <w:tcBorders>
              <w:bottom w:val="single" w:sz="8" w:color="auto"/>
              <w:right w:val="single" w:sz="8" w:color="auto"/>
            </w:tcBorders>
          </w:tcPr>
          <w:p>
            <w:pPr>
              <w:spacing w:after="0"/>
              <w:rPr>
                <w:sz w:val="4"/>
                <w:szCs w:val="4"/>
                <w:color w:val="auto"/>
              </w:rPr>
            </w:pPr>
          </w:p>
        </w:tc>
        <w:tc>
          <w:tcPr>
            <w:tcW w:w="95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7.35%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880" w:firstLine="8"/>
        <w:spacing w:after="0" w:line="593" w:lineRule="auto"/>
        <w:tabs>
          <w:tab w:leader="none" w:pos="306"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This amount of Ordinary Shares includes 7,300 stock options exercisable into Ordinary Shares. (**) The beneficial ownership of the securities reported herein is described in Item 4(a).</w:t>
      </w:r>
    </w:p>
    <w:p>
      <w:pPr>
        <w:spacing w:after="0" w:line="1" w:lineRule="exact"/>
        <w:rPr>
          <w:sz w:val="20"/>
          <w:szCs w:val="20"/>
          <w:color w:val="auto"/>
        </w:rPr>
      </w:pPr>
    </w:p>
    <w:p>
      <w:pPr>
        <w:ind w:right="240" w:firstLine="8"/>
        <w:spacing w:after="0" w:line="276" w:lineRule="auto"/>
        <w:tabs>
          <w:tab w:leader="none" w:pos="522" w:val="left"/>
        </w:tabs>
        <w:numPr>
          <w:ilvl w:val="0"/>
          <w:numId w:val="13"/>
        </w:numPr>
        <w:rPr>
          <w:rFonts w:ascii="Arial" w:cs="Arial" w:eastAsia="Arial" w:hAnsi="Arial"/>
          <w:sz w:val="22"/>
          <w:szCs w:val="22"/>
          <w:color w:val="auto"/>
        </w:rPr>
      </w:pPr>
      <w:r>
        <w:rPr>
          <w:rFonts w:ascii="Arial" w:cs="Arial" w:eastAsia="Arial" w:hAnsi="Arial"/>
          <w:sz w:val="22"/>
          <w:szCs w:val="22"/>
          <w:color w:val="auto"/>
        </w:rPr>
        <w:t>Based on 106,291,039 Ordinary Shares outstanding as of May 1, 2019 (as reported by the Issuer in Form 6-K filed with the Securities and Exchange Commission on May 6, 2019).</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tabs>
          <w:tab w:leader="none" w:pos="1900" w:val="left"/>
        </w:tabs>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Tower Semiconductor Ltd.</w:t>
      </w:r>
    </w:p>
    <w:p>
      <w:pPr>
        <w:spacing w:after="0" w:line="240" w:lineRule="exact"/>
        <w:rPr>
          <w:sz w:val="20"/>
          <w:szCs w:val="20"/>
          <w:color w:val="auto"/>
        </w:rPr>
      </w:pPr>
    </w:p>
    <w:p>
      <w:pPr>
        <w:ind w:left="1460" w:hanging="86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Ramat Gavriel Industrial Park, P.O. Box 619, Migdal Haemek 2310502, Israel</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56" w:lineRule="exact"/>
        <w:rPr>
          <w:sz w:val="20"/>
          <w:szCs w:val="20"/>
          <w:color w:val="auto"/>
        </w:rPr>
      </w:pPr>
    </w:p>
    <w:p>
      <w:pPr>
        <w:ind w:left="1640" w:hanging="182"/>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Itshak Sharon (Tshuva)</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Delek Group Ltd.</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Phoenix Holdings Ltd.</w:t>
      </w:r>
    </w:p>
    <w:p>
      <w:pPr>
        <w:spacing w:after="0" w:line="259" w:lineRule="exact"/>
        <w:rPr>
          <w:sz w:val="20"/>
          <w:szCs w:val="20"/>
          <w:color w:val="auto"/>
        </w:rPr>
      </w:pPr>
    </w:p>
    <w:p>
      <w:pPr>
        <w:jc w:val="both"/>
        <w:ind w:left="1420"/>
        <w:spacing w:after="0" w:line="312" w:lineRule="auto"/>
        <w:rPr>
          <w:sz w:val="20"/>
          <w:szCs w:val="20"/>
          <w:color w:val="auto"/>
        </w:rPr>
      </w:pPr>
      <w:r>
        <w:rPr>
          <w:rFonts w:ascii="Arial" w:cs="Arial" w:eastAsia="Arial" w:hAnsi="Arial"/>
          <w:sz w:val="19"/>
          <w:szCs w:val="19"/>
          <w:color w:val="auto"/>
        </w:rPr>
        <w:t>The securities reported herein are beneficially owned by various direct or indirect, majority or wholly-owned subsidiaries of the Phoenix Holdings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20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As of November 3, 2019, the Phoenix Holdings Ltd. is no longer controlled by Delek Group Ltd.</w:t>
      </w:r>
    </w:p>
    <w:p>
      <w:pPr>
        <w:spacing w:after="0" w:line="254" w:lineRule="exact"/>
        <w:rPr>
          <w:sz w:val="20"/>
          <w:szCs w:val="20"/>
          <w:color w:val="auto"/>
        </w:rPr>
      </w:pPr>
    </w:p>
    <w:p>
      <w:pPr>
        <w:ind w:left="1480" w:hanging="648"/>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45" w:lineRule="exact"/>
        <w:rPr>
          <w:sz w:val="20"/>
          <w:szCs w:val="20"/>
          <w:color w:val="auto"/>
        </w:rPr>
      </w:pPr>
    </w:p>
    <w:p>
      <w:pPr>
        <w:ind w:left="1460"/>
        <w:spacing w:after="0" w:line="251" w:lineRule="auto"/>
        <w:rPr>
          <w:sz w:val="20"/>
          <w:szCs w:val="20"/>
          <w:color w:val="auto"/>
        </w:rPr>
      </w:pPr>
      <w:r>
        <w:rPr>
          <w:rFonts w:ascii="Arial" w:cs="Arial" w:eastAsia="Arial" w:hAnsi="Arial"/>
          <w:sz w:val="22"/>
          <w:szCs w:val="22"/>
          <w:color w:val="auto"/>
        </w:rPr>
        <w:t>The address of Itshak Sharon (Tshuva) and Delek Group Ltd. is 19 Abba Eban blvd, P.O.B. 2054, Herzliya, 4612001, Israel.</w:t>
      </w:r>
    </w:p>
    <w:p>
      <w:pPr>
        <w:spacing w:after="0" w:line="200"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The address of the Phoenix Holdings Ltd. is Derech Hashalom 53, Givataim, 53454, Israel.</w:t>
      </w:r>
    </w:p>
    <w:p>
      <w:pPr>
        <w:spacing w:after="0" w:line="240" w:lineRule="exact"/>
        <w:rPr>
          <w:sz w:val="20"/>
          <w:szCs w:val="20"/>
          <w:color w:val="auto"/>
        </w:rPr>
      </w:pPr>
    </w:p>
    <w:p>
      <w:pPr>
        <w:ind w:left="1480" w:hanging="648"/>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Itshak Sharon (Tshuva) - Israel</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Delek Group Ltd. - Israel</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Phoenix Holdings Ltd. - Israel</w:t>
      </w:r>
    </w:p>
    <w:p>
      <w:pPr>
        <w:spacing w:after="0" w:line="252" w:lineRule="exact"/>
        <w:rPr>
          <w:rFonts w:ascii="Arial" w:cs="Arial" w:eastAsia="Arial" w:hAnsi="Arial"/>
          <w:sz w:val="18"/>
          <w:szCs w:val="18"/>
          <w:color w:val="auto"/>
        </w:rPr>
      </w:pPr>
    </w:p>
    <w:p>
      <w:pPr>
        <w:ind w:left="1480" w:hanging="648"/>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80" w:hanging="648"/>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M87915274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w w:val="90"/>
              </w:rPr>
              <w:t>Not applicable.</w:t>
            </w:r>
          </w:p>
        </w:tc>
      </w:tr>
      <w:tr>
        <w:trPr>
          <w:trHeight w:val="419"/>
        </w:trPr>
        <w:tc>
          <w:tcPr>
            <w:tcW w:w="1460" w:type="dxa"/>
            <w:vAlign w:val="bottom"/>
          </w:tcPr>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rPr>
              <w:t>Ownership:</w:t>
            </w:r>
          </w:p>
        </w:tc>
      </w:tr>
      <w:tr>
        <w:trPr>
          <w:trHeight w:val="20"/>
        </w:trPr>
        <w:tc>
          <w:tcPr>
            <w:tcW w:w="1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20" w:hanging="656"/>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9 of cover page of each reporting person.</w:t>
      </w:r>
    </w:p>
    <w:p>
      <w:pPr>
        <w:spacing w:after="0" w:line="252" w:lineRule="exact"/>
        <w:rPr>
          <w:rFonts w:ascii="Arial" w:cs="Arial" w:eastAsia="Arial" w:hAnsi="Arial"/>
          <w:sz w:val="18"/>
          <w:szCs w:val="18"/>
          <w:color w:val="auto"/>
        </w:rPr>
      </w:pPr>
    </w:p>
    <w:p>
      <w:pPr>
        <w:jc w:val="both"/>
        <w:ind w:left="1420"/>
        <w:spacing w:after="0" w:line="291" w:lineRule="auto"/>
        <w:rPr>
          <w:rFonts w:ascii="Arial" w:cs="Arial" w:eastAsia="Arial" w:hAnsi="Arial"/>
          <w:sz w:val="18"/>
          <w:szCs w:val="18"/>
          <w:color w:val="auto"/>
        </w:rPr>
      </w:pPr>
      <w:r>
        <w:rPr>
          <w:rFonts w:ascii="Arial" w:cs="Arial" w:eastAsia="Arial" w:hAnsi="Arial"/>
          <w:sz w:val="16"/>
          <w:szCs w:val="16"/>
          <w:color w:val="auto"/>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and each of Filing Persons and Subsidiaries disclaims beneficial ownership of any such Ordinary Shares.</w:t>
      </w:r>
    </w:p>
    <w:p>
      <w:pPr>
        <w:spacing w:after="0" w:line="200"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As of December 31, 2019, the securities reported herein were held as follows: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Excellence "nostro"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651764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Excellence provident funds</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Excellence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651764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Excellence ETF's</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Phoenix "nostro"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651764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Phoenix pension</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Linked insurance policies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651764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Partnership for Israeli shares (1)</w:t>
      </w:r>
    </w:p>
    <w:p>
      <w:pPr>
        <w:spacing w:after="0" w:line="3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Partnership for investing in shares indexes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-107315</wp:posOffset>
            </wp:positionV>
            <wp:extent cx="651764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3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Partnership for international shares (1)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left="-859"/>
        <w:spacing w:after="0"/>
        <w:rPr>
          <w:sz w:val="20"/>
          <w:szCs w:val="20"/>
          <w:color w:val="auto"/>
        </w:rPr>
      </w:pPr>
      <w:r>
        <w:rPr>
          <w:rFonts w:ascii="Arial" w:cs="Arial" w:eastAsia="Arial" w:hAnsi="Arial"/>
          <w:sz w:val="18"/>
          <w:szCs w:val="18"/>
          <w:b w:val="1"/>
          <w:bCs w:val="1"/>
          <w:color w:val="auto"/>
        </w:rPr>
        <w:t>Percentage</w:t>
      </w:r>
    </w:p>
    <w:p>
      <w:pPr>
        <w:spacing w:after="0" w:line="27" w:lineRule="exact"/>
        <w:rPr>
          <w:sz w:val="20"/>
          <w:szCs w:val="20"/>
          <w:color w:val="auto"/>
        </w:rPr>
      </w:pPr>
    </w:p>
    <w:p>
      <w:pPr>
        <w:jc w:val="center"/>
        <w:ind w:left="-859"/>
        <w:spacing w:after="0"/>
        <w:rPr>
          <w:sz w:val="20"/>
          <w:szCs w:val="20"/>
          <w:color w:val="auto"/>
        </w:rPr>
      </w:pPr>
      <w:r>
        <w:rPr>
          <w:rFonts w:ascii="Arial" w:cs="Arial" w:eastAsia="Arial" w:hAnsi="Arial"/>
          <w:sz w:val="18"/>
          <w:szCs w:val="18"/>
          <w:b w:val="1"/>
          <w:bCs w:val="1"/>
          <w:color w:val="auto"/>
        </w:rPr>
        <w:t>of total</w:t>
      </w:r>
    </w:p>
    <w:p>
      <w:pPr>
        <w:spacing w:after="0" w:line="9" w:lineRule="exact"/>
        <w:rPr>
          <w:sz w:val="20"/>
          <w:szCs w:val="20"/>
          <w:color w:val="auto"/>
        </w:rPr>
      </w:pPr>
    </w:p>
    <w:p>
      <w:pPr>
        <w:jc w:val="center"/>
        <w:ind w:left="-859"/>
        <w:spacing w:after="0"/>
        <w:rPr>
          <w:sz w:val="20"/>
          <w:szCs w:val="20"/>
          <w:color w:val="auto"/>
        </w:rPr>
      </w:pPr>
      <w:r>
        <w:rPr>
          <w:rFonts w:ascii="Arial" w:cs="Arial" w:eastAsia="Arial" w:hAnsi="Arial"/>
          <w:sz w:val="18"/>
          <w:szCs w:val="18"/>
          <w:b w:val="1"/>
          <w:bCs w:val="1"/>
          <w:color w:val="auto"/>
        </w:rPr>
        <w:t>Ordinary</w:t>
      </w:r>
    </w:p>
    <w:p>
      <w:pPr>
        <w:spacing w:after="0" w:line="9" w:lineRule="exact"/>
        <w:rPr>
          <w:sz w:val="20"/>
          <w:szCs w:val="20"/>
          <w:color w:val="auto"/>
        </w:rPr>
      </w:pPr>
    </w:p>
    <w:p>
      <w:pPr>
        <w:ind w:left="60"/>
        <w:spacing w:after="0"/>
        <w:tabs>
          <w:tab w:leader="none" w:pos="1500" w:val="left"/>
        </w:tabs>
        <w:rPr>
          <w:sz w:val="20"/>
          <w:szCs w:val="20"/>
          <w:color w:val="auto"/>
        </w:rPr>
      </w:pPr>
      <w:r>
        <w:rPr>
          <w:rFonts w:ascii="Arial" w:cs="Arial" w:eastAsia="Arial" w:hAnsi="Arial"/>
          <w:sz w:val="18"/>
          <w:szCs w:val="18"/>
          <w:b w:val="1"/>
          <w:bCs w:val="1"/>
          <w:color w:val="auto"/>
        </w:rPr>
        <w:t>Ordinary</w:t>
      </w:r>
      <w:r>
        <w:rPr>
          <w:sz w:val="20"/>
          <w:szCs w:val="20"/>
          <w:color w:val="auto"/>
        </w:rPr>
        <w:tab/>
      </w:r>
      <w:r>
        <w:rPr>
          <w:rFonts w:ascii="Arial" w:cs="Arial" w:eastAsia="Arial" w:hAnsi="Arial"/>
          <w:sz w:val="18"/>
          <w:szCs w:val="18"/>
          <w:b w:val="1"/>
          <w:bCs w:val="1"/>
          <w:color w:val="auto"/>
        </w:rPr>
        <w:t>Shares</w:t>
      </w:r>
    </w:p>
    <w:p>
      <w:pPr>
        <w:spacing w:after="0" w:line="9" w:lineRule="exact"/>
        <w:rPr>
          <w:sz w:val="20"/>
          <w:szCs w:val="20"/>
          <w:color w:val="auto"/>
        </w:rPr>
      </w:pPr>
    </w:p>
    <w:p>
      <w:pPr>
        <w:ind w:left="180"/>
        <w:spacing w:after="0"/>
        <w:tabs>
          <w:tab w:leader="none" w:pos="130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u w:val="single" w:color="auto"/>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5715</wp:posOffset>
            </wp:positionV>
            <wp:extent cx="6604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15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57"/>
        </w:trPr>
        <w:tc>
          <w:tcPr>
            <w:tcW w:w="1560" w:type="dxa"/>
            <w:vAlign w:val="bottom"/>
          </w:tcPr>
          <w:p>
            <w:pPr>
              <w:jc w:val="right"/>
              <w:ind w:right="510"/>
              <w:spacing w:after="0"/>
              <w:rPr>
                <w:sz w:val="20"/>
                <w:szCs w:val="20"/>
                <w:color w:val="auto"/>
              </w:rPr>
            </w:pPr>
            <w:r>
              <w:rPr>
                <w:rFonts w:ascii="Arial" w:cs="Arial" w:eastAsia="Arial" w:hAnsi="Arial"/>
                <w:sz w:val="18"/>
                <w:szCs w:val="18"/>
                <w:color w:val="auto"/>
                <w:w w:val="89"/>
              </w:rPr>
              <w:t>1,643,746.36</w:t>
            </w: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15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57"/>
        </w:trPr>
        <w:tc>
          <w:tcPr>
            <w:tcW w:w="1560" w:type="dxa"/>
            <w:vAlign w:val="bottom"/>
          </w:tcPr>
          <w:p>
            <w:pPr>
              <w:jc w:val="right"/>
              <w:ind w:right="310"/>
              <w:spacing w:after="0"/>
              <w:rPr>
                <w:sz w:val="20"/>
                <w:szCs w:val="20"/>
                <w:color w:val="auto"/>
              </w:rPr>
            </w:pPr>
            <w:r>
              <w:rPr>
                <w:rFonts w:ascii="Arial" w:cs="Arial" w:eastAsia="Arial" w:hAnsi="Arial"/>
                <w:sz w:val="18"/>
                <w:szCs w:val="18"/>
                <w:color w:val="auto"/>
              </w:rPr>
              <w:t>638,513(2)</w:t>
            </w:r>
          </w:p>
        </w:tc>
        <w:tc>
          <w:tcPr>
            <w:tcW w:w="86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29"/>
        </w:trPr>
        <w:tc>
          <w:tcPr>
            <w:tcW w:w="15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1560" w:type="dxa"/>
            <w:vAlign w:val="bottom"/>
          </w:tcPr>
          <w:p>
            <w:pPr>
              <w:jc w:val="right"/>
              <w:ind w:right="510"/>
              <w:spacing w:after="0"/>
              <w:rPr>
                <w:sz w:val="20"/>
                <w:szCs w:val="20"/>
                <w:color w:val="auto"/>
              </w:rPr>
            </w:pPr>
            <w:r>
              <w:rPr>
                <w:rFonts w:ascii="Arial" w:cs="Arial" w:eastAsia="Arial" w:hAnsi="Arial"/>
                <w:sz w:val="18"/>
                <w:szCs w:val="18"/>
                <w:color w:val="auto"/>
              </w:rPr>
              <w:t>34,616.71</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43"/>
        </w:trPr>
        <w:tc>
          <w:tcPr>
            <w:tcW w:w="1560" w:type="dxa"/>
            <w:vAlign w:val="bottom"/>
          </w:tcPr>
          <w:p>
            <w:pPr>
              <w:jc w:val="right"/>
              <w:ind w:right="310"/>
              <w:spacing w:after="0"/>
              <w:rPr>
                <w:sz w:val="20"/>
                <w:szCs w:val="20"/>
                <w:color w:val="auto"/>
              </w:rPr>
            </w:pPr>
            <w:r>
              <w:rPr>
                <w:rFonts w:ascii="Arial" w:cs="Arial" w:eastAsia="Arial" w:hAnsi="Arial"/>
                <w:sz w:val="18"/>
                <w:szCs w:val="18"/>
                <w:color w:val="auto"/>
                <w:w w:val="89"/>
              </w:rPr>
              <w:t>4,900,591.54(3)</w:t>
            </w:r>
          </w:p>
        </w:tc>
        <w:tc>
          <w:tcPr>
            <w:tcW w:w="86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57"/>
        </w:trPr>
        <w:tc>
          <w:tcPr>
            <w:tcW w:w="1560" w:type="dxa"/>
            <w:vAlign w:val="bottom"/>
          </w:tcPr>
          <w:p>
            <w:pPr>
              <w:jc w:val="right"/>
              <w:ind w:right="510"/>
              <w:spacing w:after="0"/>
              <w:rPr>
                <w:sz w:val="20"/>
                <w:szCs w:val="20"/>
                <w:color w:val="auto"/>
              </w:rPr>
            </w:pPr>
            <w:r>
              <w:rPr>
                <w:rFonts w:ascii="Arial" w:cs="Arial" w:eastAsia="Arial" w:hAnsi="Arial"/>
                <w:sz w:val="18"/>
                <w:szCs w:val="18"/>
                <w:color w:val="auto"/>
              </w:rPr>
              <w:t>599,591.50</w:t>
            </w:r>
          </w:p>
        </w:tc>
        <w:tc>
          <w:tcPr>
            <w:tcW w:w="86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43"/>
        </w:trPr>
        <w:tc>
          <w:tcPr>
            <w:tcW w:w="15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8260" w:space="720"/>
            <w:col w:w="2440"/>
          </w:cols>
          <w:pgMar w:left="240" w:top="364" w:right="239" w:bottom="1440" w:gutter="0" w:footer="0" w:header="0"/>
          <w:type w:val="continuous"/>
        </w:sectPr>
      </w:pPr>
    </w:p>
    <w:p>
      <w:pPr>
        <w:spacing w:after="0" w:line="29" w:lineRule="exact"/>
        <w:rPr>
          <w:sz w:val="20"/>
          <w:szCs w:val="20"/>
          <w:color w:val="auto"/>
        </w:rPr>
      </w:pPr>
    </w:p>
    <w:p>
      <w:pPr>
        <w:ind w:left="1740" w:right="20" w:hanging="341"/>
        <w:spacing w:after="0" w:line="274" w:lineRule="auto"/>
        <w:tabs>
          <w:tab w:leader="none" w:pos="17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ownership rights in this partnership belong to companies that are part of Phoenix Group. The amount of ownership rights held by such companies in the partnership changes frequently according to a mechanism provided in the partnership agreement.</w:t>
      </w:r>
    </w:p>
    <w:p>
      <w:pPr>
        <w:ind w:left="1740" w:hanging="341"/>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amount of Ordinary Shares includes 600 stock options exercisable into Ordinary Shares.</w:t>
      </w:r>
    </w:p>
    <w:p>
      <w:pPr>
        <w:spacing w:after="0" w:line="9" w:lineRule="exact"/>
        <w:rPr>
          <w:rFonts w:ascii="Arial" w:cs="Arial" w:eastAsia="Arial" w:hAnsi="Arial"/>
          <w:sz w:val="18"/>
          <w:szCs w:val="18"/>
          <w:color w:val="auto"/>
        </w:rPr>
      </w:pPr>
    </w:p>
    <w:p>
      <w:pPr>
        <w:ind w:left="1740" w:hanging="341"/>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amount of Ordinary Shares includes 6,700 stock options exercisable into Ordinary Shares.</w:t>
      </w:r>
    </w:p>
    <w:p>
      <w:pPr>
        <w:spacing w:after="0" w:line="237" w:lineRule="exact"/>
        <w:rPr>
          <w:rFonts w:ascii="Arial" w:cs="Arial" w:eastAsia="Arial" w:hAnsi="Arial"/>
          <w:sz w:val="18"/>
          <w:szCs w:val="18"/>
          <w:color w:val="auto"/>
        </w:rPr>
      </w:pPr>
    </w:p>
    <w:p>
      <w:pPr>
        <w:ind w:left="1420" w:hanging="656"/>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11 of cover page of each reporting person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6" w:name="page7"/>
    <w:bookmarkEnd w:id="6"/>
    <w:p>
      <w:pPr>
        <w:ind w:left="1420" w:hanging="656"/>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180" w:hanging="646"/>
        <w:spacing w:after="0"/>
        <w:tabs>
          <w:tab w:leader="none" w:pos="2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row 5 of cover page of each reporting person</w:t>
      </w:r>
    </w:p>
    <w:p>
      <w:pPr>
        <w:spacing w:after="0" w:line="252" w:lineRule="exact"/>
        <w:rPr>
          <w:rFonts w:ascii="Arial" w:cs="Arial" w:eastAsia="Arial" w:hAnsi="Arial"/>
          <w:sz w:val="18"/>
          <w:szCs w:val="18"/>
          <w:color w:val="auto"/>
        </w:rPr>
      </w:pPr>
    </w:p>
    <w:p>
      <w:pPr>
        <w:ind w:left="2180" w:hanging="646"/>
        <w:spacing w:after="0"/>
        <w:tabs>
          <w:tab w:leader="none" w:pos="2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row 6 of cover page of each reporting person and note in Item 4(a) above</w:t>
      </w:r>
    </w:p>
    <w:p>
      <w:pPr>
        <w:spacing w:after="0" w:line="23" w:lineRule="exact"/>
        <w:rPr>
          <w:rFonts w:ascii="Arial" w:cs="Arial" w:eastAsia="Arial" w:hAnsi="Arial"/>
          <w:sz w:val="18"/>
          <w:szCs w:val="18"/>
          <w:color w:val="auto"/>
        </w:rPr>
      </w:pPr>
    </w:p>
    <w:p>
      <w:pPr>
        <w:ind w:left="2180" w:right="5480" w:hanging="646"/>
        <w:spacing w:after="0" w:line="572" w:lineRule="auto"/>
        <w:tabs>
          <w:tab w:leader="none" w:pos="21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of each reporting person</w:t>
      </w:r>
    </w:p>
    <w:p>
      <w:pPr>
        <w:ind w:left="2180" w:hanging="646"/>
        <w:spacing w:after="0"/>
        <w:tabs>
          <w:tab w:leader="none" w:pos="2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row 8 of cover page of each reporting person and note in Item 4(a) above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63" w:lineRule="exact"/>
        <w:rPr>
          <w:sz w:val="20"/>
          <w:szCs w:val="20"/>
          <w:color w:val="auto"/>
        </w:rPr>
      </w:pPr>
    </w:p>
    <w:p>
      <w:pPr>
        <w:ind w:left="1460"/>
        <w:spacing w:after="0" w:line="284"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243" w:lineRule="exact"/>
        <w:rPr>
          <w:sz w:val="20"/>
          <w:szCs w:val="20"/>
          <w:color w:val="auto"/>
        </w:rPr>
      </w:pPr>
    </w:p>
    <w:p>
      <w:pPr>
        <w:ind w:left="1460" w:right="20"/>
        <w:spacing w:after="0" w:line="276" w:lineRule="auto"/>
        <w:rPr>
          <w:sz w:val="20"/>
          <w:szCs w:val="20"/>
          <w:color w:val="auto"/>
        </w:rPr>
      </w:pPr>
      <w:r>
        <w:rPr>
          <w:rFonts w:ascii="Arial" w:cs="Arial" w:eastAsia="Arial" w:hAnsi="Arial"/>
          <w:sz w:val="22"/>
          <w:szCs w:val="22"/>
          <w:color w:val="auto"/>
        </w:rPr>
        <w:t>As of November 3, 2019, Delek Group Ltd. and Itshak Sharon (Tshuva) have ceased to be beneficial owners of more than 5 percent of the class of securities (for more information see Item 2 above).</w:t>
      </w:r>
    </w:p>
    <w:p>
      <w:pPr>
        <w:spacing w:after="0" w:line="19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31"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tabs>
          <w:tab w:leader="none" w:pos="14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February 18, 2020</w:t>
      </w:r>
    </w:p>
    <w:p>
      <w:pPr>
        <w:spacing w:after="0" w:line="200" w:lineRule="exact"/>
        <w:rPr>
          <w:sz w:val="20"/>
          <w:szCs w:val="20"/>
          <w:color w:val="auto"/>
        </w:rPr>
      </w:pPr>
    </w:p>
    <w:p>
      <w:pPr>
        <w:spacing w:after="0" w:line="34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Itshak Sharon (Tshuva)</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Itshak Sharon (Tshuva)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Itshak Sharon (Tshuva)</w:t>
      </w:r>
    </w:p>
    <w:p>
      <w:pPr>
        <w:spacing w:after="0" w:line="23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Delek Group Ltd.</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Leora Pratt Levin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Leora Pratt Levin*</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V.P. Legal Affairs</w:t>
      </w:r>
    </w:p>
    <w:p>
      <w:pPr>
        <w:spacing w:after="0" w:line="238"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Gabi Last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Gabi Last*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Chairman</w:t>
      </w:r>
    </w:p>
    <w:p>
      <w:pPr>
        <w:spacing w:after="0" w:line="23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The Phoenix Holdings Ltd.</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Eli Schwartz</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Eli Schwartz**</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Executive Vice President - Chief Financial Officer</w:t>
      </w:r>
    </w:p>
    <w:p>
      <w:pPr>
        <w:spacing w:after="0" w:line="238"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Menachem Neeman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Menachem Neeman**</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Executive Vice President - Chief Legal Counsel and Corporate Secretary</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 Signature duly authorized by resolution of the Board of Directors, notice of which is attached as Exhibit 2 to this Schedule 13G.</w:t>
      </w:r>
    </w:p>
    <w:p>
      <w:pPr>
        <w:spacing w:after="0" w:line="268"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Signature duly authorized by resolution of the Board of Directors, notice of which is attached as Exhibit 3 to this Schedule 13G.</w:t>
      </w:r>
    </w:p>
    <w:p>
      <w:pPr>
        <w:spacing w:after="0" w:line="42" w:lineRule="exact"/>
        <w:rPr>
          <w:rFonts w:ascii="Arial" w:cs="Arial" w:eastAsia="Arial" w:hAnsi="Arial"/>
          <w:sz w:val="19"/>
          <w:szCs w:val="19"/>
          <w:color w:val="auto"/>
        </w:rPr>
      </w:pPr>
    </w:p>
    <w:p>
      <w:pPr>
        <w:ind w:left="5660"/>
        <w:spacing w:after="0"/>
        <w:rPr>
          <w:rFonts w:ascii="Arial" w:cs="Arial" w:eastAsia="Arial" w:hAnsi="Arial"/>
          <w:sz w:val="19"/>
          <w:szCs w:val="19"/>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9" w:name="page10"/>
    <w:bookmarkEnd w:id="9"/>
    <w:p>
      <w:pPr>
        <w:spacing w:after="0"/>
        <w:tabs>
          <w:tab w:leader="none" w:pos="11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11" w:lineRule="exact"/>
        <w:rPr>
          <w:sz w:val="20"/>
          <w:szCs w:val="20"/>
          <w:color w:val="auto"/>
        </w:rPr>
      </w:pPr>
    </w:p>
    <w:p>
      <w:pPr>
        <w:ind w:left="1120" w:hanging="1120"/>
        <w:spacing w:after="0" w:line="277" w:lineRule="auto"/>
        <w:tabs>
          <w:tab w:leader="none" w:pos="11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Agreement of Joint Filing by and among the Reporting Persons, dated as of August 22, 2017 (included herein by reference to Exhibit 1 to the Schedule 13G filed on August 23, 2017).</w:t>
      </w:r>
    </w:p>
    <w:p>
      <w:pPr>
        <w:spacing w:after="0" w:line="170" w:lineRule="exact"/>
        <w:rPr>
          <w:sz w:val="20"/>
          <w:szCs w:val="20"/>
          <w:color w:val="auto"/>
        </w:rPr>
      </w:pPr>
    </w:p>
    <w:p>
      <w:pPr>
        <w:ind w:left="1120" w:hanging="1120"/>
        <w:spacing w:after="0" w:line="277" w:lineRule="auto"/>
        <w:tabs>
          <w:tab w:leader="none" w:pos="110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8"/>
          <w:szCs w:val="18"/>
          <w:color w:val="auto"/>
        </w:rPr>
        <w:t>Notice of resolution of the Board of Directors of Delek Group Ltd., dated as of February 7, 2018 (incorporated herein by reference to Exhibit 2 to the Schedule 13G filed on February 14, 2019).</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6"/>
          <w:szCs w:val="16"/>
          <w:color w:val="auto"/>
        </w:rPr>
        <w:t>Notice of resolution of the Board of Directors of the Phoenix Holdings Ltd., dated as of December 12, 2019.</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45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[Unofficial Translation]</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December 12, 2019</w:t>
      </w:r>
    </w:p>
    <w:p>
      <w:pPr>
        <w:spacing w:after="0" w:line="28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Powers of Signature in The Phoenix Holdings Ltd.</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(hereinafter: the "Company")</w:t>
      </w:r>
    </w:p>
    <w:p>
      <w:pPr>
        <w:spacing w:after="0" w:line="28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In accordance with a resolution of the Board of Directors of the Company, the powers of signatures in the Company as of</w:t>
      </w:r>
    </w:p>
    <w:p>
      <w:pPr>
        <w:spacing w:after="0" w:line="56" w:lineRule="exact"/>
        <w:rPr>
          <w:sz w:val="20"/>
          <w:szCs w:val="20"/>
          <w:color w:val="auto"/>
        </w:rPr>
      </w:pPr>
    </w:p>
    <w:p>
      <w:pPr>
        <w:ind w:left="780"/>
        <w:spacing w:after="0"/>
        <w:rPr>
          <w:sz w:val="20"/>
          <w:szCs w:val="20"/>
          <w:color w:val="auto"/>
        </w:rPr>
      </w:pPr>
      <w:r>
        <w:rPr>
          <w:rFonts w:ascii="Arial" w:cs="Arial" w:eastAsia="Arial" w:hAnsi="Arial"/>
          <w:sz w:val="22"/>
          <w:szCs w:val="22"/>
          <w:color w:val="auto"/>
        </w:rPr>
        <w:t>December 12, 2019, are as follows:</w:t>
      </w:r>
    </w:p>
    <w:p>
      <w:pPr>
        <w:spacing w:after="0" w:line="277" w:lineRule="exact"/>
        <w:rPr>
          <w:sz w:val="20"/>
          <w:szCs w:val="20"/>
          <w:color w:val="auto"/>
        </w:rPr>
      </w:pPr>
    </w:p>
    <w:p>
      <w:pPr>
        <w:ind w:left="780"/>
        <w:spacing w:after="0"/>
        <w:rPr>
          <w:sz w:val="20"/>
          <w:szCs w:val="20"/>
          <w:color w:val="auto"/>
        </w:rPr>
      </w:pPr>
      <w:r>
        <w:rPr>
          <w:rFonts w:ascii="Arial" w:cs="Arial" w:eastAsia="Arial" w:hAnsi="Arial"/>
          <w:sz w:val="22"/>
          <w:szCs w:val="22"/>
          <w:b w:val="1"/>
          <w:bCs w:val="1"/>
          <w:u w:val="single" w:color="auto"/>
          <w:color w:val="auto"/>
        </w:rPr>
        <w:t>General Rights of Signature</w:t>
      </w:r>
    </w:p>
    <w:p>
      <w:pPr>
        <w:spacing w:after="0" w:line="287" w:lineRule="exact"/>
        <w:rPr>
          <w:sz w:val="20"/>
          <w:szCs w:val="20"/>
          <w:color w:val="auto"/>
        </w:rPr>
      </w:pPr>
    </w:p>
    <w:p>
      <w:pPr>
        <w:jc w:val="both"/>
        <w:ind w:left="1400" w:right="20" w:hanging="649"/>
        <w:spacing w:after="0" w:line="264"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signature of the Chairman of the Board of Directors (and / or the CEO (Mr. Eyal Ben Simon) of the Company together, or the signature of one of them with the additional signature of an officer from Group A, shall bind the Company in any matter for an unlimited amount.</w:t>
      </w:r>
    </w:p>
    <w:p>
      <w:pPr>
        <w:spacing w:after="0" w:line="235" w:lineRule="exact"/>
        <w:rPr>
          <w:rFonts w:ascii="Arial" w:cs="Arial" w:eastAsia="Arial" w:hAnsi="Arial"/>
          <w:sz w:val="18"/>
          <w:szCs w:val="18"/>
          <w:color w:val="auto"/>
        </w:rPr>
      </w:pPr>
    </w:p>
    <w:p>
      <w:pPr>
        <w:ind w:left="1400" w:right="20" w:hanging="649"/>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signatures of two officers from Group A (that are not subject to one another, apart from the CEO) shall bind the Company in any matter up to a sum of NIS 400,000,000.</w:t>
      </w:r>
    </w:p>
    <w:p>
      <w:pPr>
        <w:spacing w:after="0" w:line="224" w:lineRule="exact"/>
        <w:rPr>
          <w:rFonts w:ascii="Arial" w:cs="Arial" w:eastAsia="Arial" w:hAnsi="Arial"/>
          <w:sz w:val="18"/>
          <w:szCs w:val="18"/>
          <w:color w:val="auto"/>
        </w:rPr>
      </w:pPr>
    </w:p>
    <w:p>
      <w:pPr>
        <w:ind w:left="1400" w:hanging="649"/>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00" w:hanging="649"/>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p>
    <w:p>
      <w:pPr>
        <w:spacing w:after="0" w:line="280" w:lineRule="exact"/>
        <w:rPr>
          <w:sz w:val="20"/>
          <w:szCs w:val="20"/>
          <w:color w:val="auto"/>
        </w:rPr>
      </w:pPr>
    </w:p>
    <w:p>
      <w:pPr>
        <w:ind w:left="780"/>
        <w:spacing w:after="0"/>
        <w:rPr>
          <w:sz w:val="20"/>
          <w:szCs w:val="20"/>
          <w:color w:val="auto"/>
        </w:rPr>
      </w:pPr>
      <w:r>
        <w:rPr>
          <w:rFonts w:ascii="Arial" w:cs="Arial" w:eastAsia="Arial" w:hAnsi="Arial"/>
          <w:sz w:val="22"/>
          <w:szCs w:val="22"/>
          <w:b w:val="1"/>
          <w:bCs w:val="1"/>
          <w:u w:val="single" w:color="auto"/>
          <w:color w:val="auto"/>
        </w:rPr>
        <w:t>Delegation and Revocation of Powers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760"/>
              <w:spacing w:after="0"/>
              <w:rPr>
                <w:sz w:val="20"/>
                <w:szCs w:val="20"/>
                <w:color w:val="auto"/>
              </w:rPr>
            </w:pPr>
            <w:r>
              <w:rPr>
                <w:rFonts w:ascii="Arial" w:cs="Arial" w:eastAsia="Arial" w:hAnsi="Arial"/>
                <w:sz w:val="18"/>
                <w:szCs w:val="18"/>
                <w:color w:val="auto"/>
              </w:rPr>
              <w:t>5.</w:t>
            </w:r>
          </w:p>
        </w:tc>
        <w:tc>
          <w:tcPr>
            <w:tcW w:w="2320" w:type="dxa"/>
            <w:vAlign w:val="bottom"/>
          </w:tcPr>
          <w:p>
            <w:pPr>
              <w:ind w:left="26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0"/>
                <w:szCs w:val="20"/>
                <w:color w:val="auto"/>
              </w:rPr>
            </w:pPr>
          </w:p>
        </w:tc>
      </w:tr>
      <w:tr>
        <w:trPr>
          <w:trHeight w:val="486"/>
        </w:trPr>
        <w:tc>
          <w:tcPr>
            <w:tcW w:w="1140" w:type="dxa"/>
            <w:vAlign w:val="bottom"/>
          </w:tcPr>
          <w:p>
            <w:pPr>
              <w:ind w:left="760"/>
              <w:spacing w:after="0"/>
              <w:rPr>
                <w:sz w:val="20"/>
                <w:szCs w:val="20"/>
                <w:color w:val="auto"/>
              </w:rPr>
            </w:pPr>
            <w:r>
              <w:rPr>
                <w:rFonts w:ascii="Arial" w:cs="Arial" w:eastAsia="Arial" w:hAnsi="Arial"/>
                <w:sz w:val="18"/>
                <w:szCs w:val="18"/>
                <w:color w:val="auto"/>
              </w:rPr>
              <w:t>6.</w:t>
            </w:r>
          </w:p>
        </w:tc>
        <w:tc>
          <w:tcPr>
            <w:tcW w:w="2320" w:type="dxa"/>
            <w:vAlign w:val="bottom"/>
          </w:tcPr>
          <w:p>
            <w:pPr>
              <w:ind w:left="26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4"/>
                <w:szCs w:val="24"/>
                <w:color w:val="auto"/>
              </w:rPr>
            </w:pPr>
          </w:p>
        </w:tc>
      </w:tr>
      <w:tr>
        <w:trPr>
          <w:trHeight w:val="486"/>
        </w:trPr>
        <w:tc>
          <w:tcPr>
            <w:tcW w:w="1140" w:type="dxa"/>
            <w:vAlign w:val="bottom"/>
          </w:tcPr>
          <w:p>
            <w:pPr>
              <w:ind w:left="760"/>
              <w:spacing w:after="0"/>
              <w:rPr>
                <w:sz w:val="20"/>
                <w:szCs w:val="20"/>
                <w:color w:val="auto"/>
              </w:rPr>
            </w:pPr>
            <w:r>
              <w:rPr>
                <w:rFonts w:ascii="Arial" w:cs="Arial" w:eastAsia="Arial" w:hAnsi="Arial"/>
                <w:sz w:val="18"/>
                <w:szCs w:val="18"/>
                <w:color w:val="auto"/>
              </w:rPr>
              <w:t>7.</w:t>
            </w:r>
          </w:p>
        </w:tc>
        <w:tc>
          <w:tcPr>
            <w:tcW w:w="2320" w:type="dxa"/>
            <w:vAlign w:val="bottom"/>
          </w:tcPr>
          <w:p>
            <w:pPr>
              <w:ind w:left="260"/>
              <w:spacing w:after="0"/>
              <w:rPr>
                <w:sz w:val="20"/>
                <w:szCs w:val="20"/>
                <w:color w:val="auto"/>
              </w:rPr>
            </w:pPr>
            <w:r>
              <w:rPr>
                <w:rFonts w:ascii="Arial" w:cs="Arial" w:eastAsia="Arial" w:hAnsi="Arial"/>
                <w:sz w:val="18"/>
                <w:szCs w:val="18"/>
                <w:color w:val="auto"/>
              </w:rPr>
              <w:t>***</w:t>
            </w:r>
          </w:p>
        </w:tc>
        <w:tc>
          <w:tcPr>
            <w:tcW w:w="3400" w:type="dxa"/>
            <w:vAlign w:val="bottom"/>
          </w:tcPr>
          <w:p>
            <w:pPr>
              <w:spacing w:after="0"/>
              <w:rPr>
                <w:sz w:val="24"/>
                <w:szCs w:val="24"/>
                <w:color w:val="auto"/>
              </w:rPr>
            </w:pPr>
          </w:p>
        </w:tc>
      </w:tr>
      <w:tr>
        <w:trPr>
          <w:trHeight w:val="270"/>
        </w:trPr>
        <w:tc>
          <w:tcPr>
            <w:tcW w:w="114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r>
      <w:tr>
        <w:trPr>
          <w:trHeight w:val="250"/>
        </w:trPr>
        <w:tc>
          <w:tcPr>
            <w:tcW w:w="1140" w:type="dxa"/>
            <w:vAlign w:val="bottom"/>
          </w:tcPr>
          <w:p>
            <w:pPr>
              <w:spacing w:after="0"/>
              <w:rPr>
                <w:sz w:val="21"/>
                <w:szCs w:val="21"/>
                <w:color w:val="auto"/>
              </w:rPr>
            </w:pPr>
          </w:p>
        </w:tc>
        <w:tc>
          <w:tcPr>
            <w:tcW w:w="232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Group A</w:t>
            </w:r>
          </w:p>
        </w:tc>
        <w:tc>
          <w:tcPr>
            <w:tcW w:w="3400" w:type="dxa"/>
            <w:vAlign w:val="bottom"/>
            <w:tcBorders>
              <w:right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Group B</w:t>
            </w:r>
          </w:p>
        </w:tc>
      </w:tr>
      <w:tr>
        <w:trPr>
          <w:trHeight w:val="41"/>
        </w:trPr>
        <w:tc>
          <w:tcPr>
            <w:tcW w:w="1140" w:type="dxa"/>
            <w:vAlign w:val="bottom"/>
            <w:tcBorders>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50"/>
        </w:trPr>
        <w:tc>
          <w:tcPr>
            <w:tcW w:w="1140" w:type="dxa"/>
            <w:vAlign w:val="bottom"/>
          </w:tcPr>
          <w:p>
            <w:pPr>
              <w:ind w:left="6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spacing w:after="0"/>
              <w:rPr>
                <w:sz w:val="21"/>
                <w:szCs w:val="21"/>
                <w:color w:val="auto"/>
              </w:rPr>
            </w:pPr>
          </w:p>
        </w:tc>
        <w:tc>
          <w:tcPr>
            <w:tcW w:w="3400" w:type="dxa"/>
            <w:vAlign w:val="bottom"/>
            <w:tcBorders>
              <w:right w:val="single" w:sz="8" w:color="auto"/>
            </w:tcBorders>
          </w:tcPr>
          <w:p>
            <w:pPr>
              <w:jc w:val="right"/>
              <w:ind w:right="3010"/>
              <w:spacing w:after="0"/>
              <w:rPr>
                <w:sz w:val="20"/>
                <w:szCs w:val="20"/>
                <w:color w:val="auto"/>
              </w:rPr>
            </w:pPr>
            <w:r>
              <w:rPr>
                <w:rFonts w:ascii="Arial" w:cs="Arial" w:eastAsia="Arial" w:hAnsi="Arial"/>
                <w:sz w:val="18"/>
                <w:szCs w:val="18"/>
                <w:color w:val="auto"/>
              </w:rPr>
              <w:t>***</w:t>
            </w:r>
          </w:p>
        </w:tc>
      </w:tr>
      <w:tr>
        <w:trPr>
          <w:trHeight w:val="41"/>
        </w:trPr>
        <w:tc>
          <w:tcPr>
            <w:tcW w:w="1140" w:type="dxa"/>
            <w:vAlign w:val="bottom"/>
            <w:tcBorders>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50"/>
        </w:trPr>
        <w:tc>
          <w:tcPr>
            <w:tcW w:w="1140" w:type="dxa"/>
            <w:vAlign w:val="bottom"/>
          </w:tcPr>
          <w:p>
            <w:pPr>
              <w:ind w:left="6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spacing w:after="0"/>
              <w:rPr>
                <w:sz w:val="21"/>
                <w:szCs w:val="21"/>
                <w:color w:val="auto"/>
              </w:rPr>
            </w:pPr>
          </w:p>
        </w:tc>
        <w:tc>
          <w:tcPr>
            <w:tcW w:w="3400" w:type="dxa"/>
            <w:vAlign w:val="bottom"/>
            <w:tcBorders>
              <w:right w:val="single" w:sz="8" w:color="auto"/>
            </w:tcBorders>
          </w:tcPr>
          <w:p>
            <w:pPr>
              <w:jc w:val="right"/>
              <w:ind w:right="3010"/>
              <w:spacing w:after="0"/>
              <w:rPr>
                <w:sz w:val="20"/>
                <w:szCs w:val="20"/>
                <w:color w:val="auto"/>
              </w:rPr>
            </w:pPr>
            <w:r>
              <w:rPr>
                <w:rFonts w:ascii="Arial" w:cs="Arial" w:eastAsia="Arial" w:hAnsi="Arial"/>
                <w:sz w:val="18"/>
                <w:szCs w:val="18"/>
                <w:color w:val="auto"/>
              </w:rPr>
              <w:t>***</w:t>
            </w:r>
          </w:p>
        </w:tc>
      </w:tr>
      <w:tr>
        <w:trPr>
          <w:trHeight w:val="41"/>
        </w:trPr>
        <w:tc>
          <w:tcPr>
            <w:tcW w:w="1140" w:type="dxa"/>
            <w:vAlign w:val="bottom"/>
            <w:tcBorders>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50"/>
        </w:trPr>
        <w:tc>
          <w:tcPr>
            <w:tcW w:w="1140" w:type="dxa"/>
            <w:vAlign w:val="bottom"/>
          </w:tcPr>
          <w:p>
            <w:pPr>
              <w:ind w:left="6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r>
      <w:tr>
        <w:trPr>
          <w:trHeight w:val="41"/>
        </w:trPr>
        <w:tc>
          <w:tcPr>
            <w:tcW w:w="1140" w:type="dxa"/>
            <w:vAlign w:val="bottom"/>
            <w:tcBorders>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50"/>
        </w:trPr>
        <w:tc>
          <w:tcPr>
            <w:tcW w:w="1140" w:type="dxa"/>
            <w:vAlign w:val="bottom"/>
          </w:tcPr>
          <w:p>
            <w:pPr>
              <w:ind w:left="60"/>
              <w:spacing w:after="0"/>
              <w:rPr>
                <w:sz w:val="20"/>
                <w:szCs w:val="20"/>
                <w:color w:val="auto"/>
              </w:rPr>
            </w:pPr>
            <w:r>
              <w:rPr>
                <w:rFonts w:ascii="Arial" w:cs="Arial" w:eastAsia="Arial" w:hAnsi="Arial"/>
                <w:sz w:val="18"/>
                <w:szCs w:val="18"/>
                <w:color w:val="auto"/>
              </w:rPr>
              <w:t>***</w:t>
            </w:r>
          </w:p>
        </w:tc>
        <w:tc>
          <w:tcPr>
            <w:tcW w:w="2320" w:type="dxa"/>
            <w:vAlign w:val="bottom"/>
            <w:tcBorders>
              <w:right w:val="single" w:sz="8" w:color="auto"/>
            </w:tcBorders>
          </w:tcPr>
          <w:p>
            <w:pPr>
              <w:spacing w:after="0"/>
              <w:rPr>
                <w:sz w:val="21"/>
                <w:szCs w:val="21"/>
                <w:color w:val="auto"/>
              </w:rPr>
            </w:pPr>
          </w:p>
        </w:tc>
        <w:tc>
          <w:tcPr>
            <w:tcW w:w="3400" w:type="dxa"/>
            <w:vAlign w:val="bottom"/>
            <w:tcBorders>
              <w:right w:val="single" w:sz="8" w:color="auto"/>
            </w:tcBorders>
          </w:tcPr>
          <w:p>
            <w:pPr>
              <w:spacing w:after="0"/>
              <w:rPr>
                <w:sz w:val="21"/>
                <w:szCs w:val="21"/>
                <w:color w:val="auto"/>
              </w:rPr>
            </w:pPr>
          </w:p>
        </w:tc>
      </w:tr>
      <w:tr>
        <w:trPr>
          <w:trHeight w:val="41"/>
        </w:trPr>
        <w:tc>
          <w:tcPr>
            <w:tcW w:w="3460" w:type="dxa"/>
            <w:vAlign w:val="bottom"/>
            <w:tcBorders>
              <w:bottom w:val="single" w:sz="8" w:color="auto"/>
              <w:right w:val="single" w:sz="8" w:color="auto"/>
            </w:tcBorders>
            <w:gridSpan w:val="2"/>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r>
        <w:trPr>
          <w:trHeight w:val="236"/>
        </w:trPr>
        <w:tc>
          <w:tcPr>
            <w:tcW w:w="3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Eli Schwartz (Executive Vice President -</w:t>
            </w:r>
          </w:p>
        </w:tc>
        <w:tc>
          <w:tcPr>
            <w:tcW w:w="3400" w:type="dxa"/>
            <w:vAlign w:val="bottom"/>
            <w:tcBorders>
              <w:right w:val="single" w:sz="8" w:color="auto"/>
            </w:tcBorders>
          </w:tcPr>
          <w:p>
            <w:pPr>
              <w:spacing w:after="0"/>
              <w:rPr>
                <w:sz w:val="20"/>
                <w:szCs w:val="20"/>
                <w:color w:val="auto"/>
              </w:rPr>
            </w:pPr>
          </w:p>
        </w:tc>
      </w:tr>
      <w:tr>
        <w:trPr>
          <w:trHeight w:val="230"/>
        </w:trPr>
        <w:tc>
          <w:tcPr>
            <w:tcW w:w="3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Chief Financial Officer)</w:t>
            </w:r>
          </w:p>
        </w:tc>
        <w:tc>
          <w:tcPr>
            <w:tcW w:w="3400" w:type="dxa"/>
            <w:vAlign w:val="bottom"/>
            <w:tcBorders>
              <w:right w:val="single" w:sz="8" w:color="auto"/>
            </w:tcBorders>
          </w:tcPr>
          <w:p>
            <w:pPr>
              <w:spacing w:after="0"/>
              <w:rPr>
                <w:sz w:val="20"/>
                <w:szCs w:val="20"/>
                <w:color w:val="auto"/>
              </w:rPr>
            </w:pPr>
          </w:p>
        </w:tc>
      </w:tr>
      <w:tr>
        <w:trPr>
          <w:trHeight w:val="37"/>
        </w:trPr>
        <w:tc>
          <w:tcPr>
            <w:tcW w:w="1140" w:type="dxa"/>
            <w:vAlign w:val="bottom"/>
            <w:tcBorders>
              <w:bottom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340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-1330960</wp:posOffset>
            </wp:positionV>
            <wp:extent cx="4349750" cy="1802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9750" cy="180276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Menachem Neeman (Executive Vice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President - Chief Legal Officer and Corporate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Secretary)</w:t>
      </w:r>
    </w:p>
    <w:p>
      <w:pPr>
        <w:spacing w:after="0" w:line="325" w:lineRule="exact"/>
        <w:rPr>
          <w:sz w:val="20"/>
          <w:szCs w:val="20"/>
          <w:color w:val="auto"/>
        </w:rPr>
      </w:pPr>
    </w:p>
    <w:p>
      <w:pPr>
        <w:ind w:right="200"/>
        <w:spacing w:after="0" w:line="276" w:lineRule="auto"/>
        <w:rPr>
          <w:sz w:val="20"/>
          <w:szCs w:val="20"/>
          <w:color w:val="auto"/>
        </w:rPr>
      </w:pPr>
      <w:r>
        <w:rPr>
          <w:rFonts w:ascii="Arial" w:cs="Arial" w:eastAsia="Arial" w:hAnsi="Arial"/>
          <w:sz w:val="22"/>
          <w:szCs w:val="22"/>
          <w:color w:val="auto"/>
        </w:rPr>
        <w:t>I hereby certify that the aforesaid resolutions of the Board of Directors were duly adopted and are binding on the Company for all intents and purposes.</w:t>
      </w:r>
    </w:p>
    <w:p>
      <w:pPr>
        <w:spacing w:after="0" w:line="222" w:lineRule="exact"/>
        <w:rPr>
          <w:sz w:val="20"/>
          <w:szCs w:val="20"/>
          <w:color w:val="auto"/>
        </w:rPr>
      </w:pPr>
    </w:p>
    <w:p>
      <w:pPr>
        <w:jc w:val="center"/>
        <w:ind w:left="5720"/>
        <w:spacing w:after="0"/>
        <w:rPr>
          <w:sz w:val="20"/>
          <w:szCs w:val="20"/>
          <w:color w:val="auto"/>
        </w:rPr>
      </w:pPr>
      <w:r>
        <w:rPr>
          <w:rFonts w:ascii="Arial" w:cs="Arial" w:eastAsia="Arial" w:hAnsi="Arial"/>
          <w:sz w:val="18"/>
          <w:szCs w:val="18"/>
          <w:u w:val="single" w:color="auto"/>
          <w:color w:val="auto"/>
        </w:rPr>
        <w:t>/s/ Elad Sirkis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Elad Sirkis, Advocate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6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2"/>
      <w:numFmt w:val="bullet"/>
      <w:start w:val="1"/>
    </w:lvl>
    <w:lvl w:ilvl="1">
      <w:lvlJc w:val="left"/>
      <w:lvlText w:val="(%2)"/>
      <w:numFmt w:val="lowerLetter"/>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bullet"/>
      <w:start w:val="1"/>
    </w:lvl>
  </w:abstractNum>
  <w:abstractNum w:abstractNumId="7">
    <w:nsid w:val="6B68079A"/>
    <w:multiLevelType w:val="hybridMultilevel"/>
    <w:lvl w:ilvl="0">
      <w:lvlJc w:val="left"/>
      <w:lvlText w:val="2"/>
      <w:numFmt w:val="bullet"/>
      <w:start w:val="1"/>
    </w:lvl>
    <w:lvl w:ilvl="1">
      <w:lvlJc w:val="left"/>
      <w:lvlText w:val="(%2)"/>
      <w:numFmt w:val="lowerLetter"/>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bullet"/>
      <w:start w:val="1"/>
    </w:lvl>
  </w:abstractNum>
  <w:abstractNum w:abstractNumId="10">
    <w:nsid w:val="519B500D"/>
    <w:multiLevelType w:val="hybridMultilevel"/>
    <w:lvl w:ilvl="0">
      <w:lvlJc w:val="left"/>
      <w:lvlText w:val="2"/>
      <w:numFmt w:val="bullet"/>
      <w:start w:val="1"/>
    </w:lvl>
    <w:lvl w:ilvl="1">
      <w:lvlJc w:val="left"/>
      <w:lvlText w:val="(%2)"/>
      <w:numFmt w:val="lowerLetter"/>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2"/>
    </w:lvl>
  </w:abstractNum>
  <w:abstractNum w:abstractNumId="16">
    <w:nsid w:val="436C6125"/>
    <w:multiLevelType w:val="hybridMultilevel"/>
    <w:lvl w:ilvl="0">
      <w:lvlJc w:val="left"/>
      <w:lvlText w:val="(%1)"/>
      <w:numFmt w:val="lowerLetter"/>
      <w:start w:val="3"/>
    </w:lvl>
    <w:lvl w:ilvl="1">
      <w:lvlJc w:val="left"/>
      <w:lvlText w:val="%2."/>
      <w:numFmt w:val="decimal"/>
      <w:start w:val="1"/>
    </w:lvl>
  </w:abstractNum>
  <w:abstractNum w:abstractNumId="17">
    <w:nsid w:val="628C895D"/>
    <w:multiLevelType w:val="hybridMultilevel"/>
    <w:lvl w:ilvl="0">
      <w:lvlJc w:val="left"/>
      <w:lvlText w:val="(%1)"/>
      <w:numFmt w:val="lowerLetter"/>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lvl w:ilvl="1">
      <w:lvlJc w:val="left"/>
      <w:lvlText w:val="(%2)"/>
      <w:numFmt w:val="decimal"/>
      <w:start w:val="1"/>
    </w:lvl>
  </w:abstractNum>
  <w:abstractNum w:abstractNumId="20">
    <w:nsid w:val="2443A858"/>
    <w:multiLevelType w:val="hybridMultilevel"/>
    <w:lvl w:ilvl="0">
      <w:lvlJc w:val="left"/>
      <w:lvlText w:val="(%1)"/>
      <w:numFmt w:val="lowerLetter"/>
      <w:start w:val="2"/>
    </w:lvl>
    <w:lvl w:ilvl="1">
      <w:lvlJc w:val="left"/>
      <w:lvlText w:val="%2"/>
      <w:numFmt w:val="decimal"/>
      <w:start w:val="1"/>
    </w:lvl>
  </w:abstractNum>
  <w:abstractNum w:abstractNumId="21">
    <w:nsid w:val="2D1D5AE9"/>
    <w:multiLevelType w:val="hybridMultilevel"/>
    <w:lvl w:ilvl="0">
      <w:lvlJc w:val="left"/>
      <w:lvlText w:val="(%1)"/>
      <w:numFmt w:val="lowerLetter"/>
      <w:start w:val="3"/>
    </w:lvl>
    <w:lvl w:ilvl="1">
      <w:lvlJc w:val="left"/>
      <w:lvlText w:val="(%2)"/>
      <w:numFmt w:val="lowerRoman"/>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2020-02-18T12:05:09Z</dcterms:created>
  <dcterms:modified xsi:type="dcterms:W3CDTF">2020-02-18T12:05:09Z</dcterms:modified>
</cp:coreProperties>
</file>