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July 2019 No.3</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3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83" w:lineRule="exact"/>
        <w:rPr>
          <w:sz w:val="24"/>
          <w:szCs w:val="24"/>
          <w:color w:val="auto"/>
        </w:rPr>
      </w:pPr>
    </w:p>
    <w:p>
      <w:pPr>
        <w:ind w:firstLine="639"/>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19"/>
        <w:spacing w:after="0" w:line="253" w:lineRule="exact"/>
        <w:tabs>
          <w:tab w:leader="none" w:pos="2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19" w:right="25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July 29, 2019, the Registrant announced its financial results for the six and three months ended June 30, 2019. Attached hereto is the following exhibit.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 Press release dated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39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191135</wp:posOffset>
            </wp:positionV>
            <wp:extent cx="123507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50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TowerJazz Announces Second Quarter 2019 Results with</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Strong Organic Growth and Guides Third Quarter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Revenue Increase with Continued Organic Growth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Announcing 300mm fab capacity expansion plan to fulfill increased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customers’ demand</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w:t>
      </w:r>
      <w:r>
        <w:rPr>
          <w:rFonts w:ascii="Arial" w:cs="Arial" w:eastAsia="Arial" w:hAnsi="Arial"/>
          <w:sz w:val="22"/>
          <w:szCs w:val="22"/>
          <w:color w:val="auto"/>
        </w:rPr>
        <w:t>July 29, 2019</w:t>
      </w:r>
      <w:r>
        <w:rPr>
          <w:rFonts w:ascii="Arial" w:cs="Arial" w:eastAsia="Arial" w:hAnsi="Arial"/>
          <w:sz w:val="22"/>
          <w:szCs w:val="22"/>
          <w:b w:val="1"/>
          <w:bCs w:val="1"/>
          <w:color w:val="auto"/>
        </w:rPr>
        <w:t xml:space="preserve">– </w:t>
      </w:r>
      <w:r>
        <w:rPr>
          <w:rFonts w:ascii="Arial" w:cs="Arial" w:eastAsia="Arial" w:hAnsi="Arial"/>
          <w:sz w:val="22"/>
          <w:szCs w:val="22"/>
          <w:color w:val="auto"/>
        </w:rPr>
        <w:t>TowerJazz (NASDAQ: TSEM &amp; TASE: TSEM) reported today its results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ended June 30, 2019.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Results Overview</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Revenues for the second quarter of 2019 were $306 million, reflecting 11% quarter over quarter organic growth (defined as total revenue excluding revenues from Panasonic in the TPSCo fabs and revenues from Maxim in the San Antonio fab). This organic growth of $20 million is offsetting to a great extent the $22 million Panasonic revenue reduction per the revised terms of the previously announced Panasonic contract extension and a Maxim revenue reduction per the San Antonio fab acquisition agreement.</w:t>
      </w:r>
    </w:p>
    <w:p>
      <w:pPr>
        <w:spacing w:after="0" w:line="2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Gross and operating profits for the second quarter of 2019 were $53 million and $18 million, respectively, as compared to $63 million and $27 million, respectively, in the prior quarter. The 11% organic revenue growth and efficiencies enabled the company to mitigate approximately 55% and 60% of the full impact from Panasonic revenue reduction over the gross and operating profits, respectively.</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EBITDA for the second quarter of 2019 was $70 million, as compared to $79 million in the first quarter of 2019, also reflecting approximately 60% mitigation of the above described $22 million impact.</w:t>
      </w:r>
    </w:p>
    <w:p>
      <w:pPr>
        <w:spacing w:after="0" w:line="2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Net profit for the second quarter of 2019 was $21 million, or $0.20 diluted earnings per share, as compared to net profit of $26 million or $0.25 diluted earnings per share in the prior quarter.</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Free cash flow for the quarter was $28 million, with $72 million cash flow from operations and $44 million investments in fixed assets, net. The other main cash activities during the second quarter of 2019 were $27 million investment in short-term deposit and marketable securities and $7 million 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4" w:name="page5"/>
    <w:bookmarkEnd w:id="4"/>
    <w:p>
      <w:pPr>
        <w:jc w:val="both"/>
        <w:ind w:firstLine="648"/>
        <w:spacing w:after="0" w:line="276" w:lineRule="auto"/>
        <w:rPr>
          <w:sz w:val="20"/>
          <w:szCs w:val="20"/>
          <w:color w:val="auto"/>
        </w:rPr>
      </w:pPr>
      <w:r>
        <w:rPr>
          <w:rFonts w:ascii="Arial" w:cs="Arial" w:eastAsia="Arial" w:hAnsi="Arial"/>
          <w:sz w:val="22"/>
          <w:szCs w:val="22"/>
          <w:color w:val="auto"/>
        </w:rPr>
        <w:t>Cash and cash equivalents including short term deposits and marketable securities, net of short and long-term debt, as of June 30, 2019, is $378 million as compared to $374 million as of December 31, 2018.</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Shareholders' equity as of June 30, 2019 was a record $1.29 billion, as compared to $1.24 billion as of December 31, 2018.</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Capacity Expansion Plan</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Following substantial increase in TPSCo’s 300mm foundry utilization and a forecasted customer demand exceeding the current capacity capabilities, TowerJazz is announcing a capacity expansion plan for the Uozu fab in Japan, adding capacity for the highly differentiated 300mm RF SOI, 65nm BCD Power Management and CMOS image sensor platforms and will allocate an amount of about $100 million to this plan. Capacity is targeted to be installed during the first half of 2020.</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TowerJazz expects revenues for the third quarter of 2019 to grow to approximately $312 million, with an upward or downward range of 5%, representing 6% quarter over quarter organic revenue growth.</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Mr. Russell Ellwanger, Chief Executive Officer of TowerJazz</w:t>
      </w:r>
      <w:r>
        <w:rPr>
          <w:rFonts w:ascii="Arial" w:cs="Arial" w:eastAsia="Arial" w:hAnsi="Arial"/>
          <w:sz w:val="22"/>
          <w:szCs w:val="22"/>
          <w:color w:val="auto"/>
        </w:rPr>
        <w:t>,</w:t>
      </w:r>
      <w:r>
        <w:rPr>
          <w:rFonts w:ascii="Arial" w:cs="Arial" w:eastAsia="Arial" w:hAnsi="Arial"/>
          <w:sz w:val="22"/>
          <w:szCs w:val="22"/>
          <w:b w:val="1"/>
          <w:bCs w:val="1"/>
          <w:color w:val="auto"/>
        </w:rPr>
        <w:t xml:space="preserve"> commented</w:t>
      </w:r>
      <w:r>
        <w:rPr>
          <w:rFonts w:ascii="Arial" w:cs="Arial" w:eastAsia="Arial" w:hAnsi="Arial"/>
          <w:sz w:val="22"/>
          <w:szCs w:val="22"/>
          <w:color w:val="auto"/>
        </w:rPr>
        <w:t>, “We are pleased with our second quarter results,</w:t>
      </w:r>
      <w:r>
        <w:rPr>
          <w:rFonts w:ascii="Arial" w:cs="Arial" w:eastAsia="Arial" w:hAnsi="Arial"/>
          <w:sz w:val="22"/>
          <w:szCs w:val="22"/>
          <w:b w:val="1"/>
          <w:bCs w:val="1"/>
          <w:color w:val="auto"/>
        </w:rPr>
        <w:t xml:space="preserve"> </w:t>
      </w:r>
      <w:r>
        <w:rPr>
          <w:rFonts w:ascii="Arial" w:cs="Arial" w:eastAsia="Arial" w:hAnsi="Arial"/>
          <w:sz w:val="22"/>
          <w:szCs w:val="22"/>
          <w:color w:val="auto"/>
        </w:rPr>
        <w:t>having achieved strong organic growth and guiding further increased organic and total revenues growth for the third quarter. We are executing on exciting opportunities within all of our business units, many of which segue into new and large served markets. Of particular interest, our 300mm activities have resulted in strong demand and forecasted excess demand for which we are now investing to fulfill.”</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TowerJazz will host an investor conference call today, Monday, July 29, 2019, at 10:00a.m. Eastern time (9:00a.m. Central time, 8:00a.m. Mountain time, 7:00a.m. Pacific time and 5:00p.m. Israel time) to discuss the Company’s financial results for the second quarter of 2019 and its outlook.</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This call will be webcast and can be accessed via TowerJazz’s website at </w:t>
      </w:r>
      <w:r>
        <w:rPr>
          <w:rFonts w:ascii="Arial" w:cs="Arial" w:eastAsia="Arial" w:hAnsi="Arial"/>
          <w:sz w:val="22"/>
          <w:szCs w:val="22"/>
          <w:u w:val="single" w:color="auto"/>
          <w:color w:val="auto"/>
        </w:rPr>
        <w:t>www.towerjazz.com</w:t>
      </w:r>
      <w:r>
        <w:rPr>
          <w:rFonts w:ascii="Arial" w:cs="Arial" w:eastAsia="Arial" w:hAnsi="Arial"/>
          <w:sz w:val="22"/>
          <w:szCs w:val="22"/>
          <w:color w:val="auto"/>
        </w:rPr>
        <w:t xml:space="preserve"> or by calling 1-888-668-9141 (U.S. Toll-Free), 03-918-0609 (Israel), +972-3-918-0609 (International). For those who are not available to listen to the live broadcast, the call will be archived on TowerJazz’s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 w:name="page6"/>
    <w:bookmarkEnd w:id="5"/>
    <w:p>
      <w:pPr>
        <w:jc w:val="both"/>
        <w:spacing w:after="0" w:line="299"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should not be considered in isolation or as a substitute for operating profit, net profit or loss, cash flows provided by operating, investing and financing activities, per share data or other profit or cash flow statement data prepared in accordance with GAAP. The term Free Cash Flow, as used and/ or presented in this release, is calculated to be cash from operating activities (in the amounts of $72 million, $75 million and $77 million for the three months periods ended June 30, 2019, March 31, 2019 and June 30, 2018, respectively) less cash for investments in property and equipment, net (in the amounts of $44 million, $42 million and $40 million for the three months periods ended June 30, 2019, March 31, 2019 and June 30, 2018,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 With regards to our balance sheet as of June 30, 2019, as disclosed in Note 2Y to our annual financial statements for the year ended December 31, 2018, we implemented ASU 2016-02 “Leases” effective January 1, 2019 with regards to lease right-of-use assets and lease liabilities, which implementation resulted in our lease contracts value presentation under property and equipment, net, short-term debt and long-term debt as of June 30, 2019. In addition, short-term debt as of June 30, 2019 includes $18 million of the first installment payment scheduled in March 2020 for series G bonds.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9"/>
          <w:szCs w:val="19"/>
          <w:u w:val="single" w:color="auto"/>
          <w:color w:val="auto"/>
        </w:rPr>
        <w:t>www.towerjazz.com</w:t>
      </w:r>
      <w:r>
        <w:rPr>
          <w:rFonts w:ascii="Arial" w:cs="Arial" w:eastAsia="Arial" w:hAnsi="Arial"/>
          <w:sz w:val="19"/>
          <w:szCs w:val="19"/>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TowerJazz | +972 4 604 7066 | </w:t>
      </w:r>
      <w:r>
        <w:rPr>
          <w:rFonts w:ascii="Arial" w:cs="Arial" w:eastAsia="Arial" w:hAnsi="Arial"/>
          <w:sz w:val="22"/>
          <w:szCs w:val="22"/>
          <w:u w:val="single" w:color="auto"/>
          <w:color w:val="auto"/>
        </w:rPr>
        <w:t>Noit.levi@towerjazz.com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GK Investor Relations | Gavriel Frohwein, +1 (646) 688 3559 | </w:t>
      </w:r>
      <w:r>
        <w:rPr>
          <w:rFonts w:ascii="Arial" w:cs="Arial" w:eastAsia="Arial" w:hAnsi="Arial"/>
          <w:sz w:val="22"/>
          <w:szCs w:val="22"/>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June 30, 2019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 and 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negotiation and closure of a definitive agreement in relation to fab establishment in China, as well as project implementation through required outside funding and resources and receipt of future proceeds therefrom; and (xxxv) business interruption due to fire and other natural disasters, the security situation in Israel and other events beyond our control such as power interruptions.</w:t>
      </w:r>
    </w:p>
    <w:p>
      <w:pPr>
        <w:spacing w:after="0" w:line="200" w:lineRule="exact"/>
        <w:rPr>
          <w:sz w:val="20"/>
          <w:szCs w:val="20"/>
          <w:color w:val="auto"/>
        </w:rPr>
      </w:pP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21"/>
          <w:szCs w:val="21"/>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405,158</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deposits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147,032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146,893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174,806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1,020,052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987,959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36,874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707,122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89,171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1,871,498</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debt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45,173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92,747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65,904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275,914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576,641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1,294,857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1,236,205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1,871,498</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0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8" w:name="page9"/>
    <w:bookmarkEnd w:id="8"/>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306,064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310,107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335,138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252,657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246,956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63,151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19,168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Marketing, general and administrative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16,641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35,650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35,809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17,757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27,342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725</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PROFIT BEFORE INCOME TAX</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28,067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(1,667)</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PROFIT BEFORE NON CONTROLLING INTEREST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19,722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NET PROFIT</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20,936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26,216</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37,742</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0.25</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105,331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98,888</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0.25</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20,936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26,216</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37,742</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107,178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106,972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101,066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GAAP NET PROFIT</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20,936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26,216</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ADJUSTED NET PROFIT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31,680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616,171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499,613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503,155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116,558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47,152</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0.44</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47,152</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101,090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47,152</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56,994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14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27,342</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44,240</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47,966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46,041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46,978</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2,678</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1,652</w:t>
            </w: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70,101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78,847</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716"/>
        </w:trPr>
        <w:tc>
          <w:tcPr>
            <w:tcW w:w="7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center"/>
              <w:ind w:left="87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74,868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(43,727)</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(41,718)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(7,475)</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(27,099)</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405,158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408,098</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486,880</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28,429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33,150</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ind w:left="40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151,930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(85,445)</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(80,195)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(10,549)</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(33,825)</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(30,451)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405,158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486,880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61,579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7"/>
          </w:tcPr>
          <w:p>
            <w:pPr>
              <w:jc w:val="center"/>
              <w:ind w:left="710"/>
              <w:spacing w:after="0"/>
              <w:rPr>
                <w:sz w:val="20"/>
                <w:szCs w:val="20"/>
                <w:color w:val="auto"/>
              </w:rPr>
            </w:pPr>
            <w:r>
              <w:rPr>
                <w:rFonts w:ascii="Arial" w:cs="Arial" w:eastAsia="Arial" w:hAnsi="Arial"/>
                <w:sz w:val="18"/>
                <w:szCs w:val="18"/>
                <w:b w:val="1"/>
                <w:bCs w:val="1"/>
                <w:color w:val="auto"/>
                <w:w w:val="89"/>
              </w:rPr>
              <w:t>Three months ended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for the period</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46,122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26,400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700"/>
              <w:spacing w:after="0" w:line="198" w:lineRule="exact"/>
              <w:rPr>
                <w:sz w:val="20"/>
                <w:szCs w:val="20"/>
                <w:color w:val="auto"/>
              </w:rPr>
            </w:pPr>
            <w:r>
              <w:rPr>
                <w:rFonts w:ascii="Arial" w:cs="Arial" w:eastAsia="Arial" w:hAnsi="Arial"/>
                <w:sz w:val="18"/>
                <w:szCs w:val="18"/>
                <w:b w:val="1"/>
                <w:bCs w:val="1"/>
                <w:color w:val="auto"/>
                <w:w w:val="97"/>
              </w:rPr>
              <w:t>Income and expense items not involving cash</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rPr>
              <w:t>flows: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107,470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52,853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w w:val="89"/>
              </w:rPr>
              <w:t>Effect of exchange rate differences on debentures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Other income,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12,665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18,606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(2,050)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(12,553)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2,957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700"/>
              <w:spacing w:after="0"/>
              <w:rPr>
                <w:sz w:val="20"/>
                <w:szCs w:val="20"/>
                <w:color w:val="auto"/>
              </w:rPr>
            </w:pPr>
            <w:r>
              <w:rPr>
                <w:rFonts w:ascii="Arial" w:cs="Arial" w:eastAsia="Arial" w:hAnsi="Arial"/>
                <w:sz w:val="18"/>
                <w:szCs w:val="18"/>
                <w:b w:val="1"/>
                <w:bCs w:val="1"/>
                <w:color w:val="auto"/>
                <w:w w:val="96"/>
              </w:rPr>
              <w:t>Deferred tax, net and other long-term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(599)</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147,024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72,156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(43,727)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(41,718)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(40,148)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6"/>
              </w:rPr>
              <w:t>Investments in deposits, marketable securities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assets, net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(30,451)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(27,099)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(15,488)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(70,826)</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(48,444)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b w:val="1"/>
                <w:bCs w:val="1"/>
                <w:color w:val="auto"/>
              </w:rPr>
              <w:t>Debt received (repaid),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Exercise of options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880"/>
              <w:spacing w:after="0" w:line="198" w:lineRule="exact"/>
              <w:rPr>
                <w:sz w:val="20"/>
                <w:szCs w:val="20"/>
                <w:color w:val="auto"/>
              </w:rPr>
            </w:pPr>
            <w:r>
              <w:rPr>
                <w:rFonts w:ascii="Arial" w:cs="Arial" w:eastAsia="Arial" w:hAnsi="Arial"/>
                <w:sz w:val="18"/>
                <w:szCs w:val="18"/>
                <w:b w:val="1"/>
                <w:bCs w:val="1"/>
                <w:color w:val="auto"/>
              </w:rPr>
              <w:t>Net cash provided by (used in) financing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(10,152)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(2,163)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(7,475)</w:t>
            </w:r>
          </w:p>
        </w:tc>
        <w:tc>
          <w:tcPr>
            <w:tcW w:w="14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(2,677)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3,835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88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rPr>
              <w:t>EFFECT OF FOREIGN CURRENCY EXCHANGE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RATE CHANGE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3,205</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(2,909)</w:t>
            </w:r>
          </w:p>
        </w:tc>
        <w:tc>
          <w:tcPr>
            <w:tcW w:w="0" w:type="dxa"/>
            <w:vAlign w:val="bottom"/>
          </w:tcPr>
          <w:p>
            <w:pPr>
              <w:spacing w:after="0"/>
              <w:rPr>
                <w:sz w:val="1"/>
                <w:szCs w:val="1"/>
                <w:color w:val="auto"/>
              </w:rPr>
            </w:pPr>
          </w:p>
        </w:tc>
      </w:tr>
      <w:tr>
        <w:trPr>
          <w:trHeight w:val="21"/>
        </w:trPr>
        <w:tc>
          <w:tcPr>
            <w:tcW w:w="4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tcPr>
          <w:p>
            <w:pPr>
              <w:spacing w:after="0" w:line="198" w:lineRule="exact"/>
              <w:rPr>
                <w:sz w:val="20"/>
                <w:szCs w:val="20"/>
                <w:color w:val="auto"/>
              </w:rPr>
            </w:pPr>
            <w:r>
              <w:rPr>
                <w:rFonts w:ascii="Arial" w:cs="Arial" w:eastAsia="Arial" w:hAnsi="Arial"/>
                <w:sz w:val="18"/>
                <w:szCs w:val="18"/>
                <w:b w:val="1"/>
                <w:bCs w:val="1"/>
                <w:color w:val="auto"/>
              </w:rPr>
              <w:t>INCREASE (DECREASE) IN CASH AND CASH</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40,919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(2,940)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445,961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408,098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385,091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405,158</w:t>
            </w:r>
          </w:p>
        </w:tc>
        <w:tc>
          <w:tcPr>
            <w:tcW w:w="1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486,880</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405,158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408,098</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486,880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2019-12-20T16:13:27Z</dcterms:created>
  <dcterms:modified xsi:type="dcterms:W3CDTF">2019-12-20T16:13:27Z</dcterms:modified>
</cp:coreProperties>
</file>