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20-F</w:t>
      </w:r>
    </w:p>
    <w:p>
      <w:pPr>
        <w:ind w:left="1400"/>
        <w:spacing w:after="0" w:line="237" w:lineRule="auto"/>
        <w:rPr>
          <w:sz w:val="20"/>
          <w:szCs w:val="20"/>
          <w:color w:val="auto"/>
        </w:rPr>
      </w:pPr>
      <w:r>
        <w:rPr>
          <w:rFonts w:ascii="Courier New" w:cs="Courier New" w:eastAsia="Courier New" w:hAnsi="Courier New"/>
          <w:sz w:val="15"/>
          <w:szCs w:val="15"/>
          <w:color w:val="auto"/>
        </w:rPr>
        <w:t>ANNUAL REPORT PURSUANT TO SECTION 13 OR 15(d) OF</w:t>
      </w:r>
    </w:p>
    <w:p>
      <w:pPr>
        <w:ind w:left="2020"/>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440"/>
        <w:spacing w:after="0"/>
        <w:tabs>
          <w:tab w:leader="none" w:pos="4460" w:val="left"/>
        </w:tabs>
        <w:rPr>
          <w:sz w:val="20"/>
          <w:szCs w:val="20"/>
          <w:color w:val="auto"/>
        </w:rPr>
      </w:pPr>
      <w:r>
        <w:rPr>
          <w:rFonts w:ascii="Courier New" w:cs="Courier New" w:eastAsia="Courier New" w:hAnsi="Courier New"/>
          <w:sz w:val="15"/>
          <w:szCs w:val="15"/>
          <w:color w:val="auto"/>
        </w:rPr>
        <w:t>FOR THE FISCAL YEAR ENDED DECEMBER 31, 2004</w:t>
      </w:r>
      <w:r>
        <w:rPr>
          <w:sz w:val="20"/>
          <w:szCs w:val="20"/>
          <w:color w:val="auto"/>
        </w:rPr>
        <w:tab/>
      </w:r>
      <w:r>
        <w:rPr>
          <w:rFonts w:ascii="Courier New" w:cs="Courier New" w:eastAsia="Courier New" w:hAnsi="Courier New"/>
          <w:sz w:val="14"/>
          <w:szCs w:val="14"/>
          <w:color w:val="auto"/>
        </w:rPr>
        <w:t>COMMISSION FILE NO. 0-24790</w:t>
      </w:r>
    </w:p>
    <w:p>
      <w:pPr>
        <w:spacing w:after="0" w:line="166"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 and translation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registrant's name into English)</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ISRAEL</w:t>
      </w:r>
    </w:p>
    <w:p>
      <w:pPr>
        <w:jc w:val="center"/>
        <w:ind w:right="3139"/>
        <w:spacing w:after="0" w:line="237" w:lineRule="auto"/>
        <w:rPr>
          <w:sz w:val="20"/>
          <w:szCs w:val="20"/>
          <w:color w:val="auto"/>
        </w:rPr>
      </w:pPr>
      <w:r>
        <w:rPr>
          <w:rFonts w:ascii="Courier New" w:cs="Courier New" w:eastAsia="Courier New" w:hAnsi="Courier New"/>
          <w:sz w:val="15"/>
          <w:szCs w:val="15"/>
          <w:color w:val="auto"/>
        </w:rPr>
        <w:t>(Jurisdiction of incorporation or organization)</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67"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ORDINARY SHARES, PAR VALUE NEW ISRAELI SHEKELS 1.00 PER SHARE</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Warrants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FOR WHICH THERE IS A REPORTING OBLIGATION PURSUANT TO SECTION 15(d)</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jc w:val="center"/>
        <w:ind w:right="3219"/>
        <w:spacing w:after="0" w:line="235"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65,699,796 Ordinary Shares</w:t>
      </w:r>
    </w:p>
    <w:p>
      <w:pPr>
        <w:spacing w:after="0" w:line="173" w:lineRule="exact"/>
        <w:rPr>
          <w:sz w:val="24"/>
          <w:szCs w:val="24"/>
          <w:color w:val="auto"/>
        </w:rPr>
      </w:pPr>
    </w:p>
    <w:p>
      <w:pPr>
        <w:jc w:val="center"/>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1320"/>
        <w:spacing w:after="0" w:line="232" w:lineRule="auto"/>
        <w:rPr>
          <w:sz w:val="20"/>
          <w:szCs w:val="20"/>
          <w:color w:val="auto"/>
        </w:rPr>
      </w:pPr>
      <w:r>
        <w:rPr>
          <w:rFonts w:ascii="Courier New" w:cs="Courier New" w:eastAsia="Courier New" w:hAnsi="Courier New"/>
          <w:sz w:val="15"/>
          <w:szCs w:val="15"/>
          <w:color w:val="auto"/>
        </w:rPr>
        <w:t>requirements for the past 90 days:</w:t>
      </w:r>
    </w:p>
    <w:p>
      <w:pPr>
        <w:ind w:left="2900"/>
        <w:spacing w:after="0" w:line="238" w:lineRule="auto"/>
        <w:rPr>
          <w:sz w:val="20"/>
          <w:szCs w:val="20"/>
          <w:color w:val="auto"/>
        </w:rPr>
      </w:pPr>
      <w:r>
        <w:rPr>
          <w:rFonts w:ascii="Courier New" w:cs="Courier New" w:eastAsia="Courier New" w:hAnsi="Courier New"/>
          <w:sz w:val="15"/>
          <w:szCs w:val="15"/>
          <w:color w:val="auto"/>
        </w:rPr>
        <w:t>Yes [x] No [ ]</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Indicate by check mark which financial statement item the registrant has elected</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 follow:</w:t>
      </w:r>
    </w:p>
    <w:p>
      <w:pPr>
        <w:jc w:val="center"/>
        <w:ind w:right="3139"/>
        <w:spacing w:after="0" w:line="237" w:lineRule="auto"/>
        <w:rPr>
          <w:sz w:val="20"/>
          <w:szCs w:val="20"/>
          <w:color w:val="auto"/>
        </w:rPr>
      </w:pPr>
      <w:r>
        <w:rPr>
          <w:rFonts w:ascii="Courier New" w:cs="Courier New" w:eastAsia="Courier New" w:hAnsi="Courier New"/>
          <w:sz w:val="15"/>
          <w:szCs w:val="15"/>
          <w:color w:val="auto"/>
        </w:rPr>
        <w:t>Item 17 [ ] Item 18 [x]</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Risk Factors."</w:t>
      </w:r>
    </w:p>
    <w:p>
      <w:pPr>
        <w:spacing w:after="0" w:line="178" w:lineRule="exact"/>
        <w:rPr>
          <w:sz w:val="24"/>
          <w:szCs w:val="24"/>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have prepared our consolidated financial statements in United States dollars and in accordance with accounting principles generally accepted in Israel ("Israeli GAAP"). Israeli GAAP varies in certain significant respects from accounting principles generally accepted in the United States of America ("U.S. GAAP"). The effect of the application of the latter on the financial position and results of operations as of the dates and for the years presented herein is summarized in Note 19 to our consolidated financial statements included herein. All references herein to "dollars" or "$" are to United States dollars, and all references to "Shekels" or "NIS" are to New Israeli Shekels.</w:t>
      </w:r>
    </w:p>
    <w:p>
      <w:pPr>
        <w:spacing w:after="0" w:line="165" w:lineRule="exact"/>
        <w:rPr>
          <w:sz w:val="24"/>
          <w:szCs w:val="24"/>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9" w:lineRule="exact"/>
        <w:rPr>
          <w:sz w:val="24"/>
          <w:szCs w:val="24"/>
          <w:color w:val="auto"/>
        </w:rPr>
      </w:pPr>
    </w:p>
    <w:p>
      <w:pPr>
        <w:jc w:val="both"/>
        <w:ind w:right="4099" w:firstLine="525"/>
        <w:spacing w:after="0" w:line="235" w:lineRule="auto"/>
        <w:rPr>
          <w:sz w:val="20"/>
          <w:szCs w:val="20"/>
          <w:color w:val="auto"/>
        </w:rPr>
      </w:pPr>
      <w:r>
        <w:rPr>
          <w:rFonts w:ascii="Courier New" w:cs="Courier New" w:eastAsia="Courier New" w:hAnsi="Courier New"/>
          <w:sz w:val="15"/>
          <w:szCs w:val="15"/>
          <w:color w:val="auto"/>
        </w:rPr>
        <w:t>References to "Israel Corporation" or "Israel Corp." include its wholly-owned subsidiary Israel Corporation Technologies (ICTech) Ltd. ("ICTech").</w:t>
      </w:r>
    </w:p>
    <w:p>
      <w:pPr>
        <w:sectPr>
          <w:pgSz w:w="11900" w:h="16838" w:orient="portrait"/>
          <w:cols w:equalWidth="0" w:num="1">
            <w:col w:w="10239"/>
          </w:cols>
          <w:pgMar w:left="220" w:top="231" w:right="1440" w:bottom="0" w:gutter="0" w:footer="0" w:header="0"/>
        </w:sectPr>
      </w:pPr>
    </w:p>
    <w:bookmarkStart w:id="1" w:name="page2"/>
    <w:bookmarkEnd w:id="1"/>
    <w:p>
      <w:pPr>
        <w:ind w:right="3839" w:firstLine="525"/>
        <w:spacing w:after="0" w:line="234" w:lineRule="auto"/>
        <w:rPr>
          <w:sz w:val="20"/>
          <w:szCs w:val="20"/>
          <w:color w:val="auto"/>
        </w:rPr>
      </w:pPr>
      <w:r>
        <w:rPr>
          <w:rFonts w:ascii="Courier New" w:cs="Courier New" w:eastAsia="Courier New" w:hAnsi="Courier New"/>
          <w:sz w:val="15"/>
          <w:szCs w:val="15"/>
          <w:color w:val="auto"/>
        </w:rPr>
        <w:t>MICROFLASH(R) is a registered trademark of Tower and N-ROM(TM) is a trademark of Saifun Semiconductor Ltd.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41" w:right="1440"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1</w:t>
      </w:r>
    </w:p>
    <w:p>
      <w:pPr>
        <w:spacing w:after="0" w:line="166" w:lineRule="exact"/>
        <w:rPr>
          <w:sz w:val="20"/>
          <w:szCs w:val="20"/>
          <w:color w:val="auto"/>
        </w:rPr>
      </w:pPr>
    </w:p>
    <w:p>
      <w:pPr>
        <w:spacing w:after="0"/>
        <w:tabs>
          <w:tab w:leader="none" w:pos="960" w:val="left"/>
          <w:tab w:leader="dot" w:pos="93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IDENTITY OF DIRECTORS, SENIOR MANAGEMENT AND ADVISORS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none" w:pos="960" w:val="left"/>
          <w:tab w:leader="dot" w:pos="93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OFFER STATISTICS AND EXPECTED TIMETABLE</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none" w:pos="960" w:val="left"/>
          <w:tab w:leader="dot" w:pos="93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KEY INFORMATION</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INFORMATION ON THE COMPANY</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OPERATING AND FINANCIAL REVIEW AND PROSPECTS</w:t>
      </w:r>
      <w:r>
        <w:rPr>
          <w:sz w:val="20"/>
          <w:szCs w:val="20"/>
          <w:color w:val="auto"/>
        </w:rPr>
        <w:tab/>
      </w:r>
      <w:r>
        <w:rPr>
          <w:rFonts w:ascii="Courier New" w:cs="Courier New" w:eastAsia="Courier New" w:hAnsi="Courier New"/>
          <w:sz w:val="15"/>
          <w:szCs w:val="15"/>
          <w:color w:val="auto"/>
        </w:rPr>
        <w:t>35</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DIRECTORS, SENIOR MANAGEMENT AND EMPLOYEES</w:t>
      </w:r>
      <w:r>
        <w:rPr>
          <w:sz w:val="20"/>
          <w:szCs w:val="20"/>
          <w:color w:val="auto"/>
        </w:rPr>
        <w:tab/>
      </w:r>
      <w:r>
        <w:rPr>
          <w:rFonts w:ascii="Courier New" w:cs="Courier New" w:eastAsia="Courier New" w:hAnsi="Courier New"/>
          <w:sz w:val="15"/>
          <w:szCs w:val="15"/>
          <w:color w:val="auto"/>
        </w:rPr>
        <w:t>57</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MAJOR SHAREHOLDERS AND RELATED PARTY TRANSACTIONS</w:t>
      </w:r>
      <w:r>
        <w:rPr>
          <w:sz w:val="20"/>
          <w:szCs w:val="20"/>
          <w:color w:val="auto"/>
        </w:rPr>
        <w:tab/>
      </w:r>
      <w:r>
        <w:rPr>
          <w:rFonts w:ascii="Courier New" w:cs="Courier New" w:eastAsia="Courier New" w:hAnsi="Courier New"/>
          <w:sz w:val="15"/>
          <w:szCs w:val="15"/>
          <w:color w:val="auto"/>
        </w:rPr>
        <w:t>65</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67</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68</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69</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11.</w:t>
        <w:tab/>
        <w:t>QUANTITATIVE AND QUALITATIVE DISCLOSURES ABOUT MARKET RISKS</w:t>
      </w:r>
      <w:r>
        <w:rPr>
          <w:sz w:val="20"/>
          <w:szCs w:val="20"/>
          <w:color w:val="auto"/>
        </w:rPr>
        <w:tab/>
      </w:r>
      <w:r>
        <w:rPr>
          <w:rFonts w:ascii="Courier New" w:cs="Courier New" w:eastAsia="Courier New" w:hAnsi="Courier New"/>
          <w:sz w:val="15"/>
          <w:szCs w:val="15"/>
          <w:color w:val="auto"/>
        </w:rPr>
        <w:t>77</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DESCRIPTION OF SECURITIES OTHER THAN EQUITY SECURITIES</w:t>
      </w:r>
      <w:r>
        <w:rPr>
          <w:sz w:val="20"/>
          <w:szCs w:val="20"/>
          <w:color w:val="auto"/>
        </w:rPr>
        <w:tab/>
      </w:r>
      <w:r>
        <w:rPr>
          <w:rFonts w:ascii="Courier New" w:cs="Courier New" w:eastAsia="Courier New" w:hAnsi="Courier New"/>
          <w:sz w:val="15"/>
          <w:szCs w:val="15"/>
          <w:color w:val="auto"/>
        </w:rPr>
        <w:t>80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DEFAULTS, DIVIDENT AVERAGES AND DELINUENCIES</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MATERIAL MODIFICATIONS TO THE RIGHTS OF SECURITY HOLDERS AND USE OF PROCEEDS</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5"/>
          <w:szCs w:val="15"/>
          <w:color w:val="auto"/>
        </w:rPr>
        <w:t>CONTROLS AND PROCEDURES</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5"/>
          <w:szCs w:val="15"/>
          <w:color w:val="auto"/>
        </w:rPr>
        <w:t>[RESERVED]</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16A.</w:t>
        <w:tab/>
        <w:t>AUDIT COMMITTEE FINANCIAL EXPERT</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16B.</w:t>
        <w:tab/>
        <w:t>CODE OF ETHICS</w:t>
      </w:r>
      <w:r>
        <w:rPr>
          <w:sz w:val="20"/>
          <w:szCs w:val="20"/>
          <w:color w:val="auto"/>
        </w:rPr>
        <w:tab/>
      </w:r>
      <w:r>
        <w:rPr>
          <w:rFonts w:ascii="Courier New" w:cs="Courier New" w:eastAsia="Courier New" w:hAnsi="Courier New"/>
          <w:sz w:val="15"/>
          <w:szCs w:val="15"/>
          <w:color w:val="auto"/>
        </w:rPr>
        <w:t>81</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16C.</w:t>
        <w:tab/>
        <w:t>PRINCIPAL ACCOUNTANT FEES AND SERVICES</w:t>
      </w:r>
      <w:r>
        <w:rPr>
          <w:sz w:val="20"/>
          <w:szCs w:val="20"/>
          <w:color w:val="auto"/>
        </w:rPr>
        <w:tab/>
      </w:r>
      <w:r>
        <w:rPr>
          <w:rFonts w:ascii="Courier New" w:cs="Courier New" w:eastAsia="Courier New" w:hAnsi="Courier New"/>
          <w:sz w:val="15"/>
          <w:szCs w:val="15"/>
          <w:color w:val="auto"/>
        </w:rPr>
        <w:t>82</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16D.</w:t>
        <w:tab/>
        <w:t>EXEMPTIONS FROM THE LISTING STANDARDS FROM AUDIT COMMITTEES</w:t>
      </w:r>
      <w:r>
        <w:rPr>
          <w:sz w:val="20"/>
          <w:szCs w:val="20"/>
          <w:color w:val="auto"/>
        </w:rPr>
        <w:tab/>
      </w:r>
      <w:r>
        <w:rPr>
          <w:rFonts w:ascii="Courier New" w:cs="Courier New" w:eastAsia="Courier New" w:hAnsi="Courier New"/>
          <w:sz w:val="15"/>
          <w:szCs w:val="15"/>
          <w:color w:val="auto"/>
        </w:rPr>
        <w:t>82</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16E.</w:t>
        <w:tab/>
        <w:t>PURCHASES OF EQUITY SECURITIES BY THE ISSUER AND AFFILIATED PARTIES</w:t>
      </w:r>
      <w:r>
        <w:rPr>
          <w:sz w:val="20"/>
          <w:szCs w:val="20"/>
          <w:color w:val="auto"/>
        </w:rPr>
        <w:tab/>
      </w:r>
      <w:r>
        <w:rPr>
          <w:rFonts w:ascii="Courier New" w:cs="Courier New" w:eastAsia="Courier New" w:hAnsi="Courier New"/>
          <w:sz w:val="15"/>
          <w:szCs w:val="15"/>
          <w:color w:val="auto"/>
        </w:rPr>
        <w:t>82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82</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18.</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83</w:t>
      </w:r>
    </w:p>
    <w:p>
      <w:pPr>
        <w:spacing w:after="0" w:line="166" w:lineRule="exact"/>
        <w:rPr>
          <w:sz w:val="20"/>
          <w:szCs w:val="20"/>
          <w:color w:val="auto"/>
        </w:rPr>
      </w:pPr>
    </w:p>
    <w:p>
      <w:pPr>
        <w:spacing w:after="0"/>
        <w:tabs>
          <w:tab w:leader="none" w:pos="960" w:val="left"/>
          <w:tab w:leader="dot" w:pos="9260" w:val="left"/>
        </w:tabs>
        <w:rPr>
          <w:sz w:val="20"/>
          <w:szCs w:val="20"/>
          <w:color w:val="auto"/>
        </w:rPr>
      </w:pPr>
      <w:r>
        <w:rPr>
          <w:rFonts w:ascii="Courier New" w:cs="Courier New" w:eastAsia="Courier New" w:hAnsi="Courier New"/>
          <w:sz w:val="15"/>
          <w:szCs w:val="15"/>
          <w:color w:val="auto"/>
        </w:rPr>
        <w:t>ITEM 19.</w:t>
      </w:r>
      <w:r>
        <w:rPr>
          <w:sz w:val="20"/>
          <w:szCs w:val="20"/>
          <w:color w:val="auto"/>
        </w:rPr>
        <w:tab/>
      </w:r>
      <w:r>
        <w:rPr>
          <w:rFonts w:ascii="Courier New" w:cs="Courier New" w:eastAsia="Courier New" w:hAnsi="Courier New"/>
          <w:sz w:val="15"/>
          <w:szCs w:val="15"/>
          <w:color w:val="auto"/>
        </w:rPr>
        <w:t>EXHIBITS</w:t>
      </w:r>
      <w:r>
        <w:rPr>
          <w:sz w:val="20"/>
          <w:szCs w:val="20"/>
          <w:color w:val="auto"/>
        </w:rPr>
        <w:tab/>
      </w:r>
      <w:r>
        <w:rPr>
          <w:rFonts w:ascii="Courier New" w:cs="Courier New" w:eastAsia="Courier New" w:hAnsi="Courier New"/>
          <w:sz w:val="15"/>
          <w:szCs w:val="15"/>
          <w:color w:val="auto"/>
        </w:rPr>
        <w:t>83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DIRECTORS, SENIOR MANAGEMENT AND ADVISORS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OFFER STATISTICS AND EXPECTED TIMETABLE</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KEY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This section presents our selected historical financial data. You should read carefully the financial statements included in this annual report, including the notes to the financial statements. The selected data in this section is not intended to replace the financial statements.</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derived the selected statement of operations data and other financial data for the years ended December 31, 2004, 2003 and 2002, and selected balance sheet data as of December 31, 2004 and 2003 from the audited financial statements in this annual report. Those financial statements were prepared in accordance with Israeli GAAP and audited by Brightman Almagor &amp; Co., a member firm of Deloitte Touche Tohmatsu, independent registered public accounting firm. We derived the selected statement of operations data and other financial data for the years ended December 31, 2001 and 2000 and the selected balance sheet data as of December 31, 2002, 2001 and 2000 from our audited financial statements that are not included in this annual report, which were prepared in accordance with Israeli GAAP. Statements of operations and other financial data in accordance with US GAAP would not have materially differed from respective data in accordance with Israeli GAAP. Other than as indicated below, balance sheet data in accordance with US GAAP would not have materially differed from the respective data in accordance with Israeli GAAP. Our management believes that the financial statements contain all adjustments needed to present fairly the information included therein.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55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40" w:type="dxa"/>
            <w:vAlign w:val="bottom"/>
          </w:tcPr>
          <w:p>
            <w:pPr>
              <w:spacing w:after="0"/>
              <w:rPr>
                <w:sz w:val="14"/>
                <w:szCs w:val="14"/>
                <w:color w:val="auto"/>
              </w:rPr>
            </w:pP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40" w:type="dxa"/>
            <w:vAlign w:val="bottom"/>
            <w:gridSpan w:val="9"/>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 except share date and per share data)</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$ 126,055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61,368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51,801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52,372</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$ 104,775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228,410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122,395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67,022</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76,733</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88,787</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(102,355)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(61,027)</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(15,221)</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(24,361)</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15,988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17,053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20,709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17,031</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9,556</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8,965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general and administrative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22,615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17,091</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14,489</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11,428</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(140,705)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(104,351)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(49,343)</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(48,406)</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(29,745)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(9,826)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32,682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8,419</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 expense .............................</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(137,768)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(114,261)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(38,522)</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(51,402)</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(38,522)</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(3,989)</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 ..............................</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FINANCIAL DATA:</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$ 121,067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18,821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21,721</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25,917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(accrual basis) before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Center grants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172,617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164,187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243,431</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364,347</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79,060</w:t>
            </w:r>
          </w:p>
        </w:tc>
      </w:tr>
      <w:tr>
        <w:trPr>
          <w:trHeight w:val="841"/>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AS OF DECEMBER 31,</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5500" w:type="dxa"/>
            <w:vAlign w:val="bottom"/>
            <w:gridSpan w:val="10"/>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2002</w:t>
            </w:r>
          </w:p>
        </w:tc>
        <w:tc>
          <w:tcPr>
            <w:tcW w:w="11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4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SELECTED BALANCE SHEET DATA IN ACCORDANCE WITH ISRAELI</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GAAP:</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including short-term</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deposits and designated cash ...............................</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81,457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56,490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$ 69,695</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$ 33,202</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  18,707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Working capital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63,591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50,492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21,927</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(16,335)</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28,635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847,508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788,335</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716,261</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472,054</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179,298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 from banks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497,000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431,000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253,000</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115,000</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12,064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Convertible debentures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26,651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25,783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24,121</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liabilities in respect of customers' advances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64,428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46,347</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47,246</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17,910</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Shareholders' equity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167,980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229,457</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298,334</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252,805</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134,648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number of ordinary shares outstanding (*)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64,717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47,608</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31,523</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20,020</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13,676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Number of shares issued and outstanding (*) .................</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51,696</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43,436</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24,997</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12,263</w:t>
            </w:r>
          </w:p>
        </w:tc>
      </w:tr>
    </w:tbl>
    <w:p>
      <w:pPr>
        <w:spacing w:after="0" w:line="341" w:lineRule="exact"/>
        <w:rPr>
          <w:sz w:val="20"/>
          <w:szCs w:val="20"/>
          <w:color w:val="auto"/>
        </w:rPr>
      </w:pPr>
    </w:p>
    <w:p>
      <w:pPr>
        <w:ind w:right="4640" w:firstLine="10"/>
        <w:spacing w:after="0" w:line="234"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1,300,000 Ordinary Shares held by our Company as of each date presented.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940"/>
          </w:cols>
          <w:pgMar w:left="220" w:top="953" w:right="7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2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AS OF DECEMBER 31,</w:t>
            </w:r>
          </w:p>
        </w:tc>
        <w:tc>
          <w:tcPr>
            <w:tcW w:w="920" w:type="dxa"/>
            <w:vAlign w:val="bottom"/>
          </w:tcPr>
          <w:p>
            <w:pPr>
              <w:spacing w:after="0"/>
              <w:rPr>
                <w:sz w:val="14"/>
                <w:szCs w:val="14"/>
                <w:color w:val="auto"/>
              </w:rPr>
            </w:pPr>
          </w:p>
        </w:tc>
      </w:tr>
      <w:tr>
        <w:trPr>
          <w:trHeight w:val="168"/>
        </w:trPr>
        <w:tc>
          <w:tcPr>
            <w:tcW w:w="5660" w:type="dxa"/>
            <w:vAlign w:val="bottom"/>
          </w:tcPr>
          <w:p>
            <w:pPr>
              <w:spacing w:after="0"/>
              <w:rPr>
                <w:sz w:val="14"/>
                <w:szCs w:val="14"/>
                <w:color w:val="auto"/>
              </w:rPr>
            </w:pPr>
          </w:p>
        </w:tc>
        <w:tc>
          <w:tcPr>
            <w:tcW w:w="5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RECONCILIATION TO US GAAP:</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According to Israel GAAP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$ 788,335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$ 716,261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$ 472,054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$ 179,298</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The effect of:</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w w:val="99"/>
              </w:rPr>
              <w:t>Presentation of long-term liabilities in respect of employees..</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14,607</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12,368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7,952</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Hedging activities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(5,947)</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(5,727)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w w:val="99"/>
              </w:rPr>
              <w:t>Sale of securities ............................................</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3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800"/>
              <w:spacing w:after="0"/>
              <w:rPr>
                <w:sz w:val="20"/>
                <w:szCs w:val="20"/>
                <w:color w:val="auto"/>
              </w:rPr>
            </w:pPr>
            <w:r>
              <w:rPr>
                <w:rFonts w:ascii="Courier New" w:cs="Courier New" w:eastAsia="Courier New" w:hAnsi="Courier New"/>
                <w:sz w:val="15"/>
                <w:szCs w:val="15"/>
                <w:color w:val="auto"/>
                <w:w w:val="99"/>
              </w:rPr>
              <w:t>Presentation of securities ...........................</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12,563</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According to US GAAP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$ 859,043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$ 796,799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$ 722,706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$ 477,824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$ 199,813</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According to Israel GAAP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$ 167,980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$ 229,457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$ 298,334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$ 252,805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$ 134,648</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effect of:</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Hedging activities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(15,867)</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(17,807)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Proceeds on account of share capital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Sale of securities (*)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Presentation of securities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12,563</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According to US GAAP ..........................................</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$ 163,318</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$ 199,525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$ 282,890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$ 244,636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$ 147,211</w:t>
            </w:r>
          </w:p>
        </w:tc>
      </w:tr>
      <w:tr>
        <w:trPr>
          <w:trHeight w:val="168"/>
        </w:trPr>
        <w:tc>
          <w:tcPr>
            <w:tcW w:w="56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980"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allocation of a portion of the total proceeds from the sale of securities issued in January 2002.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120"/>
          </w:cols>
          <w:pgMar w:left="220" w:top="953" w:right="55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AFFECTING OUR BUSINESS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IF THE TERMS REFLECTED IN THE LETTER OF INTENT THAT WE SIGNED WITH OUR BANKS IN MAY 2005 ARE NOT EFFECTUATED, OR IF DO WE NOT FIND ALTERNATIVE FINANCING, WE MAY NOT BE ABLE TO MAINTAIN OUR OPERATIONS.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May 2005, we signed a letter of intent with our banks which provides for financing in the amount of up to $30 million, subject to, among other things, a similar amount being raised by us from investors. To date, certain of our equity investors and wafer partners have informed us of their willingness to invest $23.5 million towards such funding by investors. The letter of intent is subject to the execution of a definitive amendment to our credit facility agreement, which we are currently negotiating. If a definitive amendment to our credit facility agreement is not executed and consummated or if we are unable to raise the funds from investors as stipulated in the letter of intent, or cannot find alternative financing for said amounts, we do not expect to have adequate liquidity for our short-term activities and liabilities during the second half of 2005 and may have to cease our operations. If we raise the funds contemplated by the letter of intent, we will still need to raise additional funds in order to finance our activities and liabilities in 2006, at least until we achieve positive cash flow from our operations.</w:t>
      </w:r>
    </w:p>
    <w:p>
      <w:pPr>
        <w:spacing w:after="0" w:line="16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IF WE DO NOT COMPLETE THE EQUIPMENT INSTALLATION, TECHNOLOGY TRANSFER AND RAMP-UP OF PRODUCTION IN FAB 2, OUR BUSINESS WILL BE MATERIALLY ADVERSELY AFFECTED.</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Fab 2 production capacity at the end of December 2004 was 14,600 200-mm wafers per month and we currently expect to have production capacity of 15,400 wafers per month by the end of 2005. Depending on the process technology and product mix,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to increase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7" w:name="page8"/>
    <w:bookmarkEnd w:id="7"/>
    <w:p>
      <w:pPr>
        <w:ind w:right="3759"/>
        <w:spacing w:after="0" w:line="234" w:lineRule="auto"/>
        <w:rPr>
          <w:sz w:val="20"/>
          <w:szCs w:val="20"/>
          <w:color w:val="auto"/>
        </w:rPr>
      </w:pPr>
      <w:r>
        <w:rPr>
          <w:rFonts w:ascii="Courier New" w:cs="Courier New" w:eastAsia="Courier New" w:hAnsi="Courier New"/>
          <w:sz w:val="15"/>
          <w:szCs w:val="15"/>
          <w:color w:val="auto"/>
        </w:rPr>
        <w:t>IF WE DO NOT HAVE SUFFICIENT FUNDS TO COMPLETE FAB 2, OUR BUSINESS WILL BE MATERIALLY ADVERSELY AFFECTED.</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Fab 2's cost was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78"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IF WE DO NOT MEET CONDITIONS TO RECEIVE THE ISRAELI GOVERNMENT GRANTS AND TAX BENEFITS APPROVED FOR FAB 2, WE MAY BE REQUIRED TO SEEK ALTERNATIVE FINANCING SOURCES.</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 connection with Fab 2, we received approval for grants and tax benefits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Investment Center of the government of Israel under its Approved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Program. Under the terms of the approval, we are eligible to receive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 20% of up to $1.25 billion invested in Fab 2 plant and equipment,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aggregate of up to $250 million. As of December 31, 2004, we had received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$150.6 million in grants from the Investment Center. To be eligible to receive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we are required to invest minimum amounts on an annual basis.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notified the Investment Center of our reduced rate of annual investments and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2004, we received approval of our revised investment schedule from the</w:t>
      </w:r>
    </w:p>
    <w:p>
      <w:pPr>
        <w:spacing w:after="0" w:line="237" w:lineRule="auto"/>
        <w:rPr>
          <w:sz w:val="20"/>
          <w:szCs w:val="20"/>
          <w:color w:val="auto"/>
        </w:rPr>
      </w:pPr>
      <w:r>
        <w:rPr>
          <w:rFonts w:ascii="Courier New" w:cs="Courier New" w:eastAsia="Courier New" w:hAnsi="Courier New"/>
          <w:sz w:val="15"/>
          <w:szCs w:val="15"/>
          <w:color w:val="auto"/>
        </w:rPr>
        <w:t>Investment Center. In addition, we are required to complete our Fab 2</w:t>
      </w:r>
    </w:p>
    <w:p>
      <w:pPr>
        <w:spacing w:after="0" w:line="238" w:lineRule="auto"/>
        <w:rPr>
          <w:sz w:val="20"/>
          <w:szCs w:val="20"/>
          <w:color w:val="auto"/>
        </w:rPr>
      </w:pPr>
      <w:r>
        <w:rPr>
          <w:rFonts w:ascii="Courier New" w:cs="Courier New" w:eastAsia="Courier New" w:hAnsi="Courier New"/>
          <w:sz w:val="15"/>
          <w:szCs w:val="15"/>
          <w:color w:val="auto"/>
        </w:rPr>
        <w:t>investments by the end of 2005, which we do not currently expect to satisfy.</w:t>
      </w:r>
    </w:p>
    <w:p>
      <w:pPr>
        <w:spacing w:after="0" w:line="237" w:lineRule="auto"/>
        <w:rPr>
          <w:sz w:val="20"/>
          <w:szCs w:val="20"/>
          <w:color w:val="auto"/>
        </w:rPr>
      </w:pPr>
      <w:r>
        <w:rPr>
          <w:rFonts w:ascii="Courier New" w:cs="Courier New" w:eastAsia="Courier New" w:hAnsi="Courier New"/>
          <w:sz w:val="15"/>
          <w:szCs w:val="15"/>
          <w:color w:val="auto"/>
        </w:rPr>
        <w:t>Israeli law limits the ability of the Investment Center to extend this time</w:t>
      </w:r>
    </w:p>
    <w:p>
      <w:pPr>
        <w:spacing w:after="0" w:line="238" w:lineRule="auto"/>
        <w:rPr>
          <w:sz w:val="20"/>
          <w:szCs w:val="20"/>
          <w:color w:val="auto"/>
        </w:rPr>
      </w:pPr>
      <w:r>
        <w:rPr>
          <w:rFonts w:ascii="Courier New" w:cs="Courier New" w:eastAsia="Courier New" w:hAnsi="Courier New"/>
          <w:sz w:val="15"/>
          <w:szCs w:val="15"/>
          <w:color w:val="auto"/>
        </w:rPr>
        <w:t>limitation, unless approved through an expansion plan. We have been holding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discussions with the Investment Center to achieve satisfactory arrangements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 a new expansion program to commence on January 1, 2006. In April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Investment Center's request, we submitted a revised business plan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Center for the period commencing on January 1, 2006. There can be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assurance that we will obtain the Investment Center's approval for the new</w:t>
      </w:r>
    </w:p>
    <w:p>
      <w:pPr>
        <w:spacing w:after="0" w:line="237" w:lineRule="auto"/>
        <w:rPr>
          <w:sz w:val="20"/>
          <w:szCs w:val="20"/>
          <w:color w:val="auto"/>
        </w:rPr>
      </w:pPr>
      <w:r>
        <w:rPr>
          <w:rFonts w:ascii="Courier New" w:cs="Courier New" w:eastAsia="Courier New" w:hAnsi="Courier New"/>
          <w:sz w:val="15"/>
          <w:szCs w:val="15"/>
          <w:color w:val="auto"/>
        </w:rPr>
        <w:t>expansion program. Any failure by us to meet the conditions of our grants may</w:t>
      </w:r>
    </w:p>
    <w:p>
      <w:pPr>
        <w:spacing w:after="0" w:line="238" w:lineRule="auto"/>
        <w:rPr>
          <w:sz w:val="20"/>
          <w:szCs w:val="20"/>
          <w:color w:val="auto"/>
        </w:rPr>
      </w:pPr>
      <w:r>
        <w:rPr>
          <w:rFonts w:ascii="Courier New" w:cs="Courier New" w:eastAsia="Courier New" w:hAnsi="Courier New"/>
          <w:sz w:val="15"/>
          <w:szCs w:val="15"/>
          <w:color w:val="auto"/>
        </w:rPr>
        <w:t>result in the cancellation of all or a portion of our grants and tax benefits</w:t>
      </w:r>
    </w:p>
    <w:p>
      <w:pPr>
        <w:spacing w:after="0" w:line="237" w:lineRule="auto"/>
        <w:rPr>
          <w:sz w:val="20"/>
          <w:szCs w:val="20"/>
          <w:color w:val="auto"/>
        </w:rPr>
      </w:pPr>
      <w:r>
        <w:rPr>
          <w:rFonts w:ascii="Courier New" w:cs="Courier New" w:eastAsia="Courier New" w:hAnsi="Courier New"/>
          <w:sz w:val="15"/>
          <w:szCs w:val="15"/>
          <w:color w:val="auto"/>
        </w:rPr>
        <w:t>and in the Investment Center requiring us to repay all or a portion of grants</w:t>
      </w:r>
    </w:p>
    <w:p>
      <w:pPr>
        <w:spacing w:after="0" w:line="238" w:lineRule="auto"/>
        <w:rPr>
          <w:sz w:val="20"/>
          <w:szCs w:val="20"/>
          <w:color w:val="auto"/>
        </w:rPr>
      </w:pPr>
      <w:r>
        <w:rPr>
          <w:rFonts w:ascii="Courier New" w:cs="Courier New" w:eastAsia="Courier New" w:hAnsi="Courier New"/>
          <w:sz w:val="15"/>
          <w:szCs w:val="15"/>
          <w:color w:val="auto"/>
        </w:rPr>
        <w:t>already received, If this were to happen, we would be required to seek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alternative financing sources to refund the grants we received and complete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ramp-up of Fab 2, which would have an adverse effect on our operations.</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IF OUR FUTURE OPERATIONS DO NOT INCREASE OR IF WE FAIL TO RAISE ADDITIONAL FUNDING, WE MAY BE UNABLE TO REPAY OUR DEBT ON A TIMELY BASIS.</w:t>
      </w:r>
    </w:p>
    <w:p>
      <w:pPr>
        <w:spacing w:after="0" w:line="160"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harm our financial results.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8" w:name="page9"/>
    <w:bookmarkEnd w:id="8"/>
    <w:p>
      <w:pPr>
        <w:ind w:right="3499"/>
        <w:spacing w:after="0" w:line="258" w:lineRule="auto"/>
        <w:rPr>
          <w:sz w:val="20"/>
          <w:szCs w:val="20"/>
          <w:color w:val="auto"/>
        </w:rPr>
      </w:pPr>
      <w:r>
        <w:rPr>
          <w:rFonts w:ascii="Courier New" w:cs="Courier New" w:eastAsia="Courier New" w:hAnsi="Courier New"/>
          <w:sz w:val="14"/>
          <w:szCs w:val="14"/>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6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HAVE A HISTORY OF OPERATING LOSSES AND EXPECT TO OPERATE AT A LOSS FOR THE FORESEEABLE FUTURE; OUR FACILITIES MUST OPERATE AT HIGH UTILIZATION RATES FOR US TO BE PROFITABLE.</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operated at a loss for the last number of years and expect to operate at a loss for the foreseeable future.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w:t>
      </w:r>
    </w:p>
    <w:p>
      <w:pPr>
        <w:spacing w:after="0" w:line="17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OPERATING RESULTS FLUCTUATE FROM QUARTER TO QUARTER WHICH MAKES IT DIFFICULT TO PREDICT OUR FUTURE PERFORMANCE.</w:t>
      </w:r>
    </w:p>
    <w:p>
      <w:pPr>
        <w:spacing w:after="0" w:line="173"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5" w:lineRule="exact"/>
        <w:rPr>
          <w:sz w:val="20"/>
          <w:szCs w:val="20"/>
          <w:color w:val="auto"/>
        </w:rPr>
      </w:pPr>
    </w:p>
    <w:p>
      <w:pPr>
        <w:ind w:left="1060" w:right="375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cyclical nature of both the semiconductor industry and the markets served by our customers;</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economic conditions of geographical regions where our customers and their markets are located;</w:t>
      </w:r>
    </w:p>
    <w:p>
      <w:pPr>
        <w:spacing w:after="0" w:line="173" w:lineRule="exact"/>
        <w:rPr>
          <w:rFonts w:ascii="Courier New" w:cs="Courier New" w:eastAsia="Courier New" w:hAnsi="Courier New"/>
          <w:sz w:val="15"/>
          <w:szCs w:val="15"/>
          <w:color w:val="auto"/>
        </w:rPr>
      </w:pPr>
    </w:p>
    <w:p>
      <w:pPr>
        <w:ind w:left="1060" w:right="375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Shifts by integrated device manufacturers (IDMs) and customers between internal and outsourced production;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and supply chain management of our customers;</w:t>
      </w:r>
    </w:p>
    <w:p>
      <w:pPr>
        <w:spacing w:after="0" w:line="172"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a key customer, postponement of an order from a key customer, failure of a key customer to pay accounts receivables in a timely manner or the financial condition of our customers;</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accounts receivables write-offs;</w:t>
      </w:r>
    </w:p>
    <w:p>
      <w:pPr>
        <w:spacing w:after="0" w:line="172"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rescheduling or cancellation of large orders or planned capital expenditures;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9" w:name="page10"/>
    <w:bookmarkEnd w:id="9"/>
    <w:p>
      <w:pPr>
        <w:ind w:left="1060" w:right="3399" w:hanging="526"/>
        <w:spacing w:after="0" w:line="23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our customers' demand of quality and timely production;</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volume of orders relative to our available production capacity;</w:t>
      </w:r>
    </w:p>
    <w:p>
      <w:pPr>
        <w:spacing w:after="0" w:line="173" w:lineRule="exact"/>
        <w:rPr>
          <w:rFonts w:ascii="Courier New" w:cs="Courier New" w:eastAsia="Courier New" w:hAnsi="Courier New"/>
          <w:sz w:val="15"/>
          <w:szCs w:val="15"/>
          <w:color w:val="auto"/>
        </w:rPr>
      </w:pPr>
    </w:p>
    <w:p>
      <w:pPr>
        <w:ind w:left="1060" w:right="3499" w:hanging="526"/>
        <w:spacing w:after="0" w:line="23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obtain raw materials and equipment on a timely and cost-effective basis;</w:t>
      </w:r>
    </w:p>
    <w:p>
      <w:pPr>
        <w:spacing w:after="0" w:line="173" w:lineRule="exact"/>
        <w:rPr>
          <w:rFonts w:ascii="Courier New" w:cs="Courier New" w:eastAsia="Courier New" w:hAnsi="Courier New"/>
          <w:sz w:val="15"/>
          <w:szCs w:val="15"/>
          <w:color w:val="auto"/>
        </w:rPr>
      </w:pPr>
    </w:p>
    <w:p>
      <w:pPr>
        <w:ind w:left="1060" w:right="3839" w:hanging="526"/>
        <w:spacing w:after="0" w:line="23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events or industrial accidents such as fires or explosions;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susceptibility to intellectual property rights disputes;</w:t>
      </w:r>
    </w:p>
    <w:p>
      <w:pPr>
        <w:spacing w:after="0" w:line="172" w:lineRule="exact"/>
        <w:rPr>
          <w:rFonts w:ascii="Courier New" w:cs="Courier New" w:eastAsia="Courier New" w:hAnsi="Courier New"/>
          <w:sz w:val="15"/>
          <w:szCs w:val="15"/>
          <w:color w:val="auto"/>
        </w:rPr>
      </w:pPr>
    </w:p>
    <w:p>
      <w:pPr>
        <w:ind w:left="1060" w:right="3939" w:hanging="526"/>
        <w:spacing w:after="0" w:line="235"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continue with existing and to enter into new partnerships and technology and supply alliances on mutually beneficial terms;</w:t>
      </w:r>
    </w:p>
    <w:p>
      <w:pPr>
        <w:spacing w:after="0" w:line="173"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capital expenditures exceeding planned capital expenditures;</w:t>
      </w:r>
    </w:p>
    <w:p>
      <w:pPr>
        <w:spacing w:after="0" w:line="177" w:lineRule="exact"/>
        <w:rPr>
          <w:rFonts w:ascii="Courier New" w:cs="Courier New" w:eastAsia="Courier New" w:hAnsi="Courier New"/>
          <w:sz w:val="14"/>
          <w:szCs w:val="14"/>
          <w:color w:val="auto"/>
        </w:rPr>
      </w:pPr>
    </w:p>
    <w:p>
      <w:pPr>
        <w:ind w:left="1060" w:right="3399" w:hanging="526"/>
        <w:spacing w:after="0" w:line="23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and interest rate fluctuations that may not be adequately hedged;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and short product life cycles;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for designing and the qualification of new products.</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7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LACK OF A SIGNIFICANT BACKLOG RESULTING FROM OUR CUSTOMERS NOT PLACING PURCHASE ORDERS FAR IN ADVANCE MAKES IT DIFFICULT FOR US TO FORECAST OUR REVENUES IN FUTURE PERIODS.</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SALES CYCLES MAY BE LONG AND, AS A RESULT, ORDERS RECEIVED MAY NOT MEET OUR EXPECTATIONS WHICH MAY ADVERSELY AFFECT OUR OPERATING RESULTS.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0" w:name="page11"/>
    <w:bookmarkEnd w:id="10"/>
    <w:p>
      <w:pPr>
        <w:ind w:right="3239"/>
        <w:spacing w:after="0" w:line="234" w:lineRule="auto"/>
        <w:rPr>
          <w:sz w:val="20"/>
          <w:szCs w:val="20"/>
          <w:color w:val="auto"/>
        </w:rPr>
      </w:pPr>
      <w:r>
        <w:rPr>
          <w:rFonts w:ascii="Courier New" w:cs="Courier New" w:eastAsia="Courier New" w:hAnsi="Courier New"/>
          <w:sz w:val="15"/>
          <w:szCs w:val="15"/>
          <w:color w:val="auto"/>
        </w:rPr>
        <w:t>DEMAND FOR OUR FOUNDRY SERVICES IS DEPENDANT ON THE DEMAND IN OUR CUSTOMERS' END MARKETS.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IF WE DO NOT ATTRACT ADDITIONAL CUSTOMERS, OUR BUSINESS MAY BE ADVERSELY AFFECTED.</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For the year ended December 31, 2004, approximately 63% of our business was generated by five significant customers which contributed between 6% to 24% of our revenues. We expect to continue to receive a significant portion of our revenue from a limited number of customers in 2005. Loss or cancellation of business from, or decreases in, the sales volume or sales prices to these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16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WE DEPEND ON A SMALL NUMBER OF PRODUCTS FOR A SIGNIFICANT PORTION OF OUR REVENUES.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IF WE DO NOT RECEIVE ORDERS FROM OUR WAFER PARTNERS WE MAY HAVE EXCESS CAPACITY.</w:t>
      </w:r>
    </w:p>
    <w:p>
      <w:pPr>
        <w:spacing w:after="0" w:line="17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have committed a portion of our Fab 2 capacity for future orders. During the ramp-up of Fab 2, our capacity commitments to our wafer partners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1" w:name="page12"/>
    <w:bookmarkEnd w:id="11"/>
    <w:p>
      <w:pPr>
        <w:ind w:right="3239"/>
        <w:spacing w:after="0" w:line="234" w:lineRule="auto"/>
        <w:rPr>
          <w:sz w:val="20"/>
          <w:szCs w:val="20"/>
          <w:color w:val="auto"/>
        </w:rPr>
      </w:pPr>
      <w:r>
        <w:rPr>
          <w:rFonts w:ascii="Courier New" w:cs="Courier New" w:eastAsia="Courier New" w:hAnsi="Courier New"/>
          <w:sz w:val="15"/>
          <w:szCs w:val="15"/>
          <w:color w:val="auto"/>
        </w:rPr>
        <w:t>IF WE DO NOT MAINTAIN AND DEVELOP OUR TECHNOLOGY PROCESSES AND SERVICES, WE WILL LOSE CUSTOMERS AND MAY NOT BE ABLE TO ATTRACT NEW ONES.</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The semiconductor market is characterized by rapid change, including the following:</w:t>
      </w:r>
    </w:p>
    <w:p>
      <w:pPr>
        <w:spacing w:after="0" w:line="167" w:lineRule="exact"/>
        <w:rPr>
          <w:sz w:val="20"/>
          <w:szCs w:val="20"/>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developments;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evolving industry standards;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requirements;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new product introductions and enhancements; and</w:t>
      </w:r>
    </w:p>
    <w:p>
      <w:pPr>
        <w:spacing w:after="0" w:line="172"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 product life cycles with declining prices as products mature.</w:t>
      </w:r>
    </w:p>
    <w:p>
      <w:pPr>
        <w:spacing w:after="0" w:line="178"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DO NOT COMPETE EFFECTIVELY, WE WILL LOSE BUSINESS TO OUR COMPETITORS.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72" w:lineRule="exact"/>
        <w:rPr>
          <w:sz w:val="20"/>
          <w:szCs w:val="20"/>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manufacturing capacity;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and more advanced manufacturing facilities;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advanced technological capabilities;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more diverse and established customer base;</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financial, marketing, distribution and other resources;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better cost structure; and/or</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better operational performance in cycle time and yields.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2" w:name="page13"/>
    <w:bookmarkEnd w:id="12"/>
    <w:p>
      <w:pPr>
        <w:ind w:right="4279"/>
        <w:spacing w:after="0" w:line="234" w:lineRule="auto"/>
        <w:rPr>
          <w:sz w:val="20"/>
          <w:szCs w:val="20"/>
          <w:color w:val="auto"/>
        </w:rPr>
      </w:pPr>
      <w:r>
        <w:rPr>
          <w:rFonts w:ascii="Courier New" w:cs="Courier New" w:eastAsia="Courier New" w:hAnsi="Courier New"/>
          <w:sz w:val="15"/>
          <w:szCs w:val="15"/>
          <w:color w:val="auto"/>
        </w:rPr>
        <w:t>WE HAVE A LARGE AMOUNT OF DEBT WHICH COULD HAVE SIGNIFICANT NEGATIVE CONSEQUENCES.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a large amount of long-term debt, which could have significant negative consequences. As of December 31, 2004, we had $497 million of bank debt and $26.7 million of debt in connection with our issuance of convertible debentures in January 2002. Our current and future indebtedness could have significant negative consequences, including:</w:t>
      </w:r>
    </w:p>
    <w:p>
      <w:pPr>
        <w:spacing w:after="0" w:line="174" w:lineRule="exact"/>
        <w:rPr>
          <w:sz w:val="20"/>
          <w:szCs w:val="20"/>
          <w:color w:val="auto"/>
        </w:rPr>
      </w:pPr>
    </w:p>
    <w:p>
      <w:pPr>
        <w:ind w:left="1060" w:right="3499" w:hanging="526"/>
        <w:spacing w:after="0" w:line="23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substantial portion of our expected cash flow from operations to service our indebtedness;</w:t>
      </w:r>
    </w:p>
    <w:p>
      <w:pPr>
        <w:spacing w:after="0" w:line="173" w:lineRule="exact"/>
        <w:rPr>
          <w:rFonts w:ascii="Courier New" w:cs="Courier New" w:eastAsia="Courier New" w:hAnsi="Courier New"/>
          <w:sz w:val="15"/>
          <w:szCs w:val="15"/>
          <w:color w:val="auto"/>
        </w:rPr>
      </w:pPr>
    </w:p>
    <w:p>
      <w:pPr>
        <w:ind w:left="1060" w:right="3939" w:hanging="526"/>
        <w:spacing w:after="0" w:line="23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additional financing;</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in planning for, or reacting to, changes in our business and the industry in which we compete;</w:t>
      </w:r>
    </w:p>
    <w:p>
      <w:pPr>
        <w:spacing w:after="0" w:line="173" w:lineRule="exact"/>
        <w:rPr>
          <w:rFonts w:ascii="Courier New" w:cs="Courier New" w:eastAsia="Courier New" w:hAnsi="Courier New"/>
          <w:sz w:val="15"/>
          <w:szCs w:val="15"/>
          <w:color w:val="auto"/>
        </w:rPr>
      </w:pPr>
    </w:p>
    <w:p>
      <w:pPr>
        <w:ind w:left="1060" w:right="3759" w:hanging="526"/>
        <w:spacing w:after="0" w:line="235"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placing us at a competitive disadvantage to less leveraged competitors and competitors that have better access to capital resources; and</w:t>
      </w:r>
    </w:p>
    <w:p>
      <w:pPr>
        <w:spacing w:after="0" w:line="173" w:lineRule="exact"/>
        <w:rPr>
          <w:rFonts w:ascii="Courier New" w:cs="Courier New" w:eastAsia="Courier New" w:hAnsi="Courier New"/>
          <w:sz w:val="15"/>
          <w:szCs w:val="15"/>
          <w:color w:val="auto"/>
        </w:rPr>
      </w:pPr>
    </w:p>
    <w:p>
      <w:pPr>
        <w:ind w:left="1060" w:right="3399" w:hanging="526"/>
        <w:spacing w:after="0" w:line="23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affecting our ability to make interest payments and other required debt service on our indebtedness.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IF WE FAIL TO SATISFY THE COVENANTS SET FORTH IN OUR AMENDED CREDIT FACILITY, OUR BANKS WILL BE ABLE TO CALL OUR LOANS.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credit facility, under which we have drawn down $497 million as of December 31, 2004, requires that we comply with certain financial, capital raising and production milestone covenants. Currently, we estimate that we may not comply with certain of the financial ratios and covenants for the third quarter of 2005 and thereafter. In connection with the negotiations for a definitive amendment to our credit facility agreement with our banks following the signing of a letter of intent in May 2005, we have submitted to our banks an updated Fab 2 working-plan based on prevailing and forecasted market conditions and requested our banks to amend the financial ratios and covenants in order to align them with the updated Fab 2 working-plan. Should we fail to comply with our covenants, and our banks do not waive our non-compliance, they may require us to immediately repay all loans made by them to us, plus penalties, and the banks would be entitled to exercise the remedies available to them under the credit facility, including enforcement of their lien against all our assets. This would have a material adverse effect on our company.</w:t>
      </w:r>
    </w:p>
    <w:p>
      <w:pPr>
        <w:spacing w:after="0" w:line="16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ISRAELI BANKING LAWS MAY IMPOSE RESTRICTIONS ON THE TOTAL DEBT THAT WE MAY BORROW FROM OUR BANKS.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Pursuant to an amendment to a directive published by the Israel Supervisor of Banks, effective March 31, 2004, we may be deemed part of a group of borrowers comprised of the Ofer Brothers Group, The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$497 million as of December 31, 2004), which may have a material adverse effect on our business, financial condition and results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3" w:name="page14"/>
    <w:bookmarkEnd w:id="13"/>
    <w:p>
      <w:pPr>
        <w:ind w:right="3759"/>
        <w:spacing w:after="0" w:line="235" w:lineRule="auto"/>
        <w:rPr>
          <w:sz w:val="20"/>
          <w:szCs w:val="20"/>
          <w:color w:val="auto"/>
        </w:rPr>
      </w:pPr>
      <w:r>
        <w:rPr>
          <w:rFonts w:ascii="Courier New" w:cs="Courier New" w:eastAsia="Courier New" w:hAnsi="Courier New"/>
          <w:sz w:val="15"/>
          <w:szCs w:val="15"/>
          <w:color w:val="auto"/>
        </w:rPr>
        <w:t>IF WE EXPERIENCE DIFFICULTY IN ACHIEVING ACCEPTABLE DEVICE YIELDS, PRODUCT PERFORMANCE AND DELIVERY TIMES AS A RESULT OF MANUFACTURING PROBLEMS, OUR BUSINESS WILL BE ADVERSELY AFFECTED.</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WE ARE UNABLE TO PURCHASE EQUIPMENT AND RAW MATERIALS, WE MAY NOT BE ABLE TO MANUFACTURE OUR PRODUCTS IN A TIMELY FASHION, WHICH MAY RESULT IN A LOSS OF EXISTING AND POTENTIAL NEW CUSTOMERS.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OUR EXPOSURE TO CURRENCY EXCHANGE AND INTEREST RATE FLUCTUATIONS MAY INCREASE OUR COST OF OPERATIONS.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4" w:name="page15"/>
    <w:bookmarkEnd w:id="14"/>
    <w:p>
      <w:pPr>
        <w:ind w:right="3319" w:firstLine="525"/>
        <w:spacing w:after="0" w:line="236" w:lineRule="auto"/>
        <w:rPr>
          <w:sz w:val="20"/>
          <w:szCs w:val="20"/>
          <w:color w:val="auto"/>
        </w:rPr>
      </w:pPr>
      <w:r>
        <w:rPr>
          <w:rFonts w:ascii="Courier New" w:cs="Courier New" w:eastAsia="Courier New" w:hAnsi="Courier New"/>
          <w:sz w:val="15"/>
          <w:szCs w:val="15"/>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WE DEPEND ON INTELLECTUAL PROPERTY RIGHTS OF THIRD PARTIES AND FAILURE TO MAINTAIN OR ACQUIRE LICENSES COULD HARM OUR BUSINESS.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FAILURE TO COMPLY WITH THE INTELLECTUAL PROPERTY RIGHTS OF THIRD PARTIES OR DEFEND OUR INTELLECTUAL PROPERTY RIGHTS COULD HARM OUR BUSINESS.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69" w:lineRule="exact"/>
        <w:rPr>
          <w:sz w:val="20"/>
          <w:szCs w:val="20"/>
          <w:color w:val="auto"/>
        </w:rPr>
      </w:pPr>
    </w:p>
    <w:p>
      <w:pPr>
        <w:ind w:left="1060" w:hanging="526"/>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negotiating cross-license agreements;</w:t>
      </w:r>
    </w:p>
    <w:p>
      <w:pPr>
        <w:spacing w:after="0" w:line="172" w:lineRule="exact"/>
        <w:rPr>
          <w:rFonts w:ascii="Courier New" w:cs="Courier New" w:eastAsia="Courier New" w:hAnsi="Courier New"/>
          <w:sz w:val="15"/>
          <w:szCs w:val="15"/>
          <w:color w:val="auto"/>
        </w:rPr>
      </w:pPr>
    </w:p>
    <w:p>
      <w:pPr>
        <w:ind w:left="1060" w:right="3399" w:hanging="526"/>
        <w:spacing w:after="0" w:line="235"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acquire licenses to the allegedly infringed patents, which may not be available on commercially reasonable terms, if at all;</w:t>
      </w:r>
    </w:p>
    <w:p>
      <w:pPr>
        <w:spacing w:after="0" w:line="173"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discontinuing use of certain process technologies, architectures, or designs, which could cause us to stop manufacturing certain integrated circuits if we were unable to design around the allegedly infringed patents;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5" w:name="page16"/>
    <w:bookmarkEnd w:id="15"/>
    <w:p>
      <w:pPr>
        <w:ind w:left="1060" w:right="3239" w:hanging="526"/>
        <w:spacing w:after="0" w:line="234"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fighting the matter in court and paying substantial monetary damages in the event we lose; or</w:t>
      </w:r>
    </w:p>
    <w:p>
      <w:pPr>
        <w:spacing w:after="0" w:line="173"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develop non-infringing technologies, which may not be feasible.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As of May 31, 2005, we held 53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WE COULD BE SERIOUSLY HARMED BY FAILURE TO COMPLY WITH ENVIRONMENTAL REGULATIONS.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7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ARE SUBJECT TO THE RISK OF LOSS DUE TO FIRE BECAUSE THE MATERIALS WE USE IN OUR MANUFACTURING PROCESSES ARE HIGHLY FLAMMABLE.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POSSIBLE PRODUCT RETURNS COULD HARM OUR BUSINESS.</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MAY BE REQUIRED TO REPAY GRANTS TO THE ISRAEL INVESTMENT CENTER THAT WE RECEIVED IN CONNECTION WITH FAB 1.</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SUBJECT TO RISKS RELATED TO OUR INTERNATIONAL OPERATIONS.</w:t>
      </w:r>
    </w:p>
    <w:p>
      <w:pPr>
        <w:spacing w:after="0" w:line="173"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In 2003 and 2004, we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060" w:right="3239" w:hanging="526"/>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comply with foreign government regulation;</w:t>
      </w:r>
    </w:p>
    <w:p>
      <w:pPr>
        <w:spacing w:after="0" w:line="172" w:lineRule="exact"/>
        <w:rPr>
          <w:rFonts w:ascii="Courier New" w:cs="Courier New" w:eastAsia="Courier New" w:hAnsi="Courier New"/>
          <w:sz w:val="15"/>
          <w:szCs w:val="15"/>
          <w:color w:val="auto"/>
        </w:rPr>
      </w:pPr>
    </w:p>
    <w:p>
      <w:pPr>
        <w:ind w:left="1060" w:right="3579" w:hanging="526"/>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geopolitical risks such as political and economic instability, potential hostilities and changes in diplomatic and trade relationships;</w:t>
      </w:r>
    </w:p>
    <w:p>
      <w:pPr>
        <w:spacing w:after="0" w:line="173" w:lineRule="exact"/>
        <w:rPr>
          <w:rFonts w:ascii="Courier New" w:cs="Courier New" w:eastAsia="Courier New" w:hAnsi="Courier New"/>
          <w:sz w:val="15"/>
          <w:szCs w:val="15"/>
          <w:color w:val="auto"/>
        </w:rPr>
      </w:pPr>
    </w:p>
    <w:p>
      <w:pPr>
        <w:jc w:val="both"/>
        <w:ind w:left="1060" w:right="3499" w:hanging="526"/>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 affecting the countries in which we conduct our business, such as the earthquakes experienced in China, Japan and Taiwan;</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sales to our customers or interruption in our manufacturing processes in Asia Pacific that may arise from regional issues in Asia;</w:t>
      </w:r>
    </w:p>
    <w:p>
      <w:pPr>
        <w:spacing w:after="0" w:line="173" w:lineRule="exact"/>
        <w:rPr>
          <w:rFonts w:ascii="Courier New" w:cs="Courier New" w:eastAsia="Courier New" w:hAnsi="Courier New"/>
          <w:sz w:val="15"/>
          <w:szCs w:val="15"/>
          <w:color w:val="auto"/>
        </w:rPr>
      </w:pPr>
    </w:p>
    <w:p>
      <w:pPr>
        <w:ind w:left="1060" w:right="3499" w:hanging="526"/>
        <w:spacing w:after="0" w:line="23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imposition of regulatory requirements, tariffs, import and export restrictions and other barriers and restrictions;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tax rules and regulations;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weak protection of our intellectual property rights;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 due to local customs restrictions.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7" w:name="page18"/>
    <w:bookmarkEnd w:id="17"/>
    <w:p>
      <w:pPr>
        <w:ind w:right="3679"/>
        <w:spacing w:after="0" w:line="234" w:lineRule="auto"/>
        <w:rPr>
          <w:sz w:val="20"/>
          <w:szCs w:val="20"/>
          <w:color w:val="auto"/>
        </w:rPr>
      </w:pPr>
      <w:r>
        <w:rPr>
          <w:rFonts w:ascii="Courier New" w:cs="Courier New" w:eastAsia="Courier New" w:hAnsi="Courier New"/>
          <w:sz w:val="15"/>
          <w:szCs w:val="15"/>
          <w:color w:val="auto"/>
        </w:rPr>
        <w:t>IF OUR NEW EXECUTIVE OFFICERS ARE UNABLE TO FULLY TRANSITION INTO THEIR NEW POSITIONS, OUR COMPANY MAY BE ADVERSELY AFFECTED.</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OUR BUSINESS COULD SUFFER IF WE ARE UNABLE TO RETAIN AND RECRUIT QUALIFIED PERSONNEL.</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depend on the continued services of our executive officer, senior managers and skilled technical and other personnel. Our business could suffer if we lose the services of some of these personnel and we cannot and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ORDINARY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STOCK PRICE MAY BE VOLATILE IN THE FUTURE.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76" w:lineRule="exact"/>
        <w:rPr>
          <w:sz w:val="20"/>
          <w:szCs w:val="20"/>
          <w:color w:val="auto"/>
        </w:rPr>
      </w:pPr>
    </w:p>
    <w:p>
      <w:pPr>
        <w:ind w:right="3399" w:firstLine="525"/>
        <w:spacing w:after="0" w:line="258" w:lineRule="auto"/>
        <w:rPr>
          <w:sz w:val="20"/>
          <w:szCs w:val="20"/>
          <w:color w:val="auto"/>
        </w:rPr>
      </w:pPr>
      <w:r>
        <w:rPr>
          <w:rFonts w:ascii="Courier New" w:cs="Courier New" w:eastAsia="Courier New" w:hAnsi="Courier New"/>
          <w:sz w:val="14"/>
          <w:szCs w:val="14"/>
          <w:color w:val="auto"/>
        </w:rPr>
        <w:t>In addition, it is possible that in some future periods our operating results may be below the expectations of public market analysts and investors. In this event, the price of our securities may under perform or fall.</w:t>
      </w:r>
    </w:p>
    <w:p>
      <w:pPr>
        <w:spacing w:after="0" w:line="16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ISSUANCE OF ADDITIONAL SHARES PURSUANT TO OUR FAB 2 FINANCING ARRANGEMENTS AND OPTIONS GRANTED TO OUR FAB 2 BUILDING CONTRACTOR, EMPLOYEES AND DIRECTORS MAY DILUTE THE INTEREST OF OUR SHAREHOLDERS.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connection with Fab 2, we have issued as of December 31, 2004,</w:t>
      </w:r>
    </w:p>
    <w:p>
      <w:pPr>
        <w:spacing w:after="0" w:line="237" w:lineRule="auto"/>
        <w:rPr>
          <w:sz w:val="20"/>
          <w:szCs w:val="20"/>
          <w:color w:val="auto"/>
        </w:rPr>
      </w:pPr>
      <w:r>
        <w:rPr>
          <w:rFonts w:ascii="Courier New" w:cs="Courier New" w:eastAsia="Courier New" w:hAnsi="Courier New"/>
          <w:sz w:val="15"/>
          <w:szCs w:val="15"/>
          <w:color w:val="auto"/>
        </w:rPr>
        <w:t>53,405,787 ordinary shares to our wafer and equity partners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In January 2001, we issued warrants to our banks exercisable into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 ordinary shares with an exercise price of $6.20. In December 2003, we</w:t>
      </w:r>
    </w:p>
    <w:p>
      <w:pPr>
        <w:spacing w:after="0" w:line="237" w:lineRule="auto"/>
        <w:rPr>
          <w:sz w:val="20"/>
          <w:szCs w:val="20"/>
          <w:color w:val="auto"/>
        </w:rPr>
      </w:pPr>
      <w:r>
        <w:rPr>
          <w:rFonts w:ascii="Courier New" w:cs="Courier New" w:eastAsia="Courier New" w:hAnsi="Courier New"/>
          <w:sz w:val="15"/>
          <w:szCs w:val="15"/>
          <w:color w:val="auto"/>
        </w:rPr>
        <w:t>issued to our banks and to one of our shareholders warrants exercisable into</w:t>
      </w:r>
    </w:p>
    <w:p>
      <w:pPr>
        <w:spacing w:after="0" w:line="238" w:lineRule="auto"/>
        <w:rPr>
          <w:sz w:val="20"/>
          <w:szCs w:val="20"/>
          <w:color w:val="auto"/>
        </w:rPr>
      </w:pPr>
      <w:r>
        <w:rPr>
          <w:rFonts w:ascii="Courier New" w:cs="Courier New" w:eastAsia="Courier New" w:hAnsi="Courier New"/>
          <w:sz w:val="15"/>
          <w:szCs w:val="15"/>
          <w:color w:val="auto"/>
        </w:rPr>
        <w:t>896,596 and 58,906 ordinary shares, respectively, with an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$6.17. Up to approximately 8.5 million additional ordinary shares may be issued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conversion of our outstanding convertible debentures and upon exercise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warrants held by some of our shareholders, our debenture holders and our Fab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contractor.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8" w:name="page19"/>
    <w:bookmarkEnd w:id="18"/>
    <w:p>
      <w:pPr>
        <w:ind w:right="3239" w:firstLine="525"/>
        <w:spacing w:after="0" w:line="237" w:lineRule="auto"/>
        <w:rPr>
          <w:sz w:val="20"/>
          <w:szCs w:val="20"/>
          <w:color w:val="auto"/>
        </w:rPr>
      </w:pPr>
      <w:r>
        <w:rPr>
          <w:rFonts w:ascii="Courier New" w:cs="Courier New" w:eastAsia="Courier New" w:hAnsi="Courier New"/>
          <w:sz w:val="15"/>
          <w:szCs w:val="15"/>
          <w:color w:val="auto"/>
        </w:rPr>
        <w:t>In addition, as of May 31, 2005, we had outstanding employee and directors options to purchase up to 11.5 million shares at a weighted average exercise price of $4.74 (excluding options to purchase up to 1,325,724 shares approved by our board to be granted to our CEO but which are subject to approval of our shareholders), of which 2.9 million options have an exercise price below $1.71. We have also entered into a number of agreements which may result in our issuing large numbers of shares, particularly if we complete the transactions contemplated by these agreements at a time when our share price is low. For example, we have agreed that our wafer partners may elect to convert, on a quarterly basis through 2006, wafer credits we have issued them into our ordinary shares rather than use these credits to reduce their cash payments for wafers manufactured in Fab 2, based on the average trading price of our ordinary shares during the 15 consecutive trading days preceding the relevant quarter. As of May 31, 2005, we have issued 703,554 of our ordinary shares to Sandisk upon conversion of $1.5 million of wafer credits. See "Item 5 - Liquidity and Capital Resources - "Fab 2 Agreements".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May 2005, we signed a letter of intent with our banks which provides for financing in the amount of up to $30 million, subject to, among other things, a similar amount being raised by us from investors. To date, certain of our equity investors and wafer partners have informed us of their willingness to invest $23.5 million towards such funding by investors. In addition, we may seek to raise additional funds from other sources. The investments to be made towards the funding by investors required by our banks, or from other sources, may be for shares or for securities convertible into shares, which would dilute the holdings of our current shareholders.</w:t>
      </w:r>
    </w:p>
    <w:p>
      <w:pPr>
        <w:spacing w:after="0" w:line="1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MARKET SALES OF LARGE AMOUNTS OF OUR SHARES ELIGIBLE FOR FUTURE SALE MAY LOWER THE PRICE OF OUR ORDINARY SHARES.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Of our 66,286,187 outstanding ordinary shares as of May 31,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Alliance Semiconductor, and Macronix International) hold 41,588,093 of our shares, of which 4,086,037 are registered for resale and are therefore freely tradable and 6,810,462 are currently eligible for sale subject to the time, volume and manner of sale limitations of Rule 144. An additional 691,594 shares held by SanDisk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PRINCIPAL SHAREHOLDERS OWN A CONTROLLING INTEREST IN US AND WILL BE ABLE TO EXERCISE THEIR INTEREST IN WAYS WHICH MAY BE ADVERSE TO YOUR INTERESTS.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wafer partners and Israel Corp. own approximately 65%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The Israel Corporation effectively control our company and may exercise this control in a manner adverse to the interests of our other shareholders.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RISKS RELATED TO OUR OPERATIONS IN ISRAEL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INSTABILITY IN ISRAEL MAY HARM OUR BUSINESS.</w:t>
      </w:r>
    </w:p>
    <w:p>
      <w:pPr>
        <w:spacing w:after="0" w:line="173" w:lineRule="exact"/>
        <w:rPr>
          <w:sz w:val="20"/>
          <w:szCs w:val="20"/>
          <w:color w:val="auto"/>
        </w:rPr>
      </w:pPr>
    </w:p>
    <w:p>
      <w:pPr>
        <w:ind w:right="3679" w:firstLine="525"/>
        <w:spacing w:after="0" w:line="258" w:lineRule="auto"/>
        <w:rPr>
          <w:sz w:val="20"/>
          <w:szCs w:val="20"/>
          <w:color w:val="auto"/>
        </w:rPr>
      </w:pPr>
      <w:r>
        <w:rPr>
          <w:rFonts w:ascii="Courier New" w:cs="Courier New" w:eastAsia="Courier New" w:hAnsi="Courier New"/>
          <w:sz w:val="14"/>
          <w:szCs w:val="14"/>
          <w:color w:val="auto"/>
        </w:rPr>
        <w:t>All of our manufacturing facilities and our corporate and some of our sales offices are located in Israel. Accordingly, political, economic and military conditions in Israel may directly affect our business.</w:t>
      </w:r>
    </w:p>
    <w:p>
      <w:pPr>
        <w:spacing w:after="0" w:line="161"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34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OPERATIONS MAY BE NEGATIVELY AFFECTED BY THE OBLIGATIONS OF OUR PERSONNEL TO PERFORM MILITARY SERVICE.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OUR OPERATIONS MAY BE AFFECTED BY NEGATIVE ECONOMIC CONDITIONS IN ISRAEL.</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THE EXEMPTION ALLOWING US TO OPERATE OUR MANUFACTURING FACILITIES SEVEN DAYS A WEEK IS NOT RENEWED, OUR BUSINESS WILL BE ADVERSELY AFFECTED.</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7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IF WE ARE CONSIDERED TO BE A PASSIVE FOREIGN INVESTMENT COMPANY, EITHER PRESENTLY OR IN THE FUTURE, U.S. HOLDERS WILL BE SUBJECT TO ADVERSE U.S. TAX CONSEQUENCES.</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1" w:name="page22"/>
    <w:bookmarkEnd w:id="21"/>
    <w:p>
      <w:pPr>
        <w:ind w:right="3319"/>
        <w:spacing w:after="0" w:line="235" w:lineRule="auto"/>
        <w:rPr>
          <w:sz w:val="20"/>
          <w:szCs w:val="20"/>
          <w:color w:val="auto"/>
        </w:rPr>
      </w:pPr>
      <w:r>
        <w:rPr>
          <w:rFonts w:ascii="Courier New" w:cs="Courier New" w:eastAsia="Courier New" w:hAnsi="Courier New"/>
          <w:sz w:val="15"/>
          <w:szCs w:val="15"/>
          <w:color w:val="auto"/>
        </w:rPr>
        <w:t>IT MAY BE DIFFICULT TO ENFORCE A U.S. JUDGMENT AGAINST US, OUR OFFICERS AND DIRECTORS AND SOME OF THE EXPERTS NAMED IN THIS ANNUAL REPORT OR TO ASSERT U.S. SECURITIES LAW CLAIMS IN ISRAEL.</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7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4. INFORMATION ON THE COMPANY</w:t>
      </w:r>
    </w:p>
    <w:p>
      <w:pPr>
        <w:spacing w:after="0" w:line="166" w:lineRule="exact"/>
        <w:rPr>
          <w:sz w:val="20"/>
          <w:szCs w:val="20"/>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HISTORY AND DEVELOPMENT OF THE COMPANY</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We are a pure-play independent wafer foundry dedicated to the manufacture of semiconductors and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while</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0.13-micron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are focused on establishing leading market share in high-growth specialized markets by providing our customers with high-value wafer foundry services. Our historical focus has been standard digital CMOS process technology, which is the most widely used method of producing ICs. We currently are focused on the emerging opportunities surrounding CMOS image sensors, embedded flash, mixed-signal and RFCMOS technologies. In addition, we have commenced development of a new technology that targets the radio frequency identification, or RFID, Tags market. Through our expertise and experience gained over a decade of operations, we differentiate ourselves in these areas by creating a high level of value for our clients through innovative technological processes, design support and services, competitive manufacturing indices, such as cycle times and yields, and dedicated customer service.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2" w:name="page23"/>
    <w:bookmarkEnd w:id="22"/>
    <w:p>
      <w:pPr>
        <w:ind w:right="3239" w:firstLine="525"/>
        <w:spacing w:after="0" w:line="236" w:lineRule="auto"/>
        <w:rPr>
          <w:sz w:val="20"/>
          <w:szCs w:val="20"/>
          <w:color w:val="auto"/>
        </w:rPr>
      </w:pPr>
      <w:r>
        <w:rPr>
          <w:rFonts w:ascii="Courier New" w:cs="Courier New" w:eastAsia="Courier New" w:hAnsi="Courier New"/>
          <w:sz w:val="15"/>
          <w:szCs w:val="15"/>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We have also expanded our capacity in Fab 1 to approximately 16,000 wafers per month to meet additional customer demand.</w:t>
      </w:r>
    </w:p>
    <w:p>
      <w:pPr>
        <w:spacing w:after="0" w:line="17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In May 2004, we signed a foundry agreement with Siliconix incorporated, a subsidiary of Vishay Intertechnology, Inc., for the long-term production of semiconductors. Pursuant to the terms of this agreement, Siliconix will place with us orders valued at approximately $200 million for the purchase of semiconductor wafers to be manufactured at our Fab 1 facility over a seven to ten year period. Siliconix has advanced to us $20 million to be used for the purchase of additional equipment required to satisfy Siliconix's orders, with this amount credited towards the purchase price of the wafers.</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completed the construction of the building and infrastructure and are in the course of ramping our second manufacturing facility, or Fab 2. Fab 2 is designed to operate in geometries of 0.18-micron and below, using advanced materials and advanced CMOS technology licensed from Freescale and Toshiba and other technologies that we might acquire or develop independently or with development partners. Production capacity at the end of December 2004 was 14,600 wafers per month. We currently expect to have production capacity of 15,400 wafers per month by the end of 2005, of which approximately 800 wafers per month are expected to be in 0.13-micron.</w:t>
      </w:r>
    </w:p>
    <w:p>
      <w:pPr>
        <w:spacing w:after="0" w:line="178"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Our capital expenditures net of Investment Center grants for 2004, 2003 and 2002 of $142 million, $137 million and $206 million, respectively, were made principally in connection with the construction of, and purchase of equipment and technology for, Fab 2.</w:t>
      </w:r>
    </w:p>
    <w:p>
      <w:pPr>
        <w:spacing w:after="0" w:line="17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Our legal and commercial name is Tower Semiconductor Ltd. We were incorporated under the laws of Israel. Our manufacturing facilities and executive offices are located in the Ramat Gavriel Industrial Park, Post Office Box 619, Migdal Haemek, 23105 Israel, and our telephone number is</w:t>
      </w:r>
    </w:p>
    <w:p>
      <w:pPr>
        <w:spacing w:after="0" w:line="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972-4-650-6611. Our worldwide web site is located at http://www.towersemi.com. Information on our web site is not incorporated by reference in this annual report.</w:t>
      </w:r>
    </w:p>
    <w:p>
      <w:pPr>
        <w:spacing w:after="0" w:line="174" w:lineRule="exact"/>
        <w:rPr>
          <w:sz w:val="20"/>
          <w:szCs w:val="20"/>
          <w:color w:val="auto"/>
        </w:rPr>
      </w:pPr>
    </w:p>
    <w:p>
      <w:pPr>
        <w:ind w:right="7699" w:firstLine="534"/>
        <w:spacing w:after="0" w:line="465" w:lineRule="auto"/>
        <w:tabs>
          <w:tab w:leader="none" w:pos="10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OVERVIEW INDUSTRY OVERVIEW</w:t>
      </w:r>
    </w:p>
    <w:p>
      <w:pPr>
        <w:spacing w:after="0" w:line="14"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3" w:name="page24"/>
    <w:bookmarkEnd w:id="23"/>
    <w:p>
      <w:pPr>
        <w:ind w:right="3239" w:firstLine="525"/>
        <w:spacing w:after="0" w:line="237" w:lineRule="auto"/>
        <w:rPr>
          <w:sz w:val="20"/>
          <w:szCs w:val="20"/>
          <w:color w:val="auto"/>
        </w:rPr>
      </w:pPr>
      <w:r>
        <w:rPr>
          <w:rFonts w:ascii="Courier New" w:cs="Courier New" w:eastAsia="Courier New" w:hAnsi="Courier New"/>
          <w:sz w:val="15"/>
          <w:szCs w:val="15"/>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that focus primarily on providing IC manufacturing services to semiconductor suppliers. Foundry services are now used by nearly every major semiconductor company in the world, including IDMs as part of a dual-source, risk-diversification and cost effectiveness strategy.</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Semiconductor suppliers face increasing demands for new products that provide higher performance, greater functionality and smaller form factors at lower prices, which require increasingly complex ICs. In addition to the increased complexity of designs, there has also been a dramatic increase in the number of applications for semiconductors. To compete successfully, semiconductor suppliers must also minimize the time it takes to bring a product to market. As a result, fabless companies and IDMs are focusing more on their core competencies - design and intellectual property - and outsourcing manufacturing to foundries.</w:t>
      </w:r>
    </w:p>
    <w:p>
      <w:pPr>
        <w:spacing w:after="0" w:line="178"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The consumer sector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163"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information services, often at a level previously found only at an IDM's internal facilities.</w:t>
      </w:r>
    </w:p>
    <w:p>
      <w:pPr>
        <w:spacing w:after="0" w:line="173"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These trends have led to the rapid growth in demand in recent years for advanced semiconductor manufacturing services provided by independent foundries.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SPECIALIZED TECHNOLOGIES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provide wafer fabrication services and technologies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unique positions in large, high-growth specialized markets for CMOS image sensors, embedded flash memory, mixed signal and RF CMOS ICs. We serve as a sole source or alternative provider of foundry services.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4" w:name="page25"/>
    <w:bookmarkEnd w:id="24"/>
    <w:p>
      <w:pPr>
        <w:ind w:right="3239" w:firstLine="525"/>
        <w:spacing w:after="0" w:line="236" w:lineRule="auto"/>
        <w:rPr>
          <w:sz w:val="20"/>
          <w:szCs w:val="20"/>
          <w:color w:val="auto"/>
        </w:rPr>
      </w:pPr>
      <w:r>
        <w:rPr>
          <w:rFonts w:ascii="Courier New" w:cs="Courier New" w:eastAsia="Courier New" w:hAnsi="Courier New"/>
          <w:sz w:val="15"/>
          <w:szCs w:val="15"/>
          <w:color w:val="auto"/>
        </w:rPr>
        <w:t>We believe that we are a trusted, customer-oriented service provider that has built a solid reputation in the foundry industry over the last twelve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As a result, we have a high customer retention rate, which is illustrated by our long-standing relationships with leading semiconductor suppliers such as Motorola (now Freescale).</w:t>
      </w:r>
    </w:p>
    <w:p>
      <w:pPr>
        <w:spacing w:after="0" w:line="179"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derived approximately 39% of our revenues for the year ended December 31, 2004 from our target specialized markets: CMOS image sensors, embedded flash and mixed-signal ICs. We are highly experienced in these markets, being an early entrant and having developed unique proprietary technologies, primarily through licensing and joint development efforts with our customers and other technology companies.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CMOS IMAGE SENSORS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We are currently actively involved in this mass market as well as the high-end sensor and applications specific markets, which include applications such as industrial machine vision, medical equipment and automotive sensors. While CMOS image sensors for advanced optical applications are an emerging technology, we believe that they are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current control, making it possible to design CMOS image sensors that provide high image quality at a significantly lower cost.</w:t>
      </w:r>
    </w:p>
    <w:p>
      <w:pPr>
        <w:spacing w:after="0" w:line="33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sensor design services, optical characterization of a CMOS process, innovative stitching manufacturing technique and optical testing and packaging. CMOS image sensors manufactured by us deliver outstanding image quality for a broad spectrum of digital imaging applications. As the market for these products becomes more main stream, we expect that more competition will enter this high growth market and some of those products will become commodities.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FLASH</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5" w:name="page26"/>
    <w:bookmarkEnd w:id="25"/>
    <w:p>
      <w:pPr>
        <w:ind w:right="3239" w:firstLine="525"/>
        <w:spacing w:after="0" w:line="255" w:lineRule="auto"/>
        <w:rPr>
          <w:sz w:val="20"/>
          <w:szCs w:val="20"/>
          <w:color w:val="auto"/>
        </w:rPr>
      </w:pPr>
      <w:r>
        <w:rPr>
          <w:rFonts w:ascii="Courier New" w:cs="Courier New" w:eastAsia="Courier New" w:hAnsi="Courier New"/>
          <w:sz w:val="14"/>
          <w:szCs w:val="14"/>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1997, we entered into a strategic investment and technology agreement with Saifun Semiconductors Ltd., pursuant to which we obtained approximately a 10% equity stake in Saifun. Together we brought to market a new non-volatile memory technology based on 0.5-micron, microFlash(TM)/NROM(TM). NROM technology enables the implementation of ultra high-density flash arrays using CMOS processes, and is particularly suitable for embedding flash arrays with standard CMOS logic, as well as for commodity memories.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w:t>
      </w:r>
    </w:p>
    <w:p>
      <w:pPr>
        <w:spacing w:after="0" w:line="165"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In December 2004, we sold our entire equity stake in Saifun for approximately $39 million. This sale had no effect on our technology rights under our agreement with Saifun.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MIXED SIGNAL AND RF CMOS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w:t>
      </w:r>
    </w:p>
    <w:p>
      <w:pPr>
        <w:spacing w:after="0" w:line="173" w:lineRule="exact"/>
        <w:rPr>
          <w:sz w:val="20"/>
          <w:szCs w:val="20"/>
          <w:color w:val="auto"/>
        </w:rPr>
      </w:pPr>
    </w:p>
    <w:p>
      <w:pPr>
        <w:ind w:right="3499" w:firstLine="525"/>
        <w:spacing w:after="0" w:line="254" w:lineRule="auto"/>
        <w:rPr>
          <w:sz w:val="20"/>
          <w:szCs w:val="20"/>
          <w:color w:val="auto"/>
        </w:rPr>
      </w:pPr>
      <w:r>
        <w:rPr>
          <w:rFonts w:ascii="Courier New" w:cs="Courier New" w:eastAsia="Courier New" w:hAnsi="Courier New"/>
          <w:sz w:val="14"/>
          <w:szCs w:val="14"/>
          <w:color w:val="auto"/>
        </w:rPr>
        <w:t>We focus on providing high-quality mixed-signal capabilities, as this technology is a cornerstone to both CMOS image sensor and embedded flash applications. Our expertise in mixed signal has been further enhanced through several strategic initiatives. In 1998, Motorola transferred its 0.6- and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0.8-micron analog and mixed-signal processes to our Fab 1 facility. In May 2003, we licensed a wide array of intellectual property from Chipidea for our Fab 2. Our customers can use Chipidea's extensive IP portfolio with our advanced technology for a state-of-the-art solution that meets their analog and mixed-signal design needs. For example, in February 2004, we launched production of a Coder-Decoder (CODEC) IC for Smart Link, Ltd. utilizing 0.18-micron, mixed-signal technology provided by Chipidea in our Fab 2 facility.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6" w:name="page27"/>
    <w:bookmarkEnd w:id="26"/>
    <w:p>
      <w:pPr>
        <w:ind w:right="3239" w:firstLine="525"/>
        <w:spacing w:after="0" w:line="236" w:lineRule="auto"/>
        <w:rPr>
          <w:sz w:val="20"/>
          <w:szCs w:val="20"/>
          <w:color w:val="auto"/>
        </w:rPr>
      </w:pPr>
      <w:r>
        <w:rPr>
          <w:rFonts w:ascii="Courier New" w:cs="Courier New" w:eastAsia="Courier New" w:hAnsi="Courier New"/>
          <w:sz w:val="15"/>
          <w:szCs w:val="15"/>
          <w:color w:val="auto"/>
        </w:rPr>
        <w:t>In recent years, more and more designers opt to develop high frequency products based on RFCMOS technologies as opposed to exotic process technologies, such as SiGe or GaAs. The superior cost structure of CMOS technologies enables high volume, low cost production of such high frequency products. We use our mixed signal expertise to leverage and develop processes and provide services for customers utilizing CMOS technologies.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CONVERGENCE OF TECHNOLOGIES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response to the growing demand for a single chip to offer a wide array of functions, we are leveraging a combination of some of the abovementioned technologies by developing a single chip with multiple functions. The successful development of this chip will allow us to provide additional value to our customers and obtain a unique market position by offering our customers a unique technology platform. During 2004, we engaged in projects merging CMOS, NVM and CIS for unique solutions to customers' needs, as well as in a project targeting RFID Tags applications merging RFCMOS, Mixed Signal and NVM technologies onto a single chip.</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MARKETING AND SALES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marketing and sales strategy seeks to aggressively expand our global customer base. To achieve this objective, we match our standard digital CMOS technology to the industry benchmark and differentiate ourselves based on customer service, design support and expertise in specialized technologies, such as CMOS image sensors, embedded flash and mixed signal. We have marketing, sales and engineering support personnel in the United States, Taiwan and Israel. Our marketing and sales staff is supported by independent sales representatives, located throughout the world, who have been selected based on their understanding of the semiconductor marketplace.</w:t>
      </w:r>
    </w:p>
    <w:p>
      <w:pPr>
        <w:spacing w:after="0" w:line="178"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Our sales cycle is generally 12-24 months or longer for new customers and can be as short as 9-12 months for existing customers. The typical stages in the sales cycle process from initial contact until production are:</w:t>
      </w:r>
    </w:p>
    <w:p>
      <w:pPr>
        <w:spacing w:after="0" w:line="167" w:lineRule="exact"/>
        <w:rPr>
          <w:sz w:val="20"/>
          <w:szCs w:val="20"/>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evaluation;</w:t>
      </w:r>
    </w:p>
    <w:p>
      <w:pPr>
        <w:spacing w:after="0" w:line="172"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design to our specifications including integration of third party intellectual property;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photomask design and third party manufacturing;</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 prototyping;</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assembly and test;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validation and qualification;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7" w:name="page28"/>
    <w:bookmarkEnd w:id="27"/>
    <w:p>
      <w:pPr>
        <w:ind w:right="3239" w:firstLine="525"/>
        <w:spacing w:after="0" w:line="255" w:lineRule="auto"/>
        <w:rPr>
          <w:sz w:val="20"/>
          <w:szCs w:val="20"/>
          <w:color w:val="auto"/>
        </w:rPr>
      </w:pPr>
      <w:r>
        <w:rPr>
          <w:rFonts w:ascii="Courier New" w:cs="Courier New" w:eastAsia="Courier New" w:hAnsi="Courier New"/>
          <w:sz w:val="14"/>
          <w:szCs w:val="14"/>
          <w:color w:val="auto"/>
        </w:rPr>
        <w:t>The primary customers of our foundry services are fabless semiconductor companies and IDMs. A substantial portion of our product sales are made pursuant to long-term contracts with our customers, under which we have agreed to reserve manufacturing capacity at our production facilities for such customers. When we commenced business in March 1993, our only customer was National Semiconductor. Since then, we have succeeded in adding a significant number of new customers, including many industry leaders and a number of Taiwanese companies who preferred our solution to that offered locally. During the year ended December 31, 2004, we had five significant customers who contributed 24%, 17%, 8%, 8% and 6% of our revenues, respectively. In 2003, we had three significant customers who contributed 24%, 20% and 11% of our revenues, respectively. In 2002, we had three significant customers who contributed 31%, 16% and 13% of our revenues, respectively.</w:t>
      </w:r>
    </w:p>
    <w:p>
      <w:pPr>
        <w:spacing w:after="0" w:line="33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In addition to further developing our customer base, we have also made a concentrated effort to expand the geographical diversity of our sales. The percentage of our sales from customers located outside the United States was 38%, 27% and 40% in the years ended December 31, 2002, 2003 and 2004, respectively. We believe that a substantial portion of our sales will continue to come from customers located outside the United States. The following table sets forth the geographical distribution, by percentage, of our net sales for the periods indicated: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3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120" w:type="dxa"/>
            <w:vAlign w:val="bottom"/>
          </w:tcPr>
          <w:p>
            <w:pPr>
              <w:spacing w:after="0"/>
              <w:rPr>
                <w:sz w:val="14"/>
                <w:szCs w:val="14"/>
                <w:color w:val="auto"/>
              </w:rPr>
            </w:pPr>
          </w:p>
        </w:tc>
        <w:tc>
          <w:tcPr>
            <w:tcW w:w="336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120" w:type="dxa"/>
            <w:vAlign w:val="bottom"/>
          </w:tcPr>
          <w:p>
            <w:pPr>
              <w:spacing w:after="0"/>
              <w:rPr>
                <w:sz w:val="14"/>
                <w:szCs w:val="14"/>
                <w:color w:val="auto"/>
              </w:rPr>
            </w:pPr>
          </w:p>
        </w:tc>
        <w:tc>
          <w:tcPr>
            <w:tcW w:w="14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120" w:type="dxa"/>
            <w:vAlign w:val="bottom"/>
          </w:tcPr>
          <w:p>
            <w:pPr>
              <w:spacing w:after="0"/>
              <w:rPr>
                <w:sz w:val="14"/>
                <w:szCs w:val="14"/>
                <w:color w:val="auto"/>
              </w:rPr>
            </w:pPr>
          </w:p>
        </w:tc>
        <w:tc>
          <w:tcPr>
            <w:tcW w:w="14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United States</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r>
      <w:tr>
        <w:trPr>
          <w:trHeight w:val="168"/>
        </w:trPr>
        <w:tc>
          <w:tcPr>
            <w:tcW w:w="312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Israel</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1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Pacific Rim (including Japan)</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12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12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10"/>
        <w:spacing w:after="0" w:line="261" w:lineRule="auto"/>
        <w:tabs>
          <w:tab w:leader="none" w:pos="52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payments made to us in connection with our June 2002 joint development agreement for 0.18-micron embedded MICROFLASH technology.</w:t>
      </w:r>
    </w:p>
    <w:p>
      <w:pPr>
        <w:spacing w:after="0" w:line="160"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currently allocate a portion of our wafer manufacturing capacity in Fab 2 to certain customers under several types of agreements. We are also obligated to make capacity available to customers under certain other agreements (see "Item 5 - Management's Discussion and Analysis of Financial Condition and Results of Operations - Fab 2 Agreements"). Some of our primary customers are also our shareholders.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global semiconductor foundry industry is highly competitive. We compete with more than 10 independent dedicated foundries, including Taiwan Semiconductor Manufacturing Corporation, United Microelectronics and Chartered Semiconductor Manufacturing; emerging and existing Chinese, Korean, Malaysian and Taiwanese foundries, including Semiconductor Manufacturing International Corp., DongBuAnam, He Jien Technology, ASMC, Hynix, Powerchip Semiconductor, 1st Silicon, Grace, HHNEC, and Silterra; other specialized foundries, such as AMI Semiconductor, Jazz Semiconductor and X-Fab; and IDMs and end-product manufacturers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We believe that the principal elements of competition in the wafer foundry market are: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8" w:name="page29"/>
    <w:bookmarkEnd w:id="28"/>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competence;</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quality;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time-to-market;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 and end-product price;</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capacity;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 yields;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customer support services;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intellectual property;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capabilities.</w:t>
      </w:r>
    </w:p>
    <w:p>
      <w:pPr>
        <w:spacing w:after="0" w:line="173" w:lineRule="exact"/>
        <w:rPr>
          <w:sz w:val="20"/>
          <w:szCs w:val="20"/>
          <w:color w:val="auto"/>
        </w:rPr>
      </w:pPr>
    </w:p>
    <w:p>
      <w:pPr>
        <w:ind w:right="3679" w:firstLine="525"/>
        <w:spacing w:after="0" w:line="256" w:lineRule="auto"/>
        <w:rPr>
          <w:sz w:val="20"/>
          <w:szCs w:val="20"/>
          <w:color w:val="auto"/>
        </w:rPr>
      </w:pPr>
      <w:r>
        <w:rPr>
          <w:rFonts w:ascii="Courier New" w:cs="Courier New" w:eastAsia="Courier New" w:hAnsi="Courier New"/>
          <w:sz w:val="14"/>
          <w:szCs w:val="14"/>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16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seek to compete primarily on the basis of technology, production quality, device yields and services involving both design and manufacturing. We believe we have a differentiated service offering and track record in specialized markets, which enables us to effectively compete with larger IC manufacturers.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FABRICATION SERVICES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CIRCUIT DESIGN. IC production begins when a fabless IC company or IDM designs the layout of a device's 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166"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MASK MAKING. The design for each layer of a semiconductor wafer is imprinted on a photographic negative, called a reticle or mask. The mask is the blueprint for each specific layer of the semiconductor wafer.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9" w:name="page30"/>
    <w:bookmarkEnd w:id="29"/>
    <w:p>
      <w:pPr>
        <w:ind w:right="3239" w:firstLine="525"/>
        <w:spacing w:after="0" w:line="255" w:lineRule="auto"/>
        <w:rPr>
          <w:sz w:val="20"/>
          <w:szCs w:val="20"/>
          <w:color w:val="auto"/>
        </w:rPr>
      </w:pPr>
      <w:r>
        <w:rPr>
          <w:rFonts w:ascii="Courier New" w:cs="Courier New" w:eastAsia="Courier New" w:hAnsi="Courier New"/>
          <w:sz w:val="14"/>
          <w:szCs w:val="14"/>
          <w:color w:val="auto"/>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16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PROCESSES</w:t>
      </w:r>
    </w:p>
    <w:p>
      <w:pPr>
        <w:spacing w:after="0" w:line="173"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 assumes responsibility for dicing, assembly and testing. Although we are an independent foundry specializing in wafer fabrication, we offer our customers the option to purchase from us finished semiconductor products that have been assembled and tested. In these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industry-leading customers. The specific process technologies that we currently focus on include:</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CMOS IMAGE SENSORS. Our advanced CMOS image sensor process is intended to meet the established growing demand for optical sensors used in consumer, industrial, medical and automotive applications.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to our photodiode enable faithful color reproduction and acute detail definition.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0" w:name="page31"/>
    <w:bookmarkEnd w:id="30"/>
    <w:p>
      <w:pPr>
        <w:ind w:right="3239" w:firstLine="525"/>
        <w:spacing w:after="0" w:line="236" w:lineRule="auto"/>
        <w:rPr>
          <w:sz w:val="20"/>
          <w:szCs w:val="20"/>
          <w:color w:val="auto"/>
        </w:rPr>
      </w:pPr>
      <w:r>
        <w:rPr>
          <w:rFonts w:ascii="Courier New" w:cs="Courier New" w:eastAsia="Courier New" w:hAnsi="Courier New"/>
          <w:sz w:val="15"/>
          <w:szCs w:val="15"/>
          <w:color w:val="auto"/>
        </w:rPr>
        <w:t>In addition, our innovative "stitching" technology enables semiconductor exposure tools to manufacture single ultra high-resolution CMOS image sensors containing millions of pixels at sizes far larger than their existing field. Our 0.5, 0.35-micron and 0.18-micron CMOS image sensor processes are designed to permit the customer to create high-quality solutions and integrate a product's CMOS analog and logic circuitry together with the sensor pixel array all on one chip, thereby facilitating miniaturization, reducing power consumption and increasing performance.</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EMBEDDED FLASH. Our microFLASH technology, based on Saifun NROM patented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microFLASH manufacturing process offers cost advantages over competing flash technologies for high density memories. Using our 0.5-micron technology, we have introduced the first of our microFLASH processes into production with the manufacture of a 2 megabit stand-alone memory device and embedded multi-time programming modules, with a limited number of rewrite cycles. Our 0.18-micron embedded flash technology was introduced during 2004, with multiple Flash modules ranging in sizes from 2 megabit to 8 megabit and is currently expected to be ready for production during 2005.</w:t>
      </w:r>
    </w:p>
    <w:p>
      <w:pPr>
        <w:spacing w:after="0" w:line="164"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MIXED SIGNAL. We have developed the Tower Mixed-Signal Design Kit, which contains a comprehensive characterization of a wide range of analog devices, providing our customers with the ability to design mixed-signal ICs for their specific needs. In addition, we developed certain mixed-signal features for use in Fab 2 with our 0.18-micron process (such as high and medium poly-resistors and MIM capacitors) and are constantly expanding those features.</w:t>
      </w:r>
    </w:p>
    <w:p>
      <w:pPr>
        <w:spacing w:after="0" w:line="166"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RFID. In 2004, we started a joint development program that targets the RFID Tag market and utilizes a platform technology of Mixed Signal, RF and Non Volatile memory function. We currently expect prototyping for this technology to commence in 2005 and readiness for production is expected in 2006.</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PROCUREMENT AND SOURCING</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we expect to continue to make purchases of semiconductor manufacturing equipment, mainly for Fab 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Our future success depends, to a large degree, on our ability to continue to successfully develop and introduce to production advanced process technologies that meet our customers' needs. Our process development strategy relies on CMOS process technologies that we primarily license and transfer from third parties. We also develop these technologies on our own, at our own initiative, our customers' request or in cooperation with our customers.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1" w:name="page32"/>
    <w:bookmarkEnd w:id="31"/>
    <w:p>
      <w:pPr>
        <w:ind w:right="3239" w:firstLine="525"/>
        <w:spacing w:after="0" w:line="255" w:lineRule="auto"/>
        <w:rPr>
          <w:sz w:val="20"/>
          <w:szCs w:val="20"/>
          <w:color w:val="auto"/>
        </w:rPr>
      </w:pPr>
      <w:r>
        <w:rPr>
          <w:rFonts w:ascii="Courier New" w:cs="Courier New" w:eastAsia="Courier New" w:hAnsi="Courier New"/>
          <w:sz w:val="14"/>
          <w:szCs w:val="14"/>
          <w:color w:val="auto"/>
        </w:rPr>
        <w:t>From time to time, at a customer's request, we develop a specialty process module, which we use for such customer on an exclusive basis, and, if permitted under our agreements with our customers, we then add it to our process offering. Such developments are very common in all of our value added process technologies noted above. In 2004, in response to market demand, we introduced a 0.16-micron optical shrink solution which represents a 10% linear shrink from our existing 0.18-micron offering while utilizing virtually the same 0.18-micron libraries and IP. The shrink allows a 15 to 20 percent die size reduction and a potentially higher wafer ASP and lower die cost. Applications include industry standard CMOS logic and some mixed-signal technologies. This 0.16-micron technology is expected to be ready for production by the end of 2005.</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research and development activities have related primarily to our process development efforts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2002, 2003 and 2004 were $17.0 million, $20.7 million and $17.1 million, net of government participation of $1.2 million, $1.1 million and $1.5 million, respectively.</w:t>
      </w:r>
    </w:p>
    <w:p>
      <w:pPr>
        <w:spacing w:after="0" w:line="16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As of December 31, 2004, we employed 165 professionals in our research and development department, 29 of whom have PhDs. In addition to our research and development department located at our facilities in Migdal Haemek, we maintain a design center in Netanya, Israel.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LICENSING AGREEMENTS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May 31, 2005, we held 53 patents. We have entered into various patent licenses and cross-licenses with technology companies including Toshiba, Motorola (now Freescale), Synopsys, ARM, Ceva, IMEC, Cadence Design Systems, Chipidea Microelectronics, Virage Logic, Mentor Graphics Corporation and others. We may choose to renew our present licenses or obtain additional technology licenses in the future. There can be no assurance that any such licenses could be obtained on commercially reasonable terms. In addition, we cannot assure you that other countries in which we market our services will protect our intellectual property rights to the same extent as the United States or Israel.</w:t>
      </w:r>
    </w:p>
    <w:p>
      <w:pPr>
        <w:spacing w:after="0" w:line="33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to standard CMOS technologies and cell libraries from leading designers, such as Freescale and Toshiba, and further develop specialized processes through our internal design teams. The licensing of these technologies has enormously reduced our internal development costs.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CMOS PROCESS TECHNOLOGY PLATFORM</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We have licensed an array of process technologies through the following arrangements:</w:t>
      </w:r>
    </w:p>
    <w:p>
      <w:pPr>
        <w:spacing w:after="0" w:line="173" w:lineRule="exact"/>
        <w:rPr>
          <w:sz w:val="20"/>
          <w:szCs w:val="20"/>
          <w:color w:val="auto"/>
        </w:rPr>
      </w:pPr>
    </w:p>
    <w:p>
      <w:pPr>
        <w:ind w:left="540" w:right="3239" w:hanging="6"/>
        <w:spacing w:after="0" w:line="236" w:lineRule="auto"/>
        <w:tabs>
          <w:tab w:leader="none" w:pos="10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TOSHIBA. In April 2000, we entered into a technology transfer agreement with Toshiba, pursuant to which Toshiba has transferred to us certain advanced CMOS technologies for use in Fab 2. In exchange for certain license and technology transfer fees and royalties, Toshiba has provided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pacing w:after="0" w:line="179" w:lineRule="exact"/>
        <w:rPr>
          <w:rFonts w:ascii="Courier New" w:cs="Courier New" w:eastAsia="Courier New" w:hAnsi="Courier New"/>
          <w:sz w:val="15"/>
          <w:szCs w:val="15"/>
          <w:color w:val="auto"/>
        </w:rPr>
      </w:pPr>
    </w:p>
    <w:p>
      <w:pPr>
        <w:ind w:left="540" w:right="3239" w:hanging="6"/>
        <w:spacing w:after="0" w:line="236" w:lineRule="auto"/>
        <w:tabs>
          <w:tab w:leader="none" w:pos="10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MOTOROLA (NOW FREESCALE). In September 2002, we entered into a technology transfer and development agreement with Motorola, pursuant to which Motorola has and will transfer to us its 0.13-micron HiPerMOS7 CMOS process technology for Fab 2 as well as co-developed with us an industry-standard compatible version of the process technology. Subject to prior termination for cause by Motorola, our licenses under the technology transfer agreement with Motorola are perpetual. In August 2004, Motorola assigned all of its rights and obligations under the aforementioned agreement to Freescale.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DIGITAL CMOS AND FOUNDATION IP (LIBRARIES)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To better serve our customers design needs in advanced CMOS processes, we have entered into a series of agreements with leading providers of physical design libraries. These libraries are basic design building blocks, such as standard cells, interface input-output (I/O) cells and software compilers for the generation of on-chip embedded memories arrays. To achieve optimal performance, these libraries must be customized to work with our manufacturing process and are used in virtually every digital chip design of our customers.</w:t>
      </w:r>
    </w:p>
    <w:p>
      <w:pPr>
        <w:spacing w:after="0" w:line="166" w:lineRule="exact"/>
        <w:rPr>
          <w:sz w:val="20"/>
          <w:szCs w:val="20"/>
          <w:color w:val="auto"/>
        </w:rPr>
      </w:pPr>
    </w:p>
    <w:p>
      <w:pPr>
        <w:ind w:left="540" w:right="3239" w:hanging="6"/>
        <w:spacing w:after="0" w:line="237" w:lineRule="auto"/>
        <w:tabs>
          <w:tab w:leader="none" w:pos="10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SYNOPSYS. In June 2001, we entered into an agreement with Synopsys (formerly, Avant!) under which Synopsys has developed libraries for our 0.18-micron process technology. Multiple customers use the Synopsys libraries in producing their ICs at our company. In April 2004, we entered into a comprehensive technology transfer and license agreement with Synopsys that provides us with broad rights to use Synopsys' library technology in multiple process technology generations including 0.18 micron and 0.13 micron. Under the agreement, we will develop, customize, validate and characterize libraries, based on Synopsys' library technology, which will be distributed and supported by Synopsys. This agreement places us in a unique position of having in-house capability to serve our customers' needs.</w:t>
      </w:r>
    </w:p>
    <w:p>
      <w:pPr>
        <w:spacing w:after="0" w:line="173" w:lineRule="exact"/>
        <w:rPr>
          <w:rFonts w:ascii="Courier New" w:cs="Courier New" w:eastAsia="Courier New" w:hAnsi="Courier New"/>
          <w:sz w:val="15"/>
          <w:szCs w:val="15"/>
          <w:color w:val="auto"/>
        </w:rPr>
      </w:pPr>
    </w:p>
    <w:p>
      <w:pPr>
        <w:ind w:left="540" w:right="3239" w:hanging="6"/>
        <w:spacing w:after="0" w:line="255" w:lineRule="auto"/>
        <w:tabs>
          <w:tab w:leader="none" w:pos="10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ARTISAN COMPONENTS (NOW ARM PHYSICAL IP). In June 2002, we entered into a master services and license AGREEMENT with Artisan Components. Under this agreement, Artisan Components has developed a suite of library products for our 0.18-micron process technology. Artisan Components is licensing its libraries to our customers free of charge and multiple customers are using the Artisan Components libraries in their chip design for manufacturing at our company. In June 2004, we concluded an additional agreement with Artisan Components whereby Artisan Components customizes its libraries for our 0.13-micron process and licenses these libraries to end-users free of charge. The Artisan Components libraries include standard cells, general purpose and specialty input-output cells and memory generators. In December 2004, Artisan Components was acquired by ARM Physical IP and assigned thereto the aforementioned agreements.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3" w:name="page34"/>
    <w:bookmarkEnd w:id="33"/>
    <w:p>
      <w:pPr>
        <w:ind w:left="540" w:right="3319" w:hanging="6"/>
        <w:spacing w:after="0" w:line="255" w:lineRule="auto"/>
        <w:tabs>
          <w:tab w:leader="none" w:pos="10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ARM PHYSICAL IP. In November 2002, we joined ARM's Foundry License Program. Through the ARM Program, our customers have gained access to two of ARM's most widely used 32-bit embedded microprocessor cores, or elements, which have been optimized and tested to work on our 0.18-micron manufacturing process. As ARM cores are the most widely used embedded microprocessors today, our agreement with ARM provides our customers a low-risk, low-cost solution for designing and manufacturing advanced ARM-based SoCs, or system-on-chips, at our facilities.</w:t>
      </w:r>
    </w:p>
    <w:p>
      <w:pPr>
        <w:spacing w:after="0" w:line="165" w:lineRule="exact"/>
        <w:rPr>
          <w:rFonts w:ascii="Courier New" w:cs="Courier New" w:eastAsia="Courier New" w:hAnsi="Courier New"/>
          <w:sz w:val="14"/>
          <w:szCs w:val="14"/>
          <w:color w:val="auto"/>
        </w:rPr>
      </w:pPr>
    </w:p>
    <w:p>
      <w:pPr>
        <w:ind w:left="540" w:right="3319" w:hanging="6"/>
        <w:spacing w:after="0" w:line="256" w:lineRule="auto"/>
        <w:tabs>
          <w:tab w:leader="none" w:pos="10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VIRAGE LOGIC. In March 2002, we entered into an agreement with Virage Logic for the development of a suite of SRAM and ROM memory compilers for our 0.18-micron process technology, which are available for licensing by our customers. Presently, multiple customers' products that use Virage Logic's memory products are in production at Fab 2.</w:t>
      </w:r>
    </w:p>
    <w:p>
      <w:pPr>
        <w:spacing w:after="0" w:line="16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 June 2004, we entered into a license agreement with Virage Logic Corporation under which Virage Logic will develop its platform of standard and special libraries for our 0.13-micron process and license the libraries to the end-users free of license charge. The Virage libraries include standard cells and general purpose IO cells and a wide variety of memory compilers.</w:t>
      </w:r>
    </w:p>
    <w:p>
      <w:pPr>
        <w:spacing w:after="0" w:line="175"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In December 2004, we introduced Virage Logic's patented Nonvolatile Electrically Alterable embedded memories for production on our 0.18-micron CMOS logic process. NOVeA is the industry's first embedded reprogrammable nonvolatile memory to be manufactured on a standard CMOS logic process without any additional masks or process steps. We have selected and qualified these memories for our process to help our customers meet their application requirements for cost-effective embedded non-volatile memory for security, encryption, unique device identification, analog trimming, silicon repair and flexible program store.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MIXED-SIGNAL TECHNOLOGIES</w:t>
      </w:r>
    </w:p>
    <w:p>
      <w:pPr>
        <w:spacing w:after="0" w:line="173"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To address a variety of applications for mixed-signal ICs, such as use in cell phones, we have developed strong mixed-signal process capabilities as well as proven mixed-signal IP components.</w:t>
      </w:r>
    </w:p>
    <w:p>
      <w:pPr>
        <w:spacing w:after="0" w:line="174" w:lineRule="exact"/>
        <w:rPr>
          <w:sz w:val="20"/>
          <w:szCs w:val="20"/>
          <w:color w:val="auto"/>
        </w:rPr>
      </w:pPr>
    </w:p>
    <w:p>
      <w:pPr>
        <w:ind w:left="540" w:right="3239" w:hanging="6"/>
        <w:spacing w:after="0" w:line="255" w:lineRule="auto"/>
        <w:tabs>
          <w:tab w:leader="none" w:pos="106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IMEC. In January 2002, we entered into a technology transfer and licensing agreement with IMEC pursuant to which we acquired certain advanced analog and mixed-signal process technologies to complement our CMOS process technology capabilities in the 0.18-micron geometry. Pursuant to this agreement, we received a non-exclusive, non-transferable license to manufacture or have manufactured integrated circuits utilizing the technology licensed by IMEC. The mixed-signal offering developed pursuant to this agreement is available to our customers.</w:t>
      </w:r>
    </w:p>
    <w:p>
      <w:pPr>
        <w:spacing w:after="0" w:line="159"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CHIPIDEA MICROELECTRONICS. In January 2003, we entered into a</w:t>
      </w:r>
    </w:p>
    <w:p>
      <w:pPr>
        <w:spacing w:after="0" w:line="5" w:lineRule="exact"/>
        <w:rPr>
          <w:sz w:val="20"/>
          <w:szCs w:val="20"/>
          <w:color w:val="auto"/>
        </w:rPr>
      </w:pPr>
    </w:p>
    <w:p>
      <w:pPr>
        <w:ind w:left="540" w:right="3239"/>
        <w:spacing w:after="0" w:line="235" w:lineRule="auto"/>
        <w:rPr>
          <w:sz w:val="20"/>
          <w:szCs w:val="20"/>
          <w:color w:val="auto"/>
        </w:rPr>
      </w:pPr>
      <w:r>
        <w:rPr>
          <w:rFonts w:ascii="Courier New" w:cs="Courier New" w:eastAsia="Courier New" w:hAnsi="Courier New"/>
          <w:sz w:val="15"/>
          <w:szCs w:val="15"/>
          <w:color w:val="auto"/>
        </w:rPr>
        <w:t>non-exclusive, perpetual, royalty-free license and design agreement with Chipidea Microelectronics. Further to this agreement, several Chipidea cores, including Chipidea's USB 2.0 (Universal Serial Bus 2.0) and OTG (On The Go), are currently being utilized by our customers.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4" w:name="page35"/>
    <w:bookmarkEnd w:id="34"/>
    <w:p>
      <w:pPr>
        <w:ind w:left="540" w:right="3239" w:hanging="6"/>
        <w:spacing w:after="0" w:line="236" w:lineRule="auto"/>
        <w:tabs>
          <w:tab w:leader="none" w:pos="106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CADENCE DESIGN SYSTEMS. Under our agreement with Cadence Design Systems signed in 2001, Cadence Design Systems has developed a mixed-signal Process Design Kit, or PDK for the use of our mixed-signal customers. PDK is a process specific analog-mixed signal library designed to work with the Cadence Design Systems custom IC tools and can be used to create analog mixed-signal ICs.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NON-VOLATILE MEMORIES</w:t>
      </w:r>
    </w:p>
    <w:p>
      <w:pPr>
        <w:spacing w:after="0" w:line="173" w:lineRule="exact"/>
        <w:rPr>
          <w:sz w:val="20"/>
          <w:szCs w:val="20"/>
          <w:color w:val="auto"/>
        </w:rPr>
      </w:pPr>
    </w:p>
    <w:p>
      <w:pPr>
        <w:ind w:right="3939" w:firstLine="525"/>
        <w:spacing w:after="0" w:line="235" w:lineRule="auto"/>
        <w:rPr>
          <w:sz w:val="20"/>
          <w:szCs w:val="20"/>
          <w:color w:val="auto"/>
        </w:rPr>
      </w:pPr>
      <w:r>
        <w:rPr>
          <w:rFonts w:ascii="Courier New" w:cs="Courier New" w:eastAsia="Courier New" w:hAnsi="Courier New"/>
          <w:sz w:val="15"/>
          <w:szCs w:val="15"/>
          <w:color w:val="auto"/>
        </w:rPr>
        <w:t>To enhance our strength in embedded non-volatile memories in the 0.18-micron process node, we are collaborating with leaders in embedded non-volatile memory technologies to address the market needs in both the high-end and the low-end of the spectrum.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0.18 MICRON EMBEDDED MICROFLASH TECHNOLOGY</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June 2002, we entered into a joint development agreement for</w:t>
      </w:r>
    </w:p>
    <w:p>
      <w:pPr>
        <w:spacing w:after="0" w:line="237" w:lineRule="auto"/>
        <w:rPr>
          <w:sz w:val="20"/>
          <w:szCs w:val="20"/>
          <w:color w:val="auto"/>
        </w:rPr>
      </w:pPr>
      <w:r>
        <w:rPr>
          <w:rFonts w:ascii="Courier New" w:cs="Courier New" w:eastAsia="Courier New" w:hAnsi="Courier New"/>
          <w:sz w:val="15"/>
          <w:szCs w:val="15"/>
          <w:color w:val="auto"/>
        </w:rPr>
        <w:t>0.18-micron embedded MICROFLASH technology with a Japanese semiconductor</w:t>
      </w:r>
    </w:p>
    <w:p>
      <w:pPr>
        <w:spacing w:after="0" w:line="238" w:lineRule="auto"/>
        <w:rPr>
          <w:sz w:val="20"/>
          <w:szCs w:val="20"/>
          <w:color w:val="auto"/>
        </w:rPr>
      </w:pPr>
      <w:r>
        <w:rPr>
          <w:rFonts w:ascii="Courier New" w:cs="Courier New" w:eastAsia="Courier New" w:hAnsi="Courier New"/>
          <w:sz w:val="15"/>
          <w:szCs w:val="15"/>
          <w:color w:val="auto"/>
        </w:rPr>
        <w:t>manufacturer. We currently offer off-the-shelf memory blocks based on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In April 2005, the Japanese semiconductor manufacturer elected,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agreed to terminate this agreement. According to the terms of the termination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Japanese manufacturer paid us, net of deducted tax, $2.25</w:t>
      </w:r>
    </w:p>
    <w:p>
      <w:pPr>
        <w:spacing w:after="0" w:line="237" w:lineRule="auto"/>
        <w:rPr>
          <w:sz w:val="20"/>
          <w:szCs w:val="20"/>
          <w:color w:val="auto"/>
        </w:rPr>
      </w:pPr>
      <w:r>
        <w:rPr>
          <w:rFonts w:ascii="Courier New" w:cs="Courier New" w:eastAsia="Courier New" w:hAnsi="Courier New"/>
          <w:sz w:val="15"/>
          <w:szCs w:val="15"/>
          <w:color w:val="auto"/>
        </w:rPr>
        <w:t>million. In addition, each party expressly released the other party from any</w:t>
      </w:r>
    </w:p>
    <w:p>
      <w:pPr>
        <w:spacing w:after="0" w:line="238" w:lineRule="auto"/>
        <w:rPr>
          <w:sz w:val="20"/>
          <w:szCs w:val="20"/>
          <w:color w:val="auto"/>
        </w:rPr>
      </w:pPr>
      <w:r>
        <w:rPr>
          <w:rFonts w:ascii="Courier New" w:cs="Courier New" w:eastAsia="Courier New" w:hAnsi="Courier New"/>
          <w:sz w:val="15"/>
          <w:szCs w:val="15"/>
          <w:color w:val="auto"/>
        </w:rPr>
        <w:t>obligations or liabilities of any nature in connection with the joint</w:t>
      </w:r>
    </w:p>
    <w:p>
      <w:pPr>
        <w:spacing w:after="0" w:line="237" w:lineRule="auto"/>
        <w:rPr>
          <w:sz w:val="20"/>
          <w:szCs w:val="20"/>
          <w:color w:val="auto"/>
        </w:rPr>
      </w:pPr>
      <w:r>
        <w:rPr>
          <w:rFonts w:ascii="Courier New" w:cs="Courier New" w:eastAsia="Courier New" w:hAnsi="Courier New"/>
          <w:sz w:val="15"/>
          <w:szCs w:val="15"/>
          <w:color w:val="auto"/>
        </w:rPr>
        <w:t>development agreement. The license rights granted to the parties continue</w:t>
      </w:r>
    </w:p>
    <w:p>
      <w:pPr>
        <w:spacing w:after="0" w:line="238" w:lineRule="auto"/>
        <w:rPr>
          <w:sz w:val="20"/>
          <w:szCs w:val="20"/>
          <w:color w:val="auto"/>
        </w:rPr>
      </w:pPr>
      <w:r>
        <w:rPr>
          <w:rFonts w:ascii="Courier New" w:cs="Courier New" w:eastAsia="Courier New" w:hAnsi="Courier New"/>
          <w:sz w:val="15"/>
          <w:szCs w:val="15"/>
          <w:color w:val="auto"/>
        </w:rPr>
        <w:t>pursuant to the terms of the original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IMAGE SENSOR TECHNOLOGIES</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We developed, both independently and together with our customers, basic pixel intellectual property to be used by those customers in the manufacturing of our CMOS image sensor products.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May 2005, we entered into a technology development partnership agreement with Atmel Corporation (Nasdaq:ATML) for the development of CMOS image sensor-related processes, including technology modules specifically designed for advanced photodiode structures. Under the agreement, both companies have rights to use the jointly developed technology. Process development and fabrication activities will be carried out at Fab 2.</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ability to compete also depends on our ability to operate without infringing the proprietary rights of others.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we may be unable to extend or renew it on similar terms.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5" w:name="page36"/>
    <w:bookmarkEnd w:id="35"/>
    <w:p>
      <w:pPr>
        <w:ind w:right="3319" w:firstLine="525"/>
        <w:spacing w:after="0" w:line="235" w:lineRule="auto"/>
        <w:rPr>
          <w:sz w:val="20"/>
          <w:szCs w:val="20"/>
          <w:color w:val="auto"/>
        </w:rPr>
      </w:pPr>
      <w:r>
        <w:rPr>
          <w:rFonts w:ascii="Courier New" w:cs="Courier New" w:eastAsia="Courier New" w:hAnsi="Courier New"/>
          <w:sz w:val="15"/>
          <w:szCs w:val="15"/>
          <w:color w:val="auto"/>
        </w:rPr>
        <w:t>Because of the nature of the industry, we may continue to be a party to such infringement claims in the future. In the event any third party were to assert infringement claims against us or our customers, we may have to consider alternatives including, but not limited to:</w:t>
      </w:r>
    </w:p>
    <w:p>
      <w:pPr>
        <w:spacing w:after="0" w:line="169" w:lineRule="exact"/>
        <w:rPr>
          <w:sz w:val="20"/>
          <w:szCs w:val="20"/>
          <w:color w:val="auto"/>
        </w:rPr>
      </w:pPr>
    </w:p>
    <w:p>
      <w:pPr>
        <w:ind w:left="1060" w:hanging="526"/>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negotiating cross-license agreements;</w:t>
      </w:r>
    </w:p>
    <w:p>
      <w:pPr>
        <w:spacing w:after="0" w:line="172" w:lineRule="exact"/>
        <w:rPr>
          <w:rFonts w:ascii="Courier New" w:cs="Courier New" w:eastAsia="Courier New" w:hAnsi="Courier New"/>
          <w:sz w:val="15"/>
          <w:szCs w:val="15"/>
          <w:color w:val="auto"/>
        </w:rPr>
      </w:pPr>
    </w:p>
    <w:p>
      <w:pPr>
        <w:ind w:left="1060" w:right="3399" w:hanging="526"/>
        <w:spacing w:after="0" w:line="235"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acquire licenses to the allegedly infringed patents, which may not be available on commercially reasonable terms, if at all;</w:t>
      </w:r>
    </w:p>
    <w:p>
      <w:pPr>
        <w:spacing w:after="0" w:line="173"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discontinuing use of certain process technologies, architectures, or designs, which could cause us to stop manufacturing certain semiconductors if we were unable to design around the allegedly infringed patents;</w:t>
      </w:r>
    </w:p>
    <w:p>
      <w:pPr>
        <w:spacing w:after="0" w:line="175"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fighting the matter in court and paying substantial monetary damages in the event we lose; or</w:t>
      </w:r>
    </w:p>
    <w:p>
      <w:pPr>
        <w:spacing w:after="0" w:line="173"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develop non-infringing technologies, which may not be feasible.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the event that any third party causes us or any of our customers to discontinue using certain process technologies, we believe that such an outcome would not have a long-term material and adverse effect, as we could design around such technologies.</w:t>
      </w:r>
    </w:p>
    <w:p>
      <w:pPr>
        <w:spacing w:after="0" w:line="169" w:lineRule="exact"/>
        <w:rPr>
          <w:sz w:val="20"/>
          <w:szCs w:val="20"/>
          <w:color w:val="auto"/>
        </w:rPr>
      </w:pPr>
    </w:p>
    <w:p>
      <w:pPr>
        <w:ind w:left="1060" w:hanging="526"/>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STRUCTURE</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legal and commercial name of our company is Tower Semiconductor Ltd. We were incorporated under the laws of the State of Israel in 1993. We have one subsidiary, incorporated in the United States under the name Tower Semiconductor USA, Inc.</w:t>
      </w:r>
    </w:p>
    <w:p>
      <w:pPr>
        <w:spacing w:after="0" w:line="175" w:lineRule="exact"/>
        <w:rPr>
          <w:sz w:val="20"/>
          <w:szCs w:val="20"/>
          <w:color w:val="auto"/>
        </w:rPr>
      </w:pPr>
    </w:p>
    <w:p>
      <w:pPr>
        <w:ind w:right="6559" w:firstLine="534"/>
        <w:spacing w:after="0" w:line="465" w:lineRule="auto"/>
        <w:tabs>
          <w:tab w:leader="none" w:pos="10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PLANTS AND EQUIPMENT MANUFACTURING FACILITIES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FAB 1</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We acquired our Fab 1 facility from National Semiconductor in 1993, which had operated the facility since 1986. We occupy the facility pursuant to a long-term lease from the Israel Lands Authority that expires in 2032.</w:t>
      </w:r>
    </w:p>
    <w:p>
      <w:pPr>
        <w:spacing w:after="0" w:line="174" w:lineRule="exact"/>
        <w:rPr>
          <w:sz w:val="20"/>
          <w:szCs w:val="20"/>
          <w:color w:val="auto"/>
        </w:rPr>
      </w:pPr>
    </w:p>
    <w:p>
      <w:pPr>
        <w:jc w:val="both"/>
        <w:ind w:right="3319" w:firstLine="525"/>
        <w:spacing w:after="0" w:line="256" w:lineRule="auto"/>
        <w:rPr>
          <w:sz w:val="20"/>
          <w:szCs w:val="20"/>
          <w:color w:val="auto"/>
        </w:rPr>
      </w:pPr>
      <w:r>
        <w:rPr>
          <w:rFonts w:ascii="Courier New" w:cs="Courier New" w:eastAsia="Courier New" w:hAnsi="Courier New"/>
          <w:sz w:val="14"/>
          <w:szCs w:val="14"/>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Since we commenced manufacturing at Fab 1, we increased its manufacturing capacity from 5,000 wafers per month, using 1.25-micron and 1.0-micron processes, to approximately 16,000 wafers per month based on our current product mix, using our 1.0 micron to 0.35-micron processes, including specialized processes.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6" w:name="page37"/>
    <w:bookmarkEnd w:id="36"/>
    <w:p>
      <w:pPr>
        <w:ind w:right="3319" w:firstLine="525"/>
        <w:spacing w:after="0" w:line="236" w:lineRule="auto"/>
        <w:rPr>
          <w:sz w:val="20"/>
          <w:szCs w:val="20"/>
          <w:color w:val="auto"/>
        </w:rPr>
      </w:pPr>
      <w:r>
        <w:rPr>
          <w:rFonts w:ascii="Courier New" w:cs="Courier New" w:eastAsia="Courier New" w:hAnsi="Courier New"/>
          <w:sz w:val="15"/>
          <w:szCs w:val="15"/>
          <w:color w:val="auto"/>
        </w:rPr>
        <w:t>However, 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 During 2004, we began the transfer of Siliconix technology to Fab 1 and started wafer production for Siliconix in the second quarter of 2005.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 2</w:t>
      </w:r>
    </w:p>
    <w:p>
      <w:pPr>
        <w:spacing w:after="0" w:line="173"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In January 2001, we commenced construction of Fab 2, our new advanced wafer fab adjacent to Fab 1 in Migdal Haemek. Fab 2 offers integrated circuits manufacturing services utilizing advanced materials and a 0.18-micron process technology we licensed from Toshiba. We have also licensed 0.13-micron process technology from Freescale, and are in the process of completing its qualification. The overall clean room area in Fab 2 is approximately 100,000 square feet. We began volume production at Fab 2 during the third quarter of 2003. The land on which Fab 2 is located is subject to a long-term lease from the Israel Lands Authority that expires in 2049.</w:t>
      </w:r>
    </w:p>
    <w:p>
      <w:pPr>
        <w:spacing w:after="0" w:line="16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Since 2000, we have invested significantly in the purchase of fixed assets, primarily in connection with the construction of Fab 2, technology advancement and capacity expansion. Capital expenditures in 2004, 2003 and 2002 were approximately $172 million, $164 million and $243 million, respectively, before related Investment Center grants of $30 million, $27 million and $37 million,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163"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We believe that we are currently in compliance in all material respects with applicable environmental laws and regulations.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February 2004, we received ISO 14001 certification from The Standards Institution of Israel. 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pursuant to which an organization can be certified by a third party. The ISO 14001 certification applies to all of our manufacturing facilities. Our authorized design center in Netanya, Israel also received certification.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7" w:name="page38"/>
    <w:bookmarkEnd w:id="37"/>
    <w:p>
      <w:pPr>
        <w:spacing w:after="0"/>
        <w:tabs>
          <w:tab w:leader="none" w:pos="52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5. OPERATING AND FINANCIAL REVIEW AND PROSPECTS</w:t>
      </w:r>
    </w:p>
    <w:p>
      <w:pPr>
        <w:spacing w:after="0" w:line="166" w:lineRule="exact"/>
        <w:rPr>
          <w:sz w:val="20"/>
          <w:szCs w:val="20"/>
          <w:color w:val="auto"/>
        </w:rPr>
      </w:pPr>
    </w:p>
    <w:p>
      <w:pPr>
        <w:ind w:left="1060" w:hanging="52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RESULTS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CONTAINED IN THIS SECTION SHOULD BE READ IN CONJUNCTION WITH OUR CONSOLIDATED FINANCIAL STATEMENTS AND RELATED NOTES AND THE INFORMATION CONTAINED ELSEWHERE IN THIS ANNUAL REPORT. OUR FINANCIAL STATEMENTS HAVE BEEN PREPARED IN ACCORDANCE WITH GENERALLY ACCEPTED ACCOUNTING PRINCIPLES ("GAAP") IN ISRAEL. DIFFERENCES BETWEEN ISRAELI GAAP AND US GAAP AS THEY RELATE TO OUR FINANCIAL STATEMENTS ARE DESCRIBED IN NOTE 19 TO OUR AUDITED ANNUAL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are a pure-play independent wafer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while 0.13-micron is expected to be ready for production by the end of 2005.</w:t>
      </w:r>
    </w:p>
    <w:p>
      <w:pPr>
        <w:spacing w:after="0" w:line="177"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Our primary source of revenue is from the fabrication of ICs using CMOS process technology. We are currently focused on the emerging opportunities involving CMOS image sensors, embedded flash, mixed-signal and RFID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primary customers for our products are fabless IC companies and IDMs. A substantial portion of our product sales are made pursuant to long-term contracts with our customers, under which we have agreed to reserve manufacturing capacity at our production facilities. Our sales cycle is generally 12-24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17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During the year ended December 31, 2004, we had five significant customers who contributed between 6% to 24% of our revenues. In 2003, we had five significant customers who contributed between 6% to 24% of our revenues. In 2002, we had three significant customers who contributed 31%, 16% and 13% of our revenues, respectively. In 2004, SanDisk was instrumental in ramping up our business. While we currently expect that SanDisk will continue to be a significant customer of Fab 2, additional customers are expected to commence or increase their purchase orders following the qualification of their products in Fab 2 during 2005. In addition to further developing our customer base, we have also made a concentrated effort to expand the geographical diversity of our sales. The percentage of our sales from customers located outside the United States was 40%, 27% and 38% in the years ended December 31, 2004, 2003 and 2002, respectively. We believe that a substantial portion of our sales will continue to come from customers located outside the United States.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8" w:name="page39"/>
    <w:bookmarkEnd w:id="38"/>
    <w:p>
      <w:pPr>
        <w:ind w:right="3239" w:firstLine="525"/>
        <w:spacing w:after="0" w:line="255" w:lineRule="auto"/>
        <w:rPr>
          <w:sz w:val="20"/>
          <w:szCs w:val="20"/>
          <w:color w:val="auto"/>
        </w:rPr>
      </w:pPr>
      <w:r>
        <w:rPr>
          <w:rFonts w:ascii="Courier New" w:cs="Courier New" w:eastAsia="Courier New" w:hAnsi="Courier New"/>
          <w:sz w:val="14"/>
          <w:szCs w:val="14"/>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which has improved its process geometries from 1.0-micron to 0.35-micron and enhanced its process technologies to include CMOS image sensors, embedded flash and mixed-signal technologies. We have also expanded our production capacity in Fab 1 to approximately 16,000 wafers per month to meet additional customer demand. Fab 1 has been cash flow positive from operations since the second quarter of 2002. During 2004, we began the transfer of Siliconix technology to Fab 1 and started wafer production for Siliconix in the second quarter of 2005.</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During the third quarter of 2003, we completed the construction of the building and infrastructure of our second manufacturing facility, or Fab 2 and since then are in the process of ramping-up Fab 2. Fab 2 is designed to operate in geometries of 0.18-micron and below, using advanced materials and advanced CMOS technology licensed from Motorola (now Freescale) and Toshiba, as well as other technologies that we might acquire or develop independently. We began volume production at Fab 2 during the third quarter of 2003. Production capacity of Fab 2 as of the end of December 2004 was 14,600 wafers per month, and we expect to have production capacity of 15,400 wafers per month by the end of 2005, of which approximately 800 wafers per month are expected to be available in 0.13-micron.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REVENUE RECOGNITION. In accordance with generally accepted accounting principles, our revenues are recognized upon shipment or as services are rendered when title has been transferred, collectibility is reasonably assured and acceptance criteria are satisfied, based on tests performed prior to customer on-site testing. Prior to commencement of our production, both our customers and our personnel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may affect mainly the timing of our revenue recognition and cause our operating results to vary from quarter to quarter.</w:t>
      </w:r>
    </w:p>
    <w:p>
      <w:pPr>
        <w:spacing w:after="0" w:line="343" w:lineRule="exact"/>
        <w:rPr>
          <w:sz w:val="20"/>
          <w:szCs w:val="20"/>
          <w:color w:val="auto"/>
        </w:rPr>
      </w:pPr>
    </w:p>
    <w:p>
      <w:pPr>
        <w:ind w:right="3399" w:firstLine="525"/>
        <w:spacing w:after="0" w:line="261" w:lineRule="auto"/>
        <w:rPr>
          <w:sz w:val="20"/>
          <w:szCs w:val="20"/>
          <w:color w:val="auto"/>
        </w:rPr>
      </w:pPr>
      <w:r>
        <w:rPr>
          <w:rFonts w:ascii="Courier New" w:cs="Courier New" w:eastAsia="Courier New" w:hAnsi="Courier New"/>
          <w:sz w:val="14"/>
          <w:szCs w:val="14"/>
          <w:color w:val="auto"/>
        </w:rPr>
        <w:t>Accordingly, our financial position and results of operations may be affected. That effect, if any, under Israel GAAP and US GAAP would be similar.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9" w:name="page40"/>
    <w:bookmarkEnd w:id="39"/>
    <w:p>
      <w:pPr>
        <w:ind w:right="3319" w:firstLine="525"/>
        <w:spacing w:after="0" w:line="254" w:lineRule="auto"/>
        <w:rPr>
          <w:sz w:val="20"/>
          <w:szCs w:val="20"/>
          <w:color w:val="auto"/>
        </w:rPr>
      </w:pPr>
      <w:r>
        <w:rPr>
          <w:rFonts w:ascii="Courier New" w:cs="Courier New" w:eastAsia="Courier New" w:hAnsi="Courier New"/>
          <w:sz w:val="14"/>
          <w:szCs w:val="14"/>
          <w:color w:val="auto"/>
        </w:rPr>
        <w:t>DEPRECIATION AND AMORTIZATION OF FAB 2 ASSETS. Depreciation and amortization expense in 2004 amounted to $121.1 million. During the third quarter of 2003, we commenced depreciating the Fab 2 property and equipment and amortizing the 0.18-micron technology, based on the straight-line method. Currently, we estimate that the expected economic life of the Fab 2 assets will be as follows: (i) prepaid perpetual land lease and buildings - 14 to 25 years;</w:t>
      </w:r>
    </w:p>
    <w:p>
      <w:pPr>
        <w:spacing w:after="0" w:line="2" w:lineRule="exact"/>
        <w:rPr>
          <w:sz w:val="20"/>
          <w:szCs w:val="20"/>
          <w:color w:val="auto"/>
        </w:rPr>
      </w:pPr>
    </w:p>
    <w:p>
      <w:pPr>
        <w:ind w:right="3239" w:firstLine="10"/>
        <w:spacing w:after="0" w:line="255" w:lineRule="auto"/>
        <w:tabs>
          <w:tab w:leader="none" w:pos="43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machinery and equipment - 5 years; and (iii) the 0.18-micron technology - 4 years, while amortization phases in commencing on the dates on which each of the Fab 2 manufacturing lines is ready for its intended use. We expect that the depreciation and amortization expenses relating to Fab 2 facilities will be approximately $130 million in 2005 due to the Fab 2 ramp-up. Changes in our estimates regarding the expected economic life of Fab 2 assets, or a change in the dates on which each of the Fab 2 manufacturing lines is ready for its intended use, might affect our depreciation and amortization expenses. That effect, if any, under Israel GAAP and US GAAP would be similar.</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IMPAIRMENT OF ASSETS. Standard No. 15, "Impairment of Assets," of the Israeli Accounting Standards Board addresses the accounting treatment and presentation of impairment of assets, and establishes procedures to be implemented in order to ensure that assets are not presented in amounts exceeding their recoverable value. Though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applying the provisions of Standard No. 15 had no effect on our financial position and results of operations, the use of different assumptions with respect to the expected cash flows from our assets and with respect to other economic variables, primarily the discount rate, may lead to different conclusions regarding the recoverability of our assets' carrying values and to the potential need to record an impairment loss for our long-lived assets.</w:t>
      </w:r>
    </w:p>
    <w:p>
      <w:pPr>
        <w:spacing w:after="0" w:line="332"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STOCK-BASED COMPENSATION. For the purpose of our financial statements under Israeli GAAP, we account for employee and director stock-based compensation in accordance with Accounting Principles Board Opinion No. 25, "Accounting for Stock Issued to Employees" ("APB 25") and authoritative interpretations thereof. Accordingly, we account for share options granted to our employees and directors based on the intrinsic value of the options on the measurement date, and expense deferred compensation in respect of awards with graded vesting terms over the relevant vesting periods.</w:t>
      </w:r>
    </w:p>
    <w:p>
      <w:pPr>
        <w:spacing w:after="0" w:line="177"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We account for stock-based compensation of non-employees (our banks, the construction company of Fab 2 and Israel Corp., our current major shareholder)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w:t>
      </w:r>
    </w:p>
    <w:p>
      <w:pPr>
        <w:spacing w:after="0" w:line="166"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Commencing in 2006, the initial reporting period in which we are to implement the provisions of SFAS No. 123 (revised 2004) "Shared Based Payments", including authoritative interpretations thereof, in our reconciliation note to US GAAP, we are to account for options granted to our employees and directors using the fair value method. In order to estimate the fair value of options and warrants we have granted and may grant in the future, we use the Black-Scholes option-pricing model. The overall compensation award expenses related to these options and warrants may significantly differ from those recorded in our financial statements as a result of applying different assumptions required for utilizing this model. These assumptions relate mainly to risk-free interest rates, expected life of options and warrants, expected annual volatility and expected dividend yield.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0" w:name="page41"/>
    <w:bookmarkEnd w:id="40"/>
    <w:p>
      <w:pPr>
        <w:ind w:right="3239" w:firstLine="525"/>
        <w:spacing w:after="0" w:line="236" w:lineRule="auto"/>
        <w:rPr>
          <w:sz w:val="20"/>
          <w:szCs w:val="20"/>
          <w:color w:val="auto"/>
        </w:rPr>
      </w:pPr>
      <w:r>
        <w:rPr>
          <w:rFonts w:ascii="Courier New" w:cs="Courier New" w:eastAsia="Courier New" w:hAnsi="Courier New"/>
          <w:sz w:val="15"/>
          <w:szCs w:val="15"/>
          <w:color w:val="auto"/>
        </w:rPr>
        <w:t>NON-CAPITALIZABLE COSTS. In accordance with generally accepted accounting principles, we capitalized through the third quarter of 2003 most of our costs relating to the establishment of Fab 2, primarily for property and equipment and other assets. Capitalizable Fab 2 costs were only incremental direct costs that related to the establishment and equipping of Fab 2 and to the integration and transfer of technology to be implemented in Fab 2. Following commencement of operations of Fab 2 in the third quarter of 2003, most of the direct costs related to the construction and equipping of Fab 2 and to the transfer of the Fab 2 technologies that were capitalizable until Fab 2 came into production, are no longer capitalizable.</w:t>
      </w:r>
    </w:p>
    <w:p>
      <w:pPr>
        <w:spacing w:after="0" w:line="179"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Direct internal costs which were capitalized to Fab 2 consisted primarily of payroll-related costs, and allocated payroll costs, on the basis of management's estimates and assumptions and methodologies, including timesheet inputs. Most of the capitalized payroll-related costs consisted of wages to employees dedicated solely to the establishment of Fab 2. In addition, other direct related expenses such as import costs, transportation, installation and consulting fees were also capitalized. Under different assumptions relating to these costs and their being attributable to Fab 2, the classification and accounting recognition of these costs may have been different, which may significantly affect our financial position and results of operations. The effect, if any, under Israel GAAP and US GAAP would be similar.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 UNDER US GAAP AS THEY APPLY TO US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SFAS NO. 154. ACCOUNTING CHANGES AND ERROR CORRECTIONS. This Statement, published in May 2005, replaces APB Opinion NO. 20, ACCOUNTING CHANGES, and FASB Statement No. 3, REPORTING ACCOUNTING CHANGES IN INTERIM FINANCIAL STATEMENTS, and changes the requirements for the accounting for and reporting of a change in accounting principle. This Statement applies to all voluntary changes in accounting principle, and to changes required by an accounting pronouncement in the unusual instance that the pronouncement does not include specific transition provisions.</w:t>
      </w:r>
    </w:p>
    <w:p>
      <w:pPr>
        <w:spacing w:after="0" w:line="177"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Opinion 20 previously required that most voluntary changes in accounting principle be recognized by including in net income of the period of the change the cumulative effect of changing to the new accounting principle. This Statement requires retrospective application to prior periods' financial statements of changes in accounting principle,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 to all prior periods.</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This Statement defines retrospective application as the application of a different accounting principle to prior accounting periods as if that principle had always been used or 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1" w:name="page42"/>
    <w:bookmarkEnd w:id="41"/>
    <w:p>
      <w:pPr>
        <w:ind w:right="3239" w:firstLine="525"/>
        <w:spacing w:after="0" w:line="255" w:lineRule="auto"/>
        <w:rPr>
          <w:sz w:val="20"/>
          <w:szCs w:val="20"/>
          <w:color w:val="auto"/>
        </w:rPr>
      </w:pPr>
      <w:r>
        <w:rPr>
          <w:rFonts w:ascii="Courier New" w:cs="Courier New" w:eastAsia="Courier New" w:hAnsi="Courier New"/>
          <w:sz w:val="14"/>
          <w:szCs w:val="14"/>
          <w:color w:val="auto"/>
        </w:rPr>
        <w:t>This Statement also requires that a change in depreciation, amortization, or depletion method for long-lived, non-financial assets be accounted for as a change in accounting estimate effected by a change in accounting principle. This Statement carries forward without change the guidance contained in Opinion 20 for reporting the correction of an error in previously issued financial statements and a change in accounting estimate. This Statement also carries forward the guidance in Opinion 20 requiring justification of a change in accounting principle on the basis of preferability.</w:t>
      </w:r>
    </w:p>
    <w:p>
      <w:pPr>
        <w:spacing w:after="0" w:line="166"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The provisions of this Statement are effective for accounting changes and corrections of errors made during fiscal years beginning after December 15, 2005. The adoption of this Standard is not expected to have a material effect on our financial position and results of operations.</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SFAS NO. 151. Inventory Costs, an Amendment of ARB No. 43, Chapter 4 - In November 2004 the FASB issued SFAS No. 151, "Inventory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our financial position and results of operations.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SFAS NO. 123 (REVISED 2004) "SHARE BASED PAYMENTS". In December 2004, the FASB issued SFAS No. 123 (revised 2004) "Share Based Payments" ("SFAS 123(R)"). This Statement, including authoritative interpretation thereof, is a revision of FASB Statement No. 123, "Accounting for Stock-Based Compensation", which supersedes APB Opinion No. 25, "Accounting for Stock Issued to Employees" and its authoritative interpretations. SFAS 123(R) will be implemented in the U.S. GAAP reconciliation Note. According to Israeli GAAP, accounting for costs associated with share-based payments is not required. 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SFAS 123(R) eliminates the alternative to use APB 25's intrinsic value method of accounting that was provided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 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2" w:name="page43"/>
    <w:bookmarkEnd w:id="42"/>
    <w:p>
      <w:pPr>
        <w:ind w:right="3399" w:firstLine="525"/>
        <w:spacing w:after="0" w:line="256" w:lineRule="auto"/>
        <w:rPr>
          <w:sz w:val="20"/>
          <w:szCs w:val="20"/>
          <w:color w:val="auto"/>
        </w:rPr>
      </w:pPr>
      <w:r>
        <w:rPr>
          <w:rFonts w:ascii="Courier New" w:cs="Courier New" w:eastAsia="Courier New" w:hAnsi="Courier New"/>
          <w:sz w:val="14"/>
          <w:szCs w:val="14"/>
          <w:color w:val="auto"/>
        </w:rPr>
        <w:t>On March 29, 2005, the Securities and Exchange Commission issued Staff Accounting Bulletin No. 107 ("SAB 107"). This staff accounting bulletin expresses views of the staff regarding the interaction between SFAS 123(R) and certain SEC rules and regulations and provides the SEC staff's views regarding the valuation of share-based payment arrangements for public companies.</w:t>
      </w:r>
    </w:p>
    <w:p>
      <w:pPr>
        <w:spacing w:after="0" w:line="16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On April 14, 2005, the SEC adopted a new rule amending the compliance dates for SFAS 123(R). Under the SEC rule, the provisions of SFAS 123(R) apply to all awards to be granted after January 1, 2006 and to awards modified, repurchased, or cancelled after that date.</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When initially applying the provisions of SFAS 123(R), in the first quarter of 2006, we will be required to elect between using either the "modified prospective method" or the "modified retrospective method". Under the modified prospective method, we will be required to recognize compensation cost for all awards granted after the adoption of SFAS 123(R) and for the unvested portion of previously granted awards that are outstanding on that date. Under the modified retrospective method, we are required to restate its previously issued financial statements to recognize the amounts previously calculated and reported on a pro forma basis, as if the original provisions of SFAS 123 had been adopted. Under both methods, it is permitted to use either a straight line or an accelerated method to amortize the cost as an expense for awards with graded vesting.</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Recently we have commenced identifying the potential future impact of applying the provisions of SFAS 123(R), including each of its proposed transition methods, yet are currently unable to fully quantify the effect of this Standard on the future financial position and results of operations in accordance with U.S. GAAP. Nonetheless, it is expected that the adoption of SFAS 123(R) will increase the stock-based-award expenses we are to record in the future in comparison to the expenses recorded under the guidance currently applied by us.</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SFAS 153, EXCHANGE OF NON-MONETARY ASSETS.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date this Statement is issued. Retroactive application is not permitted. The adoption of this Standard is not expected to have a material effect on our financial position and results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RECENT ACCOUNTING PRONOUNCEMENTS UNDER ISRAELI GAAP AS THEY APPLY TO US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ACCOUNTING STANDARD NO. 19 "TAXES ON INCOME". In July 2004, the Israeli Accounting Standard Board published Accounting Standard No. 19 "Taxes on Income" (the "Standard"). The Standard established the guidelines for recognizing, measuring, presenting and disclosing taxes on income in the financial statements. The Standard is effective for financial statements relating to reporting periods commencing on, or after, January 1, 2005. The initial adoption of the Standard shall be accounted for by the cumulative effect of change in accounting method, for the beginning of the period in which the Standard is initially adopted. The adoption of the Standard is not expected to have a material effect on the Company's financial position and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sales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35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2004</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2003</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181.2</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129.4</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loss .....................................</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(81.2)</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(99.4)</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 net .........</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33.7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general and administrative expenses..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36.9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 .................................</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(111.6)</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(170.0)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expense, net .........................</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(23.6)</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 ....................</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25.9</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(109.3)%</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(186.2)%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4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2004 COMPARED TO YEAR ENDED DECEMBER 31, 2003</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SALES. Sales in the year ended December 31, 2004 increased by 105.4% to $126.1 million from $61.4 million in 2003. This $64.7 million increase was attributable to the ramp up of capacity of our Fab 2 wafer fabrication and the increase in production levels.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COST OF SALES. Cost of sales in the year ended December 31, 2004 totaled $228.4 million, compared with $122.4 million in 2003. This increase was due mainly to Fab 2 operations, which in 2003 operated only for half a year while in 2004 operated for a full year, resulting in an increase of $61.6 million in depreciation and amortization expenses and an increase of $23.9 million in materials usage mainly related to Fab 2.</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GROSS LOSS. Gross loss in the year ended December 31, 2004 was $102.4 million compared to a gross loss of $61.0 million in 2003. The increase in gross loss was primarily attributable to the increased cost of sales, which was partially offset by the increase in revenues.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4" w:name="page45"/>
    <w:bookmarkEnd w:id="44"/>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RESEARCH AND DEVELOPMENT. Research and development expenses in the year ended December 31, 2004 decreased to $17.1 million from $20.7 million in 2003. The decrease was primarily due to decreased expenses related to the Fab 2</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0.13-micron technology agreement signed with Freescale in 2002. Research and development expenses are reflected net of participation grants received from the Israeli government ($1.5 million and $1.1 million, in 2004 and 2003, respectively).</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MARKETING, GENERAL AND ADMINISTRATION. Marketing, general and administrative expenses in the year ended December 31, 2004 decreased to $21.3 million from $22.6 million in 2003, primarily due to decreased use of outsourcing services.</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OPERATING LOSS. Operating loss in the year ended December 31, 2004 was $140.7 million, compared to $104.4 million in 2003, attributable primarily to the ramp-up of Fab 2. This increase in the operating loss reflects an increase in gross loss of $41.4 million, a decrease in research and development expenses of $3.6 million and a decrease in marketing and sales, general and administrative expenses of $1.3 million.</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FINANCING EXPENSES, NET. Financing expenses, net in the year ended December 31, 2004 were $29.7 million compared to financing expenses, net of $9.8 million in 2003. This increase is mainly due to an increase of $19.5 million in connection with our Fab 2 facility agreement attributable to (i) an increase during 2004 in the total amount of long-term loans which financed the construction and equipping of Fab 2, (ii) the discontinuation of capitalization of financing costs that had been capitalized prior to the commencement of operations of Fab 2 in the third quarter of 2003 and (iii) the increase in the interest rate from LIBOR plus 1.5% in 2003 to LIBOR plus 2.5% commencing from January 2004 pursuant to the November 2003 amendment to our credit facility agreement with our banks.</w:t>
      </w:r>
    </w:p>
    <w:p>
      <w:pPr>
        <w:spacing w:after="0" w:line="180"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OTHER INCOME (EXPENSE), NET. Other income, net in 2004 was $32.7 million compared to other expense, net of $0.1 million in 2003 due to the sale in 2004 of our shareholdings in Saifun Semiconductors Ltd. for a net capital gain of $32.4 million.</w:t>
      </w:r>
    </w:p>
    <w:p>
      <w:pPr>
        <w:spacing w:after="0" w:line="175"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LOSS. Our loss in the year ended December 31, 2004 was $137.8 million, compared to $114.3 million in 2003. This increase is primarily attributable to the increased operating loss of $36.3 million and the increase in financing expenses, net, of $19.9 million offset by increased other income, net of $32.8.</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2003 COMPARED TO YEAR ENDED DECEMBER 31, 2002</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SALES. Sales in the year ended December 31, 2003 increased by 18.5% to $61.4 million from $51.8 million in 2002. This $9.6 million increase was attributable to a higher volume of wafer shipments, which resulted in an increase in Fab 1 sales of $2.9 million, and a $6.6 million increase in Fab 2 revenues. Fab 2 revenues in 2003, which derived from the sale of wafer products, were $14.7 million, in comparison with Fab 2 revenues of $8.1 million in 2002, all of which was attributable to our joint development agreement for the development of 0.18-micron embedded microFLASH technology.</w:t>
      </w:r>
    </w:p>
    <w:p>
      <w:pPr>
        <w:spacing w:after="0" w:line="177"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COST OF SALES. Cost of sales in the year ended December 31, 2003 totaled $122.4 million, compared with $67.0 million in 2002. This increase was due mainly to the commencement of Fab 2 operations in the third quarter of 2003, which resulted in (i) an increase of $37.3 million in depreciation and amortization expenses related to Fab 2 assets; and (ii) an increase of $25.5 million attributable to the commencement of Fab 2 operations and the discontinuation of capitalization of costs that had been capitalized prior to the commencement of Fab 2 operations.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5" w:name="page46"/>
    <w:bookmarkEnd w:id="45"/>
    <w:p>
      <w:pPr>
        <w:ind w:right="3239" w:firstLine="525"/>
        <w:spacing w:after="0" w:line="236" w:lineRule="auto"/>
        <w:rPr>
          <w:sz w:val="20"/>
          <w:szCs w:val="20"/>
          <w:color w:val="auto"/>
        </w:rPr>
      </w:pPr>
      <w:r>
        <w:rPr>
          <w:rFonts w:ascii="Courier New" w:cs="Courier New" w:eastAsia="Courier New" w:hAnsi="Courier New"/>
          <w:sz w:val="15"/>
          <w:szCs w:val="15"/>
          <w:color w:val="auto"/>
        </w:rPr>
        <w:t>GROSS LOSS. Gross loss in the year ended December 31, 2003 was $61.0 million compared to a gross loss of $15.2 million in 2002. The increase in gross loss was primarily attributable to an increase of $58.0 million in 2003 in expenses related to Fab 2 (mainly due to an increase of $37.3 million in depreciation and amortization costs and an increase of $11.4 million in payroll costs). This increase was offset by a moderate increase in revenues of $9.6 million, which was primarily attributable to the commencement of production operations of Fab 2 that amounted to $6.6 million.</w:t>
      </w:r>
    </w:p>
    <w:p>
      <w:pPr>
        <w:spacing w:after="0" w:line="177" w:lineRule="exact"/>
        <w:rPr>
          <w:sz w:val="20"/>
          <w:szCs w:val="20"/>
          <w:color w:val="auto"/>
        </w:rPr>
      </w:pPr>
    </w:p>
    <w:p>
      <w:pPr>
        <w:jc w:val="both"/>
        <w:ind w:right="3319" w:firstLine="525"/>
        <w:spacing w:after="0" w:line="254" w:lineRule="auto"/>
        <w:rPr>
          <w:sz w:val="20"/>
          <w:szCs w:val="20"/>
          <w:color w:val="auto"/>
        </w:rPr>
      </w:pPr>
      <w:r>
        <w:rPr>
          <w:rFonts w:ascii="Courier New" w:cs="Courier New" w:eastAsia="Courier New" w:hAnsi="Courier New"/>
          <w:sz w:val="14"/>
          <w:szCs w:val="14"/>
          <w:color w:val="auto"/>
        </w:rPr>
        <w:t>RESEARCH AND DEVELOPMENT. Research and development expenses in the year ended December 31, 2003 increased to $20.7 million from $17.0 million in 2002. The increase was primarily due to increased research and development activities related to the technologies we licensed from Freescale and Toshiba for Fab 2.</w:t>
      </w:r>
    </w:p>
    <w:p>
      <w:pPr>
        <w:spacing w:after="0" w:line="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Research and development expenses are reflected net of participation grants received from the Israeli government ($1.1 million and $1.2 million, respectively).</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MARKETING, GENERAL AND ADMINISTRATION. Marketing, general and administrative expenses in the year ended December 31, 2003 increased to $22.6 million from $17.1 million in 2002, primarily due to an increase of $4.3 million associated with the expansion of our worldwide marketing and sales efforts in connection with the commencement of production in Fab 2.</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OPERATING LOSS. Operating loss in the year ended December 31,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$104.4 million, compared to $49.3 million in 2002, attributable primarily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commencement of Fab 2 operations during the third quarter of 2003. The $55.1</w:t>
      </w:r>
    </w:p>
    <w:p>
      <w:pPr>
        <w:spacing w:after="0" w:line="237" w:lineRule="auto"/>
        <w:rPr>
          <w:sz w:val="20"/>
          <w:szCs w:val="20"/>
          <w:color w:val="auto"/>
        </w:rPr>
      </w:pPr>
      <w:r>
        <w:rPr>
          <w:rFonts w:ascii="Courier New" w:cs="Courier New" w:eastAsia="Courier New" w:hAnsi="Courier New"/>
          <w:sz w:val="15"/>
          <w:szCs w:val="15"/>
          <w:color w:val="auto"/>
        </w:rPr>
        <w:t>million increase in the operating loss reflects the increase in gross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$45.8 million, increase in research and development expenses of $3.7 million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marketing and sales, general and administrative expenses of $5.5</w:t>
      </w:r>
    </w:p>
    <w:p>
      <w:pPr>
        <w:spacing w:after="0" w:line="237" w:lineRule="auto"/>
        <w:rPr>
          <w:sz w:val="20"/>
          <w:szCs w:val="20"/>
          <w:color w:val="auto"/>
        </w:rPr>
      </w:pPr>
      <w:r>
        <w:rPr>
          <w:rFonts w:ascii="Courier New" w:cs="Courier New" w:eastAsia="Courier New" w:hAnsi="Courier New"/>
          <w:sz w:val="15"/>
          <w:szCs w:val="15"/>
          <w:color w:val="auto"/>
        </w:rPr>
        <w:t>million.</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FINANCING EXPENSES, NET. Financing expenses, net in the year ended December 31, 2003 were $9.8 million compared to financing expenses, net of $2.1 million in 2002. This increase is mainly due to an increase of $9.2 million in connection with our Fab 2 activities and is attributable to (i) an increase during 2003 in the total amount of long-term loans which financed the construction and equipping of Fab 2, and (ii) the discontinuation of capitalization of financing costs that had been capitalized prior to the commencement of operations of Fab 2.</w:t>
      </w:r>
    </w:p>
    <w:p>
      <w:pPr>
        <w:spacing w:after="0" w:line="177"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LOSS. Our loss in the year ended December 31, 2003 was $114.3 million, compared to $51.4 million in 2002. This increase is primarily attributable to the increased operating loss of $55.0 million and the increase in financing expenses, net, of $7.7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 AND CURRENCY FLUCTUATIONS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dollar cost of our operations in Israel is influenced by the timing of any change in the rate of inflation in Israel and the extent to which such change is not offset by the change in valuation of the NIS in relation to the dollar. During 2004, the dollar was devalued against the NIS by 1.6%, and the Israeli Consumer Price Index, or CPI increased by 1.2%. During 2003, the dollar was devalued against the NIS by 7.6%, while the CPI in Israel decreased by 1.9%.</w:t>
      </w:r>
    </w:p>
    <w:p>
      <w:pPr>
        <w:spacing w:after="0" w:line="166"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We believe that the rate of inflation in Israel has had a non-material effect on our business to date. However, our dollar costs will increase if inflation in Israel exceeds the devaluation of the NIS against the dollar, or if the timing of such devaluation lags behind inflation in Israel.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6" w:name="page47"/>
    <w:bookmarkEnd w:id="46"/>
    <w:p>
      <w:pPr>
        <w:ind w:right="3319" w:firstLine="525"/>
        <w:spacing w:after="0" w:line="256" w:lineRule="auto"/>
        <w:rPr>
          <w:sz w:val="20"/>
          <w:szCs w:val="20"/>
          <w:color w:val="auto"/>
        </w:rPr>
      </w:pPr>
      <w:r>
        <w:rPr>
          <w:rFonts w:ascii="Courier New" w:cs="Courier New" w:eastAsia="Courier New" w:hAnsi="Courier New"/>
          <w:sz w:val="14"/>
          <w:szCs w:val="14"/>
          <w:color w:val="auto"/>
        </w:rPr>
        <w:t>Almost all of our cash generated from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borrowings under our Fab 2 credit facility, which comprise the majority of our long-term liabilities,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and currency exchange rate fluctuations, which may increase the cost of our business activities, particularly our financing expenses.</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convertible debentures are denominated in NIS linked to the Israeli CPI and therefore we are exposed to fluctuation in the NIS/dollar exchange rate. The dollar amount of our financing costs (interest and currency adjustments) related to the convertible debentures will increase if the rate of inflation in Israel is not offset (or is offset on a lagging basis) by the devaluation of the NIS in relation to the dollar. In addition, the dollar amount of any repayment on account of the principal of the convertible debentures will increase as well.</w:t>
      </w:r>
    </w:p>
    <w:p>
      <w:pPr>
        <w:spacing w:after="0" w:line="166"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The quantitative and qualitative disclosures about market risk are in Item 11 of this annual report.</w:t>
      </w:r>
    </w:p>
    <w:p>
      <w:pPr>
        <w:spacing w:after="0" w:line="167" w:lineRule="exact"/>
        <w:rPr>
          <w:sz w:val="20"/>
          <w:szCs w:val="20"/>
          <w:color w:val="auto"/>
        </w:rPr>
      </w:pPr>
    </w:p>
    <w:p>
      <w:pPr>
        <w:ind w:left="1060" w:hanging="526"/>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At December 31, 2004, we had an aggregate of $81.5 million in cash, cash equivalents, and short-term interest-bearing deposits, of which $39.7 million was contractually restricted for Fab 2 use only and $14.1 million was contractually restricted for use in the Siliconix project only. This compares to $56.5 million in cash, cash equivalents, and short-term and interest-bearing deposits, of which $44.0 million was contractually restricted for Fab 2 use only, as of December 31, 2003. In addition, as of December 31, 2004, we had $5.1 million (as of December 31, 2003, $4.8 million) in long-term interest-bearing deposits, which were contractually serving as a security for our convertible debentures.</w:t>
      </w:r>
    </w:p>
    <w:p>
      <w:pPr>
        <w:spacing w:after="0" w:line="179"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During the year ended December 31, 2004, we generated cash from the following sources: $66.0 million from bank loans; $75.9 million from the issuance of shares, net; $38.7 million in proceeds from the sale of Saifun shares; $20.0 million from Siliconix advances on account of future wafer purchases; $32.6 million from Investment Center grants and $2.6 million in proceeds from disposal of property. These liquidity resources financed our operating activities (net amount of $54.3 million) and our investments made during the year ended December 31, 2004, which aggregated $155.7 million mainly in connection with the construction, and purchase and installation of equipment and other assets, of Fab 2.</w:t>
      </w:r>
    </w:p>
    <w:p>
      <w:pPr>
        <w:spacing w:after="0" w:line="179"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As of December 31, 2004, we had loans in the amount of $497.0 million in connection with the loans we obtained during 2004, 2003 and 2002 for the establishment of Fab 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7" w:name="page48"/>
    <w:bookmarkEnd w:id="47"/>
    <w:p>
      <w:pPr>
        <w:ind w:right="3239" w:firstLine="525"/>
        <w:spacing w:after="0" w:line="237" w:lineRule="auto"/>
        <w:rPr>
          <w:sz w:val="20"/>
          <w:szCs w:val="20"/>
          <w:color w:val="auto"/>
        </w:rPr>
      </w:pPr>
      <w:r>
        <w:rPr>
          <w:rFonts w:ascii="Courier New" w:cs="Courier New" w:eastAsia="Courier New" w:hAnsi="Courier New"/>
          <w:sz w:val="15"/>
          <w:szCs w:val="15"/>
          <w:color w:val="auto"/>
        </w:rPr>
        <w:t>We completed the construction of the building and infrastructure of Fab 2 during the third quarter of 2003 and since then are in the process of ramping-up Fab 2, our new advanced wafer facility adjacent to Fab 1 in Migdal Haemek, Israel. Production capacity of Fab 2 at the end of December 2004 was 14,600 wafers per month. We currently expect to have production capacity of 15,400 wafers per month by the end of 2005, of which approximately 800 wafers per month are expected to be in 0.13-micron. As of December 31, 2004, we received a total of $1,164 million for Fab 2, as set forth below in tabular form. The remainder of the Fab 2 ramp up financing may be funded by additional grants available from the Investment Center, sales of our securities, additional loans, including from our banks, wafer prepayments from our customers and cash flow from operations or from other sources.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 recent years, we have experienced significant recurring losses from operations and recurring negative cash flows from operating activities and an increasing accumulated deficit. In order to have adequate liquidity for our activities in 2005, we have taken measures to reduce our short-term liabilities. We have implemented cost reduction measures, including measures to reduce expenses, cost structure and cash burn, and in March 2005, we completed a workforce cutback, as part of an across-the-board savings plan focused on operational efficiencies. In addition, in May 2005, we signed a letter of intent with our banks which provides for financing in the amount of up to $30 million, subject to, among other things, a similar amount being raised by us from investors. To date, certain of our equity investors and wafer partners have informed us of their willingness to invest $23.5 million towards such funding by investors. The letter of intent is subject to the execution of a definitive amendment to our credit facility agreement, which we are currently negotiating. If the definitive amendment to our credit facility agreement is executed and consummated and we raise from investors the funds stipulated in the letter of intent, or if we find alternative financing for said amounts, we expect to have adequate liquidity for our short-term activities and liabilities during the second half of 2005. If we raise the funds contemplated by the letter of intent, we will still need to raise additional funds in order to finance our activities and liabilities in 2006, at least until we achieve positive cash flow from our operations. During the years 2004, 2003 and 2002, the majority of our liquidity and capital resources and expenditures were in connection with Fab 2, in which we have spent as of December 31, 2004, $1,185 million, including net cash flows for operating activities.</w:t>
      </w:r>
    </w:p>
    <w:p>
      <w:pPr>
        <w:spacing w:after="0" w:line="34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following chart illustrates the various financial sources available to us to fund the construction and ramp-up of Fab 2, the amounts received as of December 31, 2004 and the amounts expected or required to be received from various sources as of December 31, 2004. We cannot assure you that we will be able to obtain funds from these sources as expected due to poor conditions in capital markets, poor conditions in the semiconductor market, failure to benefit from upswings in the semiconductor market or other factors, any or all of which may affect our ability to raise funds. If we do not satisfy our need for funds for Fab 2 or if the timing of the receipt of financing lags behind the timing of expenses, we may from time to time experience lack of liquidity for our activities. The table does not reflect the letter of intent signed with our banks in May 2005 which provides for financing in the amount of up to $30 million, subject to, among other things, a similar amount being raised by us from investors (See "Risk Factors - If the terms reflected in the letter of intent that we signed with our banks in May 2005 are not effectuated, or if do we not find alternative financing, we may not be able to maintain our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8" w:name="page49"/>
    <w:bookmarkEnd w:id="48"/>
    <w:p>
      <w:pPr>
        <w:ind w:right="3939"/>
        <w:spacing w:after="0" w:line="234" w:lineRule="auto"/>
        <w:rPr>
          <w:sz w:val="20"/>
          <w:szCs w:val="20"/>
          <w:color w:val="auto"/>
        </w:rPr>
      </w:pPr>
      <w:r>
        <w:rPr>
          <w:rFonts w:ascii="Courier New" w:cs="Courier New" w:eastAsia="Courier New" w:hAnsi="Courier New"/>
          <w:sz w:val="15"/>
          <w:szCs w:val="15"/>
          <w:color w:val="auto"/>
        </w:rPr>
        <w:t>Financial Sources based on agreements and arrangements completed through December 31, 2004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AMOUNTS</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EXPECTED</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OR REQUIRED</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88"/>
              </w:rPr>
              <w:t>TO</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RECEIVED AS</w:t>
            </w:r>
          </w:p>
        </w:tc>
        <w:tc>
          <w:tcPr>
            <w:tcW w:w="1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BE RECEIVED</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OF</w:t>
            </w:r>
          </w:p>
        </w:tc>
        <w:tc>
          <w:tcPr>
            <w:tcW w:w="1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AFTER</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DECEMBER</w:t>
            </w:r>
          </w:p>
        </w:tc>
        <w:tc>
          <w:tcPr>
            <w:tcW w:w="16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4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31, 2004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 MILLIONS)</w:t>
            </w:r>
          </w:p>
        </w:tc>
        <w:tc>
          <w:tcPr>
            <w:tcW w:w="62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Wafer Partners and other equity investors......</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$ 306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 Government Investment Center............</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151</w:t>
            </w:r>
          </w:p>
        </w:tc>
        <w:tc>
          <w:tcPr>
            <w:tcW w:w="6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facility................................</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497(2)</w:t>
            </w:r>
          </w:p>
        </w:tc>
        <w:tc>
          <w:tcPr>
            <w:tcW w:w="6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financing sources........................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210</w:t>
            </w:r>
          </w:p>
        </w:tc>
        <w:tc>
          <w:tcPr>
            <w:tcW w:w="6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bl>
    <w:p>
      <w:pPr>
        <w:spacing w:after="0" w:line="341" w:lineRule="exact"/>
        <w:rPr>
          <w:sz w:val="20"/>
          <w:szCs w:val="20"/>
          <w:color w:val="auto"/>
        </w:rPr>
      </w:pPr>
    </w:p>
    <w:p>
      <w:pPr>
        <w:ind w:right="3239" w:firstLine="10"/>
        <w:spacing w:after="0" w:line="255" w:lineRule="auto"/>
        <w:tabs>
          <w:tab w:leader="none" w:pos="52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requirements of Israeli Law, we are required to complete our approved investment program for Fab 2 by the end of 2005 (see "- Investment Center Grants" below). Currently, we do not expect to complete our investments by December 2005 and failure to achieve a satisfactory arrangement with the Investment Center by way of an expansion plan may result in the cancellation of all or a portion of our grants and the Investment Center may require us to repay all or a portion of grants already received. See "Risk Factors - If we do not meet conditions to receive the Israeli government grants and tax benefits approved for Fab 2, we may be required to seek alternative financing sources."</w:t>
      </w:r>
    </w:p>
    <w:p>
      <w:pPr>
        <w:spacing w:after="0" w:line="165" w:lineRule="exact"/>
        <w:rPr>
          <w:rFonts w:ascii="Courier New" w:cs="Courier New" w:eastAsia="Courier New" w:hAnsi="Courier New"/>
          <w:sz w:val="14"/>
          <w:szCs w:val="14"/>
          <w:color w:val="auto"/>
        </w:rPr>
      </w:pPr>
    </w:p>
    <w:p>
      <w:pPr>
        <w:ind w:right="3239" w:firstLine="10"/>
        <w:spacing w:after="0" w:line="235" w:lineRule="auto"/>
        <w:tabs>
          <w:tab w:leader="none" w:pos="5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credit facility agreement, we are required to comply with minimum production capacity milestones and maintain certain financial ratios and additional conditions and covenants. For a description of these ratios and covenants, see below "Fab 2 Agreements-Credit Facility".</w:t>
      </w:r>
    </w:p>
    <w:p>
      <w:pPr>
        <w:spacing w:after="0" w:line="175" w:lineRule="exact"/>
        <w:rPr>
          <w:rFonts w:ascii="Courier New" w:cs="Courier New" w:eastAsia="Courier New" w:hAnsi="Courier New"/>
          <w:sz w:val="15"/>
          <w:szCs w:val="15"/>
          <w:color w:val="auto"/>
        </w:rPr>
      </w:pPr>
    </w:p>
    <w:p>
      <w:pPr>
        <w:ind w:right="3239" w:firstLine="10"/>
        <w:spacing w:after="0" w:line="254" w:lineRule="auto"/>
        <w:tabs>
          <w:tab w:leader="none" w:pos="52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November 11, 2003 amendment to our Fab 2 credit facility, we are required to raise additional financing from specified sources by various prescribed dates in an aggregate amount of $152.0 million by no later than the end of 2005 (see "Material Agreements - Credit Facility"). As of December 31, 2004, we have raised an aggregate of $123.7 million and are required to raise $28.3 by December 31, 2005. We expect to raise the remaining funding through:</w:t>
      </w:r>
    </w:p>
    <w:p>
      <w:pPr>
        <w:spacing w:after="0" w:line="2" w:lineRule="exact"/>
        <w:rPr>
          <w:rFonts w:ascii="Courier New" w:cs="Courier New" w:eastAsia="Courier New" w:hAnsi="Courier New"/>
          <w:sz w:val="14"/>
          <w:szCs w:val="14"/>
          <w:color w:val="auto"/>
        </w:rPr>
      </w:pPr>
    </w:p>
    <w:p>
      <w:pPr>
        <w:ind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equity investments, including the sale of convertible securities and/or (ii) wafer prepayments from customers.</w:t>
      </w:r>
    </w:p>
    <w:p>
      <w:pPr>
        <w:spacing w:after="0" w:line="173"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agreed with our banks and the Israel Corporation Ltd. to complete a rights offering on pre-determined terms if we do not complete the required fundraising of $152 described above. This arrangement may result in the availability of up to $12 million additional loans under our credit facility and up to $14 million from Israel Corp.</w:t>
      </w:r>
    </w:p>
    <w:p>
      <w:pPr>
        <w:spacing w:after="0" w:line="173" w:lineRule="exact"/>
        <w:rPr>
          <w:rFonts w:ascii="Courier New" w:cs="Courier New" w:eastAsia="Courier New" w:hAnsi="Courier New"/>
          <w:sz w:val="15"/>
          <w:szCs w:val="15"/>
          <w:color w:val="auto"/>
        </w:rPr>
      </w:pPr>
    </w:p>
    <w:p>
      <w:pPr>
        <w:ind w:right="3239" w:firstLine="10"/>
        <w:spacing w:after="0" w:line="236" w:lineRule="auto"/>
        <w:tabs>
          <w:tab w:leader="none" w:pos="5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be required to make capital investments and acquire and implement advanced technologies in order to complete the ramp-up Fab 2. In addition to the amounts listed in footnote 3 above, we will require additional cash to complete the full ramp-up of Fab 2. (See "Risk Factors - If the terms reflected in the letter of intent that we signed with our banks in May 2005 are not effectuated, or if do we not find alternative financing, we may not be able to maintain our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FAB 2 AGREEMENTS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January 2001, we commenced construction of Fab 2, our new advanced wafer fabrication facility adjacent to Fab 1 in Migdal Haemek. Fab 2 offers integrated circuit manufacturing services utilizing advanced materials and using a 0.18-micron process technology we licensed from Toshiba. We have also licensed 0.13-micron process technology from Motorola (now Freescale) and are in the process of completing its qualification. The overall clean room area in Fab 2 is approximately 100,000 square feet. We began volume production at Fab 2 during the third quarter of 2003. Production capacity at the end of December 2004 was 14,600 wafers per month, and we currently expect to have production capacity of 15,400 wafers per month by the end of 2005, of which approximately 800 wafers per month are expected to be in 0.13-micron.</w:t>
      </w:r>
    </w:p>
    <w:p>
      <w:pPr>
        <w:spacing w:after="0" w:line="180"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WAFER PARTNER AGREEMENTS. During 2000, we entered into a series of agreements with four wafer partners: SanDisk Corporation, Alliance Semiconductor, Macronix International and QuickLogic Corporation. The wafer partners agreed to invest $250 million in us; SanDisk, Alliance and Macronix each committed to invest $75 million, and QuickLogic committed to invest $25 million in exchange for our ordinary shares and credits towards the purchase of wafers from Fab 2 under the terms set forth in the agreements. We also agreed to reserve approximately 50% of Fab 2's capacity for our wafer partners for a</w:t>
      </w:r>
    </w:p>
    <w:p>
      <w:pPr>
        <w:spacing w:after="0" w:line="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10-year period ending in January 2011, including during the ramp-up of Fab 2. In addition, these agreements generally provide for a five percent discount on wafer purchases made by the wafer partners of up to 80% of the maximum Fab 2 wafer fabrication capacity committed to the wafer partners, subject to minimum holdings of our ordinary shares. These agreements (and the agreements with our financial investors) were amended in April 2002, May 2003, and November 2003.</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To date, we have received an aggregate of $246.8 million from our wafer partners, of which $199.6 million was invested in consideration for 26,242,875 of our ordinary shares, and the remaining $47.2 million was established as wafer credits. Our wafer partners are not obligated to invest any more money in us. However, in connection with the letter of intent we signed with our banks in May 2005, certain of our equity investors and wafer partners have informed us of their willingness to invest $23.5 million in our company.</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INVESTMENT BY ISRAEL CORPORATION AND OTHER FINANCIAL INVESTORS. In December 2000, Israel Corp., our current principal shareholder and one of Israel's major holding companies, agreed to invest $50.0 million contemporaneous with the investments by the wafer partners. In consideration of Israel Corp.'s aggregate investment of $50 million, we issued ICTech a total of 6,749,669 of our ordinary shares through January 2004.</w:t>
      </w:r>
    </w:p>
    <w:p>
      <w:pPr>
        <w:spacing w:after="0" w:line="175" w:lineRule="exact"/>
        <w:rPr>
          <w:sz w:val="20"/>
          <w:szCs w:val="20"/>
          <w:color w:val="auto"/>
        </w:rPr>
      </w:pPr>
    </w:p>
    <w:p>
      <w:pPr>
        <w:ind w:right="3579" w:firstLine="525"/>
        <w:spacing w:after="0" w:line="256" w:lineRule="auto"/>
        <w:rPr>
          <w:sz w:val="20"/>
          <w:szCs w:val="20"/>
          <w:color w:val="auto"/>
        </w:rPr>
      </w:pPr>
      <w:r>
        <w:rPr>
          <w:rFonts w:ascii="Courier New" w:cs="Courier New" w:eastAsia="Courier New" w:hAnsi="Courier New"/>
          <w:sz w:val="14"/>
          <w:szCs w:val="14"/>
          <w:color w:val="auto"/>
        </w:rPr>
        <w:t>In February 2001, the Challenge Fund-Etgar II agreed to invest $5.0 million in our company on substantially the same terms as ICTech. In consideration of Challenge's aggregate investment of $5.0 million, we issued Challenge a total of 670,166 of our ordinary shares through January 2004.</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50" w:name="page51"/>
    <w:bookmarkEnd w:id="50"/>
    <w:p>
      <w:pPr>
        <w:ind w:right="3239" w:firstLine="525"/>
        <w:spacing w:after="0" w:line="254" w:lineRule="auto"/>
        <w:rPr>
          <w:sz w:val="20"/>
          <w:szCs w:val="20"/>
          <w:color w:val="auto"/>
        </w:rPr>
      </w:pPr>
      <w:r>
        <w:rPr>
          <w:rFonts w:ascii="Courier New" w:cs="Courier New" w:eastAsia="Courier New" w:hAnsi="Courier New"/>
          <w:sz w:val="14"/>
          <w:szCs w:val="14"/>
          <w:color w:val="auto"/>
        </w:rPr>
        <w:t>WAFER CREDITS. In connection with their investments in Fab 2, we issued to our wafer partners non-transferable credits which may be used to reduce the cash amounts to be paid by them when paying for wafers manufactured in Fab 2. These credits could generally be used at a rate of 7.5% for purchases made through June 2005 and 15% for purchases made thereafter. Our major wafer partners, SanDisk, Alliance and Macronix, have agreed that they will not utilize any of their credits, which amounted to $40.5 million as of December 31, 2004, for purchase orders of our wafer products until December 31, 2006. From January 1, 2004 to December 31, 2006, each major wafer partner is entitled, every quarter, to convert into our ordinary shares its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the remaining wafer credits that could have been utilized during this period that have not been converted into shares will be repaid to all our major wafer partners. Should the wafer partners elect to convert their wafer credits into our ordinary shares, they will be issued ordinary shares at the average trading price of our ordinary shares during the 15 consecutive trading days preceding the last day of the relevant quarter. For example, if our major wafer partners purchase an amount of wafers which would otherwise result in their using the full amount of credits available to them as of March 31, 2005, and they elect to convert all of these credits into ordinary shares, we will issue them an aggregate of 27.6 million shares, assuming the average trading price of our ordinary shares during the 15 consecutive trading days preceding the last relevant quarter is $1.55. We have also agreed to allow our wafer partners to convert, during January 2006, their remaining wafer credits issued in connection with their fourth milestone payment up to an aggregate of $13.2 million, which they may have as of December 31, 2005, into our ordinary shares, at the average trading price of our ordinary shares during the 15 consecutive trading days preceding December 31, 2005. If the wafer partners exercise this right and are issued more than 5%, in the aggregate, of our shares on January 31, 2006, we have agreed to offer all of our other shareholders the right to purchase our shares at the same price per share.</w:t>
      </w:r>
    </w:p>
    <w:p>
      <w:pPr>
        <w:spacing w:after="0" w:line="34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All the ordinary shares issued to our wafer partners and Israel Corp. in connection with their committed investments are subject to (i) restrictions on transfer and (ii) registration rights. These transfer restrictions have been extended by two years to January 2006 with respect to the ordinary shares that represent 70% of the ordinary shares held by such investor which were acquired in connection with (a) its committed investments which are held in January 2004,</w:t>
      </w:r>
    </w:p>
    <w:p>
      <w:pPr>
        <w:spacing w:after="0" w:line="2" w:lineRule="exact"/>
        <w:rPr>
          <w:sz w:val="20"/>
          <w:szCs w:val="20"/>
          <w:color w:val="auto"/>
        </w:rPr>
      </w:pPr>
    </w:p>
    <w:p>
      <w:pPr>
        <w:ind w:right="3399" w:firstLine="10"/>
        <w:spacing w:after="0" w:line="234"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September 2002 rights offering and (c) ordinary shares issued upon the conversion of its wafer credits as described above.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TECHNOLOGY AGREEMENT WITH TOSHIBA. In April 2000, we entered into a technology transfer agreement with Toshiba Corporation pursuant to which Toshiba has transferred to us certain advanced CMOS technologies for use in Fab 2. In exchange for license and technology fees and royalties, Toshiba has provided us with recipes, know-how and patent licenses and has trained a group of our engineers and managers. We have internally developed an enhanced industry compatible version of the CMOS process technology, as well as specialized technologies such as CMOS image sensor and mixed signal. Subject to termination for cause by Toshiba, our licenses under this agreement are perpetual. Our agreement with Toshiba does not include any non-competition arrangements. Toshiba has invested $10 million in our equity in exchange for 772,667 ordinary shares pursuant to this agreement. We also agreed to reserve a portion of our Fab 2 capacity for Toshiba for a period ending in December 2005.</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1" w:name="page52"/>
    <w:bookmarkEnd w:id="51"/>
    <w:p>
      <w:pPr>
        <w:ind w:right="3939" w:firstLine="525"/>
        <w:spacing w:after="0" w:line="254" w:lineRule="auto"/>
        <w:rPr>
          <w:sz w:val="20"/>
          <w:szCs w:val="20"/>
          <w:color w:val="auto"/>
        </w:rPr>
      </w:pPr>
      <w:r>
        <w:rPr>
          <w:rFonts w:ascii="Courier New" w:cs="Courier New" w:eastAsia="Courier New" w:hAnsi="Courier New"/>
          <w:sz w:val="14"/>
          <w:szCs w:val="14"/>
          <w:color w:val="auto"/>
        </w:rPr>
        <w:t>TECHNOLOGY TRANSFER AND DEVELOPMENT AGREEMENT WITH MOTOROLA (NOW FREESCALE). In September 2002, we entered into a technology transfer and development agreement with Motorola, Inc. (which was later assigned to Freescale) pursuant to which Freescale has and will transfer to us its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0.13-micron HiPerMOS7 CMOS process technology for Fab 2 as well as co-develop with us an industry-standard compatible version of the process technology. Subject to termination for cause by Freescale, our licenses under this agreement are perpetual. Our agreement with Freescale does not include any non-competition arrangements.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JOINT DEVELOPMENT AGREEMENT. In June 2002, we entered into an agreement for the joint development of 0.18-micron embedded microFLASH technology with a Japanese manufacturer. The Japanese manufacturer granted to us the non-exclusive right to utilize, on a royalty-free basis, our jointly developed technology, which is based on its 0.18-micron process technology, for foundry services and for the manufacture and sale of our own proprietary products. We granted the Japanese manufacturer a royalty-free, non-exclusive license with respect to our microFLASH technology for manufacturing semiconductor devices that utilize our jointly developed technology for its own semiconductor business.</w:t>
      </w:r>
    </w:p>
    <w:p>
      <w:pPr>
        <w:spacing w:after="0" w:line="16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In April 2005, the Japanese manufacturer elected, and we agreed, to cease the joint development of certain technology and to terminate the agreement. According to the terms of the termination agreement, the Japanese manufacturer paid us, net of deducted tax, $2.25 million. In addition, each party expressly released the other party from any obligations or liabilities of any nature in connection with the joint development agreement. The license rights granted to the parties continue pursuant to the terms of the original agreement.</w:t>
      </w:r>
    </w:p>
    <w:p>
      <w:pPr>
        <w:spacing w:after="0" w:line="166"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CREDIT FACILITY. In January 2001, we entered into a credit facility with two leading Israeli banks, Bank Hapoalim and Bank Leumi, pursuant to which the banks committed to make available to us up to $550 million in loans for Fab 2. As a result of our reduction of the total project cost of Fab 2 through the renegotiation of equipment prices and a change of equipment suppliers, in January 2002, we and our banks agreed to amend the credit facility such that the total amount of loans committed by the banks was reduced to $500 million. Pursuant to the comprehensive amendment to the credit facility signed on November, 11, 2003, the loans were to be drawn down through December 2004 and are repayable as follows: (i) with respect to loans received by us through December 31, 2003, we repaid our banks on December 31, 2003 all payments due by such date, amounting to $431 million and, concurrently, drew down an equivalent amount from our banks on such date to be repaid in 12 quarterly installments commencing on March 31, 2007 and bearing interest, payable quarterly, at LIBOR plus 2.5%, and (ii) with respect to loans received after December 31, 2003 (amounting to $66.0 million), we will repay our banks, in 12 quarterly installments, or before the maturity date of the facility, commencing three years from the drawdown date of each loan and bearing interest, payable quarterly, at LIBOR plus 2.5%. As of December 31, 2004, we have drawn $497 million in loans. We paid the banks an annual commitment fee of 0.25% on any unused portion of the facility. Under the terms of the amended facility agreement, (i) Fab 2 must have full manufacturing capacity of 33,000 wafer starts per month by December 31, 2007; (ii) there are limitations on changes of ownership which generally requires that, through January 2006, (a) our three largest wafer partners not sell the shares they purchased in connection with each of their $75 million investments in our shares other than a portion of their holdings which may be sold prior to this date and (b) Israel Corp. hold during this period at least the higher of (i) eight million of our ordinary shares or (ii) 16.5% of our issued share capital less two million ordinary shares, with portions of the shares held by our wafer partners being released from these restrictions through January 2008 and January 2009 with respect to Israel Corp.; and (iii) additional conditions and covenants, including restrictions on debt and a prohibition on the distribution of dividends prior to 2008.</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2" w:name="page53"/>
    <w:bookmarkEnd w:id="52"/>
    <w:p>
      <w:pPr>
        <w:ind w:right="3239" w:firstLine="525"/>
        <w:spacing w:after="0" w:line="254" w:lineRule="auto"/>
        <w:rPr>
          <w:sz w:val="20"/>
          <w:szCs w:val="20"/>
          <w:color w:val="auto"/>
        </w:rPr>
      </w:pPr>
      <w:r>
        <w:rPr>
          <w:rFonts w:ascii="Courier New" w:cs="Courier New" w:eastAsia="Courier New" w:hAnsi="Courier New"/>
          <w:sz w:val="14"/>
          <w:szCs w:val="14"/>
          <w:color w:val="auto"/>
        </w:rPr>
        <w:t>Under the terms of the amended facility agreement, we must also meet certain financial ratios. For any quarter, the "life of loan coverage ratio" (which is the ratio of our Fab 2 net cash flow to our total debt related to Fab 2 in any quarter) is not permitted to be less than 1.3 at any time. In addition, our ratio of equity to assets is not permitted to be less than 0% until the end of 2006, 20% during 2007 and 30% thereafter, until the termination of the facility agreement. The facility agreement also provides that we must comply with additional financial covenants relating to quarterly sales and quarterly earnings before interest, taxes, depreciation and amortization (quarterly EBITDA). As of December 31, 2004, due mainly to the recent and current slow-down in the semiconductor industry, we did not comply with certain of the above financial ratios and covenants. We prepared an updated Fab 2 working-plan for 2005 based on prevailing and forecasted market conditions. We requested our banks to amend the financial ratios and covenants in order to align them with the updated Fab 2 working-plan. In January 2005, we signed a waiver letter agreement with our banks according to which the banks waived our non-compliance with certain financial ratios and covenants for the fourth quarter of 2004. Said agreement also amended certain of the financial ratios and covenants that we are required to comply with during 2005. Currently, we estimate that we may not comply with certain of the financial ratios and covenants for the third quarter of 2005 and thereafter. In connection with the negotiations for a definitive amendment to our credit facility agreement with our banks following the signing of a letter of intent in May 2005, we have submitted to our banks an updated Fab 2 working-plan based on prevailing and forecasted market conditions and requested our banks to amend the financial ratios and covenants in order to align them with the updated Fab 2 working-plan. While the banks have waived our past noncompliance, should we fail to comply with our covenants, and our banks do not waive our non-compliance, the banks may require us to immediately repay all loans made by them to us, plus penalties, and the banks would be entitled to exercise the remedies available to them under the credit facility, including enforcement of their lien against all our assets.</w:t>
      </w:r>
    </w:p>
    <w:p>
      <w:pPr>
        <w:spacing w:after="0" w:line="34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Pursuant to our credit facility agreement, we have to raise an aggregate amount of $152 million from specified financial sources by December 31, 2005. As of the date of this annual report, we have raised $126 million out of the $152 million we have to raise. The amendment to the credit facility provides that, should we fail to meet any of the fundraising obligation, the banks will have the option to demand that we consummate a rights offering under the following terms:</w:t>
      </w:r>
    </w:p>
    <w:p>
      <w:pPr>
        <w:spacing w:after="0" w:line="176" w:lineRule="exact"/>
        <w:rPr>
          <w:sz w:val="20"/>
          <w:szCs w:val="20"/>
          <w:color w:val="auto"/>
        </w:rPr>
      </w:pPr>
    </w:p>
    <w:p>
      <w:pPr>
        <w:ind w:left="1060" w:right="3239" w:hanging="526"/>
        <w:spacing w:after="0" w:line="235"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rights offering shall equal the difference between the amount actually raised towards the failed financing obligation and what was to be raised;</w:t>
      </w:r>
    </w:p>
    <w:p>
      <w:pPr>
        <w:spacing w:after="0" w:line="173" w:lineRule="exact"/>
        <w:rPr>
          <w:rFonts w:ascii="Courier New" w:cs="Courier New" w:eastAsia="Courier New" w:hAnsi="Courier New"/>
          <w:sz w:val="15"/>
          <w:szCs w:val="15"/>
          <w:color w:val="auto"/>
        </w:rPr>
      </w:pPr>
    </w:p>
    <w:p>
      <w:pPr>
        <w:ind w:left="1060" w:right="3239" w:hanging="526"/>
        <w:spacing w:after="0" w:line="236"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offer convertible securities to all of our shareholders in units comprised of convertible debentures, convertible into, and warrants exercisable for, our ordinary shares so that each unit will include 45% warrant coverage of the amount of shares that may be issued on the basis of an assumed conversion of the convertible debentures;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3" w:name="page54"/>
    <w:bookmarkEnd w:id="53"/>
    <w:p>
      <w:pPr>
        <w:ind w:left="1060" w:right="3239" w:hanging="526"/>
        <w:spacing w:after="0" w:line="236"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convertible debenture will bear interest at the rate of 6% per year; 1% interest will be payable once a year, and the balance of such interest (5%) will accrue until the maturity of the convertible debentures on a compounded basis, which maturity shall not be earlier than December 31, 2009;</w:t>
      </w:r>
    </w:p>
    <w:p>
      <w:pPr>
        <w:spacing w:after="0" w:line="173"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convertible debentures (principal and compounded interest) will be convertible into our ordinary shares at a rate equal to the amount that was to be raised plus the accumulated interest at such time of conversion divided by the lower of a (i) 50% discount of the market price of our shares at the close of trading on the trading day immediately prior to the date of the prospectus relating to the rights offering; or (ii) 50% discount of the average market price of our ordinary shares during the 15 consecutive trading days prior to the date of the prospectus relating to the rights offering;</w:t>
      </w:r>
    </w:p>
    <w:p>
      <w:pPr>
        <w:spacing w:after="0" w:line="165" w:lineRule="exact"/>
        <w:rPr>
          <w:rFonts w:ascii="Courier New" w:cs="Courier New" w:eastAsia="Courier New" w:hAnsi="Courier New"/>
          <w:sz w:val="14"/>
          <w:szCs w:val="14"/>
          <w:color w:val="auto"/>
        </w:rPr>
      </w:pPr>
    </w:p>
    <w:p>
      <w:pPr>
        <w:ind w:left="1060" w:right="3239" w:hanging="526"/>
        <w:spacing w:after="0" w:line="255" w:lineRule="auto"/>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warrant will be exercisable into one of our ordinary shares at such exercise price, which is equivalent to 80% of the lower of (i) the trading price for our ordinary shares at the close of trading on the trading day immediately prior to the date of the prospectus relating to the rights offering; or (ii) the average trading price for our shares during the 15 consecutive trading days preceding the date of the prospectus relating to the rights offering; and</w:t>
      </w:r>
    </w:p>
    <w:p>
      <w:pPr>
        <w:spacing w:after="0" w:line="159"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warrants shall expire five years from their date of issuance.</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If our banks exercise this option, Israel Corp., our current major shareholder, has undertaken to our banks to exercise all of the rights Israel Corp. receives in the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the rights offering, if any (including less any amounts invested in the rights offering in connection with Israel Corp.'s exercise of its own rights). As a result of our satisfying certain of our fund raising obligations, the aggregate maximum amount of Israel Corp.'s undertaking to our banks was effectively reduced to $14 million from $50 million. If certain of our shareholders participate in the above investments, then their investments will be deemed to be investments made by Israel Corp. towards its maximum commitment. In the event that the rights offering cannot be completed, Israel Corp. has undertaken to purchase from us in a private placement 50/93 of the amount we were to raise in the rights offering. Israel Corp. may fulfill its investment commitments through IC Tech.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4" w:name="page55"/>
    <w:bookmarkEnd w:id="54"/>
    <w:p>
      <w:pPr>
        <w:ind w:right="3239" w:firstLine="525"/>
        <w:spacing w:after="0" w:line="236" w:lineRule="auto"/>
        <w:rPr>
          <w:sz w:val="20"/>
          <w:szCs w:val="20"/>
          <w:color w:val="auto"/>
        </w:rPr>
      </w:pPr>
      <w:r>
        <w:rPr>
          <w:rFonts w:ascii="Courier New" w:cs="Courier New" w:eastAsia="Courier New" w:hAnsi="Courier New"/>
          <w:sz w:val="15"/>
          <w:szCs w:val="15"/>
          <w:color w:val="auto"/>
        </w:rPr>
        <w:t>Israel Corp.'s commitment and our obligation to consummate a rights offering expire on the earlier of: (i) such time that we will fulfill our fundraising obligation to raise an aggregate of $152 million under the credit facility, (ii) such time as Israel Corp. has invested its maximum commitment as described above ($14 million), or (iii) June 30, 2006. Under certain conditions, the term of Israel Corp.'s commitment and our corresponding obligations may be reduced.</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Following the receipt of the above described investments from Israel Corp., our banks will permit us to draw additional funds under the credit facility at a ratio of $43 for every $50 invested by Israel Corp., up to $12 million in the aggregate, which will be repayable by December 31, 2007. Should we draw down loans using this additional amount of our credit facility, our banks will be issued 30% warrant coverage of the amount drawn down, based on the average closing price of our ordinary shares during the 15 consecutive trading days prior to the time we draw down such loans.</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consideration for Israel Corp.'s commitment to complete this investment, we agreed to issue warrants to Israel Corp. comprised of a commitment fee and a subscription fee: The commitment fee equals 1.0% of the initial $50 million commitment less Israel Corp.'s portion of a theoretical rights offering if held on November 11, 2003 (the date we signed the amendment to the credit facility). We therefore issued warrants for the purchase of 58,906 of our ordinary shares at an exercise price of $6.17 (the 15 trading day average closing price of our shares on Nasdaq prior to the date of the November 11, 2003 amendment with our banks). The subscription fee will equal 5% of the total amount of money invested by Israel Corp. in consideration for all of the unsubscribed rights that it actually purchases. The exercise price for the warrants to be issued with respect to the subscription fee will be the 15 trading day average closing price of our shares prior to the date of the rights offering prospectus. All the warrants issued with respect to the commitment fee and the subscription fee shall expire five years from their date of issuance.</w:t>
      </w:r>
    </w:p>
    <w:p>
      <w:pPr>
        <w:spacing w:after="0" w:line="16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We have agreed to indemnify Israel Corp. for any liabilities they incur with respect to these arrangements, following the execution of Israel Corp.'s undertaking, up to a maximum of $100 million as follows: up to $25 million cash and any amount exceeding such $25 million limit will earn interest at LIBOR plus 2.5% and will be paid on the same terms that we repay our loans to our banks.</w:t>
      </w:r>
    </w:p>
    <w:p>
      <w:pPr>
        <w:spacing w:after="0" w:line="16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November 11, 2003 amendment to the credit facility further provides that upon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Israel Corp. and the wafer partners (excluding QuickLogic) agree to exercise in a rights offering rights applicable to their shareholdings and agree to purchase in a private placement enough shares to ensure that the full amount of the offer is invested.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55" w:name="page56"/>
    <w:bookmarkEnd w:id="55"/>
    <w:p>
      <w:pPr>
        <w:ind w:right="3239" w:firstLine="525"/>
        <w:spacing w:after="0" w:line="236" w:lineRule="auto"/>
        <w:rPr>
          <w:sz w:val="20"/>
          <w:szCs w:val="20"/>
          <w:color w:val="auto"/>
        </w:rPr>
      </w:pPr>
      <w:r>
        <w:rPr>
          <w:rFonts w:ascii="Courier New" w:cs="Courier New" w:eastAsia="Courier New" w:hAnsi="Courier New"/>
          <w:sz w:val="15"/>
          <w:szCs w:val="15"/>
          <w:color w:val="auto"/>
        </w:rPr>
        <w:t>In May 2005, we signed a letter of intent with our banks which provides for financing in the amount of up to $30 million, subject to, among other things, a similar amount being raised by us from investors. To date, certain of our equity investors and wafer partners have informed us of their willingness to invest $23.5 million towards such funding by investors. The letter of intent is subject to the execution of a definitive amendment to our credit facility agreement, which we are currently negotiating.</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including enforcement of their lien against all our assets. An event of default under the credit facility and the subsequent enforcement by the banks of their remedies under the credit facility may result in the cancellation of all or a portion of our Fab 2 Investment Center grants and tax benefits and in the Investment Center requiring us to repay all or a portion of grants already received ($154.1 million as of March 31, 2005).</w:t>
      </w:r>
    </w:p>
    <w:p>
      <w:pPr>
        <w:spacing w:after="0" w:line="179"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In January 2001, we also issued the banks warrants to purchase an aggregate of 400,000 ordinary shares at a purchase price of $6.20 per share, exercisable until January 2006. Pursuant to the November 11, 2003 amendment to the credit facility, we issued our banks additional five year warrants to purchase an aggregate of 896,596 ordinary shares at a purchase price of $6.17 per share, exercisable until December 2008. In addition, in the event that our banks increase our credit facility as described above, we will issue our banks additional five-year warrants equivalent to 30% of the amount drawn down based on the average closing price of our ordinary shares during the 15 trading days prior to the time we draw down such loan.</w:t>
      </w:r>
    </w:p>
    <w:p>
      <w:pPr>
        <w:spacing w:after="0" w:line="179"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registered liens in favor of our banks on substantially all of our present and future assets. The agreements with our banks restrict our ability to place liens on our assets (other than to the State of Israel in respect of investment grants and to Siliconix in respect of assets purchased under our agreement with it) without the prior consent of the banks.</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INVESTMENT CENTER GRANTS. In December 2000, the Israeli government's Investment Center approved an investment program in connection with Fab 2. The approval certificate provides for government grants equal to 20% of qualified investments up to $1.25 billion (i.e., up to $250 million), subject to customary conditions and other conditions, including a requirement that approximately $400 million of our Fab 2 funding consist of paid-in-capital and that $550 million of our Fab 2 funding be obtained by way of a credit facility from commercial banks (which amount was subsequently reduced to $500 million with the consent of the Investment Center). We have registered a lien on our assets for the benefit of the Investment Center which ranks subordinate to that of our banks. The approval certificate also provides for a tax holiday on all taxable income related to Fab 2 for the first two years of undistributed profitable operations. As of December 31, 2004, we had received $150.6 million in grants from the Investment Center, and raised approximately $385 million as paid in capital towards the $400 million requirement described above. As long as we comply with the terms of our approval certificate, we are not required to make royalty payments or any other payments under the terms of our Investment Center grants.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6" w:name="page57"/>
    <w:bookmarkEnd w:id="56"/>
    <w:p>
      <w:pPr>
        <w:ind w:right="3239" w:firstLine="525"/>
        <w:spacing w:after="0" w:line="255" w:lineRule="auto"/>
        <w:rPr>
          <w:sz w:val="20"/>
          <w:szCs w:val="20"/>
          <w:color w:val="auto"/>
        </w:rPr>
      </w:pPr>
      <w:r>
        <w:rPr>
          <w:rFonts w:ascii="Courier New" w:cs="Courier New" w:eastAsia="Courier New" w:hAnsi="Courier New"/>
          <w:sz w:val="14"/>
          <w:szCs w:val="14"/>
          <w:color w:val="auto"/>
        </w:rPr>
        <w:t>To be eligible to receive grants, we are required to invest minimum amounts on an annual basis. We notified the Investment Center of our reduced rate of annual investments and in July 2004, we received approval of our revised investment schedule from the Investment Center. In addition, we are required to complete our Fab 2 investments by the end of 2005, which we do not currently expect to satisfy. Israeli law limits the ability of the Investment Center to extend this time limitation, unless approved through an expansion plan. We have been holding discussions with the Investment Center to achieve satisfactory arrangements to approve a new expansion program that shall commence on January 1, 2006. In April 2005, at the Investment Center's request, we submitted a revised business plan to the Investment Center for the period commencing on January 1, 2006. During 2005, we received letters from the Israeli Minister of Industry, Trade and Employment and from the General Manager of the Investment Center stating that they will act under Israeli law to support such expansion. However, there can be no assurance that we will obtain the Investment Center's approval for the new expansion program and we cannot estimate the outcome of our efforts to obtain such approval.</w:t>
      </w:r>
    </w:p>
    <w:p>
      <w:pPr>
        <w:spacing w:after="0" w:line="331"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Since the inception of our financing activity for Fab 2, we have completed the following public offerings: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SALE OF UNITS. In January 2002, we completed a sale of units in Israel, composed of NIS 110,579,800 principal amount of convertible unsecured subordinated debentures and 2,211,596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linked to the Israel Consumer Price Index. Each option is exercisable into one ordinary share until January 20, 2006 at an exercise price of NIS 39 (as of December 31, 2004 - NIS 41.20, $9.56), linked to the Israel Consumer Price Index.</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RIGHTS OFFERING. In September 2002, we distributed to our shareholders and certain of our employees in Israel and the United States rights to purchase ordinary shares and warrants to purchase our ordinary shares. Substantially all of the rights exercised in connection with the rights offering were exercised by Israel Corp. and our major wafer partners. The rights offering resulted in net proceeds of approximately $19.7 million.</w:t>
      </w:r>
    </w:p>
    <w:p>
      <w:pPr>
        <w:spacing w:after="0" w:line="175" w:lineRule="exact"/>
        <w:rPr>
          <w:sz w:val="20"/>
          <w:szCs w:val="20"/>
          <w:color w:val="auto"/>
        </w:rPr>
      </w:pPr>
    </w:p>
    <w:p>
      <w:pPr>
        <w:ind w:right="3499" w:firstLine="525"/>
        <w:spacing w:after="0" w:line="256" w:lineRule="auto"/>
        <w:rPr>
          <w:sz w:val="20"/>
          <w:szCs w:val="20"/>
          <w:color w:val="auto"/>
        </w:rPr>
      </w:pPr>
      <w:r>
        <w:rPr>
          <w:rFonts w:ascii="Courier New" w:cs="Courier New" w:eastAsia="Courier New" w:hAnsi="Courier New"/>
          <w:sz w:val="14"/>
          <w:szCs w:val="14"/>
          <w:color w:val="auto"/>
        </w:rPr>
        <w:t>UNDERWRITTEN PUBLIC OFFERING. In January 2004, we completed an underwritten public offering in the United States of 11.44 million of our ordinary shares at a price to the public of $7.00 per share. The underwritten public offering resulted in net proceeds of approximately $75.1 million.</w:t>
      </w:r>
    </w:p>
    <w:p>
      <w:pPr>
        <w:spacing w:after="0" w:line="158" w:lineRule="exact"/>
        <w:rPr>
          <w:sz w:val="20"/>
          <w:szCs w:val="20"/>
          <w:color w:val="auto"/>
        </w:rPr>
      </w:pPr>
    </w:p>
    <w:p>
      <w:pPr>
        <w:ind w:left="1060" w:hanging="526"/>
        <w:spacing w:after="0"/>
        <w:tabs>
          <w:tab w:leader="none" w:pos="10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PATENTS AND LICENSES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research and development activities have related primarily to our process development and microFLASH module design efforts, and have been sponsored and funded by us with some participation by the Israeli government. Research and development expenses for the years ended December 31, 2004, 2003 and 2002 were $17.1 million, $20.7 million and $17.0 million net of government participation of $1.5 million, $1.1 million and $1.2 million, respectively. We have also incurred costs in connection with the transfer of Toshiba and Motorola (now Freescale) technology for use in Fab 2, some of which have been amortized over the estimated economic life of the technology following the commencement of production in Fab 2 during the third quarter of 2003 (see also in this Item "Critical Accounting Policies - Depreciation and Amortization of Fab 2 Assets"). For a description of our research &amp; development policies and our patents and licenses, see "Item 4. Information on the Company-4.B. Business Overview."</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57" w:name="page58"/>
    <w:bookmarkEnd w:id="57"/>
    <w:p>
      <w:pPr>
        <w:ind w:left="1060" w:hanging="526"/>
        <w:spacing w:after="0"/>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 INFORMATION</w:t>
      </w:r>
    </w:p>
    <w:p>
      <w:pPr>
        <w:spacing w:after="0" w:line="173"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The semiconductor industry has historically been highly cyclical on a seasonal and long-term basis. On a long-term basis, the market has fluctuated, cycling through periods of weak demand, production overcapacity, excess inventory and lower sales prices and periods of strong demand, full capacity utilization, product shortages and higher sales prices.</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There is a trend within the semiconductor industry toward ever-smaller features and ever-growing wafer sizes. State-of-the-art fabs are currently using process geometries of 90-nanometer and below and wafer sizes of 300-mm.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0.35-micron and above on 150-mm wafers and Fab 2 currently operates primarily at process geometries of 0.18-micron and produces 200-mm wafers. We are in the process of completing the qualification of the 0.13-micron technology transferred from Freescale.</w:t>
      </w:r>
    </w:p>
    <w:p>
      <w:pPr>
        <w:spacing w:after="0" w:line="174" w:lineRule="exact"/>
        <w:rPr>
          <w:sz w:val="20"/>
          <w:szCs w:val="20"/>
          <w:color w:val="auto"/>
        </w:rPr>
      </w:pPr>
    </w:p>
    <w:p>
      <w:pPr>
        <w:ind w:left="1060" w:hanging="526"/>
        <w:spacing w:after="0"/>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OFF-BALANCE SHEET ARRANGEMENTS</w:t>
      </w:r>
    </w:p>
    <w:p>
      <w:pPr>
        <w:spacing w:after="0" w:line="173" w:lineRule="exact"/>
        <w:rPr>
          <w:sz w:val="20"/>
          <w:szCs w:val="20"/>
          <w:color w:val="auto"/>
        </w:rPr>
      </w:pPr>
    </w:p>
    <w:p>
      <w:pPr>
        <w:jc w:val="both"/>
        <w:ind w:right="3579" w:firstLine="525"/>
        <w:spacing w:after="0" w:line="258" w:lineRule="auto"/>
        <w:rPr>
          <w:sz w:val="20"/>
          <w:szCs w:val="20"/>
          <w:color w:val="auto"/>
        </w:rPr>
      </w:pPr>
      <w:r>
        <w:rPr>
          <w:rFonts w:ascii="Courier New" w:cs="Courier New" w:eastAsia="Courier New" w:hAnsi="Courier New"/>
          <w:sz w:val="14"/>
          <w:szCs w:val="14"/>
          <w:color w:val="auto"/>
        </w:rPr>
        <w:t>We are not a party to any material off-balance sheet arrangements. In addition, we have no unconsolidated special purpose financing or partnership entities that are likely to create material contingent obligations.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8" w:name="page59"/>
    <w:bookmarkEnd w:id="58"/>
    <w:p>
      <w:pPr>
        <w:ind w:left="1060" w:hanging="526"/>
        <w:spacing w:after="0"/>
        <w:tabs>
          <w:tab w:leader="none" w:pos="10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TABULAR DISCLOSURE OF CONTRACTUAL OBLIGATIONS</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The following table summarizes our contractual obligations and commercial commitments as of December 31, 2004:</w:t>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PAYMENT DUE</w:t>
      </w:r>
    </w:p>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LESS</w:t>
      </w:r>
    </w:p>
    <w:p>
      <w:pPr>
        <w:spacing w:after="0" w:line="5" w:lineRule="exact"/>
        <w:rPr>
          <w:sz w:val="20"/>
          <w:szCs w:val="20"/>
          <w:color w:val="auto"/>
        </w:rPr>
      </w:pPr>
    </w:p>
    <w:p>
      <w:pPr>
        <w:ind w:left="180" w:right="1399"/>
        <w:spacing w:after="0"/>
        <w:rPr>
          <w:sz w:val="20"/>
          <w:szCs w:val="20"/>
          <w:color w:val="auto"/>
        </w:rPr>
      </w:pPr>
      <w:r>
        <w:rPr>
          <w:rFonts w:ascii="Courier New" w:cs="Courier New" w:eastAsia="Courier New" w:hAnsi="Courier New"/>
          <w:sz w:val="15"/>
          <w:szCs w:val="15"/>
          <w:color w:val="auto"/>
        </w:rPr>
        <w:t>CONTRACTUAL THAN 1 AFTER OBLIGATIONS TOTAL YEAR 2 YEARS 3 YEARS 4 YEARS 5 YEARS 5 YEARS</w:t>
      </w:r>
    </w:p>
    <w:p>
      <w:pPr>
        <w:spacing w:after="0" w:line="166"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Short-term debt and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liabilities (1)</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73,012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73,012</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Long-term debt (2)</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618,532</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29,803</w:t>
            </w:r>
          </w:p>
        </w:tc>
        <w:tc>
          <w:tcPr>
            <w:tcW w:w="2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32,863</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182,115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185,178</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174,108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14,465</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Debentures (3)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31,577</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8,054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7,735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7,416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7,098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Long -term liability</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respect to</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 advances</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11,005</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10,614</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4,137</w:t>
            </w:r>
          </w:p>
        </w:tc>
        <w:tc>
          <w:tcPr>
            <w:tcW w:w="2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3,861</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2,443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connection with</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equipment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40,410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38,579</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1,831</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liabilities</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9,945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4,588</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Other purchase</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36,085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5,358</w:t>
            </w:r>
          </w:p>
        </w:tc>
        <w:tc>
          <w:tcPr>
            <w:tcW w:w="2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2,652</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2,652</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20,119</w:t>
            </w:r>
          </w:p>
        </w:tc>
      </w:tr>
      <w:tr>
        <w:trPr>
          <w:trHeight w:val="168"/>
        </w:trPr>
        <w:tc>
          <w:tcPr>
            <w:tcW w:w="1900" w:type="dxa"/>
            <w:vAlign w:val="bottom"/>
          </w:tcPr>
          <w:p>
            <w:pPr>
              <w:spacing w:after="0"/>
              <w:rPr>
                <w:sz w:val="14"/>
                <w:szCs w:val="14"/>
                <w:color w:val="auto"/>
              </w:rPr>
            </w:pPr>
          </w:p>
        </w:tc>
        <w:tc>
          <w:tcPr>
            <w:tcW w:w="7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 CONTRACTUAL</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OBLIGATIONS</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$ 840,175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152,763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53,687</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$ 199,980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$ 197,587</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$ 185,981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$ 50,177</w:t>
            </w:r>
          </w:p>
        </w:tc>
      </w:tr>
      <w:tr>
        <w:trPr>
          <w:trHeight w:val="168"/>
        </w:trPr>
        <w:tc>
          <w:tcPr>
            <w:tcW w:w="1900" w:type="dxa"/>
            <w:vAlign w:val="bottom"/>
          </w:tcPr>
          <w:p>
            <w:pPr>
              <w:spacing w:after="0"/>
              <w:rPr>
                <w:sz w:val="14"/>
                <w:szCs w:val="14"/>
                <w:color w:val="auto"/>
              </w:rPr>
            </w:pPr>
          </w:p>
        </w:tc>
        <w:tc>
          <w:tcPr>
            <w:tcW w:w="70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540" w:right="3399" w:hanging="530"/>
        <w:spacing w:after="0" w:line="254" w:lineRule="auto"/>
        <w:tabs>
          <w:tab w:leader="none" w:pos="5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debt and other current liabilities include our trade accounts payable for equipment and services that have already been supplied.</w:t>
      </w:r>
    </w:p>
    <w:p>
      <w:pPr>
        <w:ind w:left="540" w:right="3239" w:hanging="530"/>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includes principal and interest payments in accordance with the terms of the credit facility amended in November 2003, as well as the impact of our hedging transactions.</w:t>
      </w:r>
    </w:p>
    <w:p>
      <w:pPr>
        <w:spacing w:after="0" w:line="5" w:lineRule="exact"/>
        <w:rPr>
          <w:rFonts w:ascii="Courier New" w:cs="Courier New" w:eastAsia="Courier New" w:hAnsi="Courier New"/>
          <w:sz w:val="15"/>
          <w:szCs w:val="15"/>
          <w:color w:val="auto"/>
        </w:rPr>
      </w:pPr>
    </w:p>
    <w:p>
      <w:pPr>
        <w:ind w:left="540" w:right="3579" w:hanging="530"/>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amounts include expected principal and interest payments for the presented periods.</w:t>
      </w:r>
    </w:p>
    <w:p>
      <w:pPr>
        <w:spacing w:after="0" w:line="5" w:lineRule="exact"/>
        <w:rPr>
          <w:rFonts w:ascii="Courier New" w:cs="Courier New" w:eastAsia="Courier New" w:hAnsi="Courier New"/>
          <w:sz w:val="15"/>
          <w:szCs w:val="15"/>
          <w:color w:val="auto"/>
        </w:rPr>
      </w:pPr>
    </w:p>
    <w:p>
      <w:pPr>
        <w:ind w:left="540" w:right="3239" w:hanging="530"/>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primarily consist of ordered equipment that has not yet been received. In addition to these contractual obligations, we have committed approximately $0.6 million in standby letters of credit and guarantees to secure our Fab 2 construction and equipment obligations.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59" w:name="page60"/>
    <w:bookmarkEnd w:id="59"/>
    <w:p>
      <w:pPr>
        <w:ind w:right="3239" w:firstLine="525"/>
        <w:spacing w:after="0" w:line="237" w:lineRule="auto"/>
        <w:rPr>
          <w:sz w:val="20"/>
          <w:szCs w:val="20"/>
          <w:color w:val="auto"/>
        </w:rPr>
      </w:pPr>
      <w:r>
        <w:rPr>
          <w:rFonts w:ascii="Courier New" w:cs="Courier New" w:eastAsia="Courier New" w:hAnsi="Courier New"/>
          <w:sz w:val="15"/>
          <w:szCs w:val="15"/>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sales revenues, the volume of business and hourly-based fees. In addition, the above table does not include our long-term liability with respect to our wafer partner advances, which as of December 31, 2004, amounted to $45.0 million that may be utilized by them against future purchases of Fab 2 products. We are unable to reasonably estimate the total amounts that may be utilized by our wafer partners since we can not reasonably estimate their future orders in the periods set forth in the above chart; and even if we could reasonably estimate our wafer partners' future orders, we are unable to determine which portion of the advances they are entitled to utilize against purchases will be chosen by them to be converted into our fully paid ordinary shares, as provided under the amendment with our wafer partners (see "Fab 2 Agreements").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DIRECTORS, SENIOR MANAGEMENT AND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SENIOR MANAGEMENT</w:t>
      </w:r>
    </w:p>
    <w:p>
      <w:pPr>
        <w:spacing w:after="0" w:line="173" w:lineRule="exact"/>
        <w:rPr>
          <w:sz w:val="20"/>
          <w:szCs w:val="20"/>
          <w:color w:val="auto"/>
        </w:rPr>
      </w:pPr>
    </w:p>
    <w:p>
      <w:pPr>
        <w:ind w:right="4379" w:firstLine="525"/>
        <w:spacing w:after="0" w:line="261" w:lineRule="auto"/>
        <w:rPr>
          <w:sz w:val="20"/>
          <w:szCs w:val="20"/>
          <w:color w:val="auto"/>
        </w:rPr>
      </w:pPr>
      <w:r>
        <w:rPr>
          <w:rFonts w:ascii="Courier New" w:cs="Courier New" w:eastAsia="Courier New" w:hAnsi="Courier New"/>
          <w:sz w:val="14"/>
          <w:szCs w:val="14"/>
          <w:color w:val="auto"/>
        </w:rPr>
        <w:t>Set forth below is information regarding the members of our administrative, supervisory or management bodies and our directors.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Age</w:t>
            </w:r>
          </w:p>
        </w:tc>
        <w:tc>
          <w:tcPr>
            <w:tcW w:w="5520" w:type="dxa"/>
            <w:vAlign w:val="bottom"/>
          </w:tcPr>
          <w:p>
            <w:pPr>
              <w:ind w:left="360"/>
              <w:spacing w:after="0"/>
              <w:rPr>
                <w:sz w:val="20"/>
                <w:szCs w:val="20"/>
                <w:color w:val="auto"/>
              </w:rPr>
            </w:pPr>
            <w:r>
              <w:rPr>
                <w:rFonts w:ascii="Courier New" w:cs="Courier New" w:eastAsia="Courier New" w:hAnsi="Courier New"/>
                <w:sz w:val="15"/>
                <w:szCs w:val="15"/>
                <w:color w:val="auto"/>
              </w:rPr>
              <w:t>TITLE</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Russell C. Ellwanger ........</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50</w:t>
            </w:r>
          </w:p>
        </w:tc>
        <w:tc>
          <w:tcPr>
            <w:tcW w:w="552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Oren Shirazi.................</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35</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Acting Chief Financial Officer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Doron Simon .................</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40</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President,  Tower Semiconductor USA, V.P. Marketing,  Tower</w:t>
            </w:r>
          </w:p>
        </w:tc>
      </w:tr>
      <w:tr>
        <w:trPr>
          <w:trHeight w:val="168"/>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Semiconductor Ltd.</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Dr. Itzhak Edrei.............</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45</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of Research and Development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Nave....................</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55</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of Customer Services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Erez Taoz....................</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50</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Fab 2 General Manager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Dalit Dahan..................</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37</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of Human Resources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Hagay Dvir</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41</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of Sales, Europe and Asia</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Nati Somekh Gilboa</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30</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Secretary and General Counsel</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Mor.....................</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41</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Vice President, Fab 1 Manager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1000" w:type="dxa"/>
            <w:vAlign w:val="bottom"/>
          </w:tcPr>
          <w:p>
            <w:pPr>
              <w:spacing w:after="0"/>
              <w:rPr>
                <w:sz w:val="14"/>
                <w:szCs w:val="14"/>
                <w:color w:val="auto"/>
              </w:rPr>
            </w:pPr>
          </w:p>
        </w:tc>
        <w:tc>
          <w:tcPr>
            <w:tcW w:w="55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Ehud Hillman.................</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52</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Acting Chairman</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Russell C. Ellwanger</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50</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Yossi Rosen..................</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65</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Dr. Eli Harari...............</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60</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Miin Wu......................</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56</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N.D. Reddy...................</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66</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Rohrer..................</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55</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Independent Director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Tal Yaron-Eldar..............</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41</w:t>
            </w:r>
          </w:p>
        </w:tc>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Independent Director</w:t>
            </w:r>
          </w:p>
        </w:tc>
      </w:tr>
    </w:tbl>
    <w:p>
      <w:pPr>
        <w:spacing w:after="0" w:line="34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60" w:name="page61"/>
    <w:bookmarkEnd w:id="60"/>
    <w:p>
      <w:pPr>
        <w:ind w:right="3239" w:firstLine="525"/>
        <w:spacing w:after="0" w:line="255" w:lineRule="auto"/>
        <w:rPr>
          <w:sz w:val="20"/>
          <w:szCs w:val="20"/>
          <w:color w:val="auto"/>
        </w:rPr>
      </w:pPr>
      <w:r>
        <w:rPr>
          <w:rFonts w:ascii="Courier New" w:cs="Courier New" w:eastAsia="Courier New" w:hAnsi="Courier New"/>
          <w:sz w:val="14"/>
          <w:szCs w:val="14"/>
          <w:color w:val="auto"/>
        </w:rPr>
        <w:t>Ehud Hillman has served as Acting Chairman of the Board since May 2005. Mr. Hillman served as Acting Chief Executive Officer from February 2005 to April 2005. Mr. Hillman has served as a director from October 1996 through August 1999 and was reappointed to the Board in January 2000. In January 2001, Mr. Hillman was appointed Vice Chairman of the Board and resigned as Vice Chairman in March 2005. Mr. Hillman serves on the Tender Committee. Since March 2001, Mr. Hillman has served as President and Chief Executive Officer of ICTech, a subsidiary of Israel Corp., which is one of our current principal shareholders. Since February 2004, Mr. Hillman has served as a member of the Board of Directors of ZIM Integrated Shipping Services.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 companies in the Clal Group.</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Yossi Rosen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Integrated Shipping Services,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180"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Dr. Eli Harari has served as a director since January 2001. Dr. Harari serves on the Stock Option and Compensation Committee. Dr. Harari, the founder of SanDisk Corporation, has served as President and Chief Executive Officer and as a director of SanDisk since 1988. In 1983, Dr. Harari founded Wafer Scale Integration, or WSI, a semiconductor company acquired by STMicroelectronics in 2000, and served as WSI's President and Chief Executive Officer from 1983 to 1986 and as Chairman and Chief Technical Officer from 1986 to 1988.</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Miin Wu has served as a director since January 2001. Mr. Wu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61" w:name="page62"/>
    <w:bookmarkEnd w:id="61"/>
    <w:p>
      <w:pPr>
        <w:ind w:right="3239" w:firstLine="525"/>
        <w:spacing w:after="0" w:line="237" w:lineRule="auto"/>
        <w:rPr>
          <w:sz w:val="20"/>
          <w:szCs w:val="20"/>
          <w:color w:val="auto"/>
        </w:rPr>
      </w:pPr>
      <w:r>
        <w:rPr>
          <w:rFonts w:ascii="Courier New" w:cs="Courier New" w:eastAsia="Courier New" w:hAnsi="Courier New"/>
          <w:sz w:val="15"/>
          <w:szCs w:val="15"/>
          <w:color w:val="auto"/>
        </w:rPr>
        <w:t>N. Damodary Reddy has served as a director since January 2001. Mr. Reddy serves on the Audit Committee. Mr. Reddy is the co-founder of Alliance Semiconductor Corporation and has served as its Chairman of the Board, President and Chief Executive Officer since its inception in February 1985. Mr. Reddy also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 University and an MBA from Santa Clara University.</w:t>
      </w:r>
    </w:p>
    <w:p>
      <w:pPr>
        <w:spacing w:after="0" w:line="174" w:lineRule="exact"/>
        <w:rPr>
          <w:sz w:val="20"/>
          <w:szCs w:val="20"/>
          <w:color w:val="auto"/>
        </w:rPr>
      </w:pPr>
    </w:p>
    <w:p>
      <w:pPr>
        <w:jc w:val="both"/>
        <w:ind w:right="3319" w:firstLine="525"/>
        <w:spacing w:after="0" w:line="254" w:lineRule="auto"/>
        <w:rPr>
          <w:sz w:val="20"/>
          <w:szCs w:val="20"/>
          <w:color w:val="auto"/>
        </w:rPr>
      </w:pPr>
      <w:r>
        <w:rPr>
          <w:rFonts w:ascii="Courier New" w:cs="Courier New" w:eastAsia="Courier New" w:hAnsi="Courier New"/>
          <w:sz w:val="14"/>
          <w:szCs w:val="14"/>
          <w:color w:val="auto"/>
        </w:rPr>
        <w:t>Hans Rohrer has been a director and member of the Audit Committee since April 2002. Since May 2002, Mr. Rohrer serves as President and Chief Executive Officer of Acuid Corporation. From 1999 to 2002, Mr. Rohrer served as President of Taiwan Semiconductor Manufacturing Company - Europe (TSMC - Europe). Mr.</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175"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Tal Yaron-Eldar has been a director and member of the Audit Committee and the Stock Option and Compensation Committee since January 2005. Since September 2004, Ms. Yaron-Eldar serves as Chief Executive Officer of Arazim Investment Ltd. and she is a partner in Cohen, Cohen, Yaron-Eldar &amp; Co. law offices. Ms. Yaron-Eldar served as Israel's Income Tax and Real Property Tax Commissioner from 2002 to 2004. Between 1998 and 2001, Ms. Yaron-Eldar served as the Chief Legal Advisor to the Customs and V.A.T. Authority. During the preceding ten years, Ms. Yaron-Eldar served in various positions with Israel's Income Tax and Real Property Tax Commission, including Senior Head of its legislation department and Deputy Chief Legal Advisor. Ms. Yaron-Eldar holds a master's degree in business and a bachelor's degree in law from Tel-Aviv University and is a member of the Israeli Bar Association.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Doron Simon was appointed Vice President of Marketing in November 2003 and has been President of Tower Semiconductor USA since April 2001. Since 1993, Mr. Simon has served in various capacities, including Director of Customer Service, Director of Planning and Turnkey Operations and Director of Worldwide Sales Operations. Prior to 1993, Mr. Simon was employed by National Semiconductor in Migdal Haemek as their Production Control Manager. Mr. Simon earned a B.Sc. in Industrial Engineering from the Technion - Israel Institute of Technology and an MBA from Herriot-Watt University Edinburgh, Scotland.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62" w:name="page63"/>
    <w:bookmarkEnd w:id="62"/>
    <w:p>
      <w:pPr>
        <w:ind w:right="3239" w:firstLine="525"/>
        <w:spacing w:after="0" w:line="236" w:lineRule="auto"/>
        <w:rPr>
          <w:sz w:val="20"/>
          <w:szCs w:val="20"/>
          <w:color w:val="auto"/>
        </w:rPr>
      </w:pPr>
      <w:r>
        <w:rPr>
          <w:rFonts w:ascii="Courier New" w:cs="Courier New" w:eastAsia="Courier New" w:hAnsi="Courier New"/>
          <w:sz w:val="15"/>
          <w:szCs w:val="15"/>
          <w:color w:val="auto"/>
        </w:rPr>
        <w:t>Hagay Dvir was appointed as Vice President of Sales, Europe and Asia, in February 2005, having served as Director of Sales since March 2004. From 2001 to 2004, Mr. Dvir served as Customer Program Manager, Director of Customer programs and Director of Applications. From 1998 to 2001, before joining our company, Mr. Dvir was employed by Oren Semiconductor Ltd. as Director of Operations. From 1990 to 1998, Mr. Dvir was employed by National Semiconductor Ltd. as Product Engineering Manager and Project Leader. Mr. Dvir earned a B.Sc. in Electrical Engineering from Ben Gurion University and an MBA from the Technion - Israel Institute of Technology.</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Nati Somekh Gilboa was appointed as Corporate Secretary and General Counsel in March 2005, as served as our Associate General Counsel since May 2004. From 2001 to 2004, Ms. Somekh Gilboa was employed by Goldsobel &amp; Kirshen, Adv. Ms. Somekh Gilboa holds an LL.M. and J.D. from Boston University and a B.A. from Johns Hopkins University. She is a member of the Israeli Bar Association and the New York bar.</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Dr. Itzhak Edrei was appointed Vice President of Research and Development in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Rafi Nave was appointed Vice President of Customer Services in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Erez Taoz was appointed Vice President and Fab 2 General Manager in March 2003, having served as VP and Fab 1 General Manager since August 2001 and as Director of Fab 1 since 1999. Mr. Taoz joined Tower in 1996 as our Fab 1 Director of Manufacturing. Prior to that time, Mr. Taoz served as VP of Operations at Cyclone Aviation Products. Mr. Taoz earned a B.Sc. in mechanical engineering from the Technion.</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Dalit Dahan was appointed Vice President of Human Resources in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76"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Rafi Mor was appointed Vice President and Fab 1 Manager in August 2003, having served as Senior Director and Fab 1 Manager since March 2003. From November 2000 to March 2003, Mr. Mor served as Senior Director of Process Device</w:t>
      </w:r>
    </w:p>
    <w:p>
      <w:pPr>
        <w:spacing w:after="0" w:line="1" w:lineRule="exact"/>
        <w:rPr>
          <w:sz w:val="20"/>
          <w:szCs w:val="20"/>
          <w:color w:val="auto"/>
        </w:rPr>
      </w:pPr>
    </w:p>
    <w:p>
      <w:pPr>
        <w:ind w:right="3319" w:firstLine="10"/>
        <w:spacing w:after="0" w:line="256" w:lineRule="auto"/>
        <w:tabs>
          <w:tab w:leader="none" w:pos="1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3" w:name="page64"/>
    <w:bookmarkEnd w:id="63"/>
    <w:p>
      <w:pPr>
        <w:ind w:left="1060" w:hanging="526"/>
        <w:spacing w:after="0"/>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For the years ended December 31, 2004 and 2003, we paid to all our directors and senior management, as a group, an aggregate of $1.2 million and $0.9 million, respectively, in salaries, fees and bonuses, excluding management fees paid to a subsidiary of Israel Corp. (see Item 7 "Major Shareholders and Related Party Transactions-Related Party Transactions"). The total amount set aside or accrued in the year ended December 31, 2004 to provide for severance, retirement and similar benefits for such persons was $0.3 million. No directors received cash compensation other than the annual and meeting fees described below. During 2004, our former Chief Executive Officer and Chairman of our Board of Directors, Mr. Carmel Vernia received annual compensation at a total cost to us of approximately $210,000, including customary benefits provided to our officers. As of December 31, 2004, our directors, excluding Mr. Vernia (see Item 7 "Major Shareholders and Related Party Transactions-Related Party Transactions") were granted options to purchase an aggregate of 240,000 ordinary shares at a weighted average exercise price of $8.41 per share. During February 2005, we granted our two new directors 80,000 options at an exercise price of $1.87. These options will become exercisable according to various vesting schedules over four years and generally remain exercisable for five years following the vesting date.</w:t>
      </w:r>
    </w:p>
    <w:p>
      <w:pPr>
        <w:spacing w:after="0" w:line="34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 April 2005, our Board of Directors approved the grants of options to purchase up to 1,325,724 Ordinary Shares to our new appointed Chief Executive Officer, who was also appointed as a director. These options are exercisable at an exercise price of $1.56, the opening market price of our shares on the date of the board approval of the grants. Options granted under the plan vest over a four-year period, 25% over each year of employment. The options granted are exercisable for a period of ten years from the date of grant. If as a result of future equity financings (excluding the exercise or conversion of currently existing warrants, options or other rights to acquire the Company's securities), the number of total options granted to our CEO through April 30, 2007 would represent less than 1.2% of our total number of issued and outstanding shares as of such date, additional options will be granted to the CEO to represent a 1.2% holding of the total number of our issued and outstanding shares as of April 30, 2007. The grant of options is subject to the approval of our shareholders.</w:t>
      </w:r>
    </w:p>
    <w:p>
      <w:pPr>
        <w:spacing w:after="0" w:line="164"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During the year ended December 31, 2004, we granted a total of 364,913 options to purchase ordinary shares to our senior managers as a group. These options have a weighted average exercise price of $3.04 per share with vesting periods over four years and expire in 2014.</w:t>
      </w:r>
    </w:p>
    <w:p>
      <w:pPr>
        <w:spacing w:after="0" w:line="175" w:lineRule="exact"/>
        <w:rPr>
          <w:sz w:val="20"/>
          <w:szCs w:val="20"/>
          <w:color w:val="auto"/>
        </w:rPr>
      </w:pPr>
    </w:p>
    <w:p>
      <w:pPr>
        <w:ind w:right="3579" w:firstLine="525"/>
        <w:spacing w:after="0" w:line="236" w:lineRule="auto"/>
        <w:rPr>
          <w:sz w:val="20"/>
          <w:szCs w:val="20"/>
          <w:color w:val="auto"/>
        </w:rPr>
      </w:pPr>
      <w:r>
        <w:rPr>
          <w:rFonts w:ascii="Courier New" w:cs="Courier New" w:eastAsia="Courier New" w:hAnsi="Courier New"/>
          <w:sz w:val="15"/>
          <w:szCs w:val="15"/>
          <w:color w:val="auto"/>
        </w:rPr>
        <w:t>Since October 2001, our directors have foregone their directors' fees, except for fees required by law to be paid to our independent directors, consisting of a NIS 26,000 (approximately $6,030) annual fee plus NIS 915 (approximately $210) per meeting. The aggregate amount payable to our independent directors with respect to the year ended December 31, 2004 was approximately $14,000. The annual and meeting fees paid to our independent directors are adjusted semiannually to reflect changes to the published guidelines in Israel for independent directors.</w:t>
      </w:r>
    </w:p>
    <w:p>
      <w:pPr>
        <w:spacing w:after="0" w:line="177"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In May 2005, our board of directors approved the grant of 2,900,000 options to our employees at an exercise price equal to the market price of our shares as of the date of grant. The options will vest over a four-year period from the date of grant and will expire ten years from such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17" w:right="1440" w:bottom="1440" w:gutter="0" w:footer="0" w:header="0"/>
        </w:sectPr>
      </w:pPr>
    </w:p>
    <w:bookmarkStart w:id="64" w:name="page65"/>
    <w:bookmarkEnd w:id="64"/>
    <w:p>
      <w:pPr>
        <w:ind w:left="1060" w:hanging="526"/>
        <w:spacing w:after="0"/>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PRACTICES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Our Articles of Association provide that the Board of Directors shall consist of at least five and no more than 11 members. All directors, except for independent directors, hold office until their successors are elected at the next annual general meeting of shareholders. Pursuant to a shareholders agreement described in "Certain Transactions," Israel Corp., SanDisk, Alliance Semiconductor and Macronix have agreed to vote all their respective shares for nominees designated by each shareholder and for the election of a nominee of Israel Corp. as Chairman of the Board. Our officers are appointed by the Board of Directors and (subject, in certain cases, to employment agreement provisions that require 270 days notice of termination) continue to serve at the discretion of the Board of Directors.</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76"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None of the members of the Board are entitled to receive any severance or similar benefits upon termination of service with the Board of Directors.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Pursuant to Israeli law, we are required to appoint two independent directors. These directors must be unaffiliated with us and our principals. Any committee of the Board of Directors which is authorized to exercise any function of the Board must include at least one independent director.</w:t>
      </w:r>
    </w:p>
    <w:p>
      <w:pPr>
        <w:spacing w:after="0" w:line="17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Independent directors are to be elected by a majority vote at a shareholders' meeting, provided that such majority includes at least one-third of the shares held by non-controlling shareholders voted at the meeting or the total number of shares held by non-controlling shareholders voted against the election of the director does not exceed one percent of the aggregate voting rights in the company.</w:t>
      </w:r>
    </w:p>
    <w:p>
      <w:pPr>
        <w:spacing w:after="0" w:line="175"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The initial term of an independent director is three years and may be extended for an additional three years.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Mr. Rohrer, who currently serves as an independent director, was appointed for an initial three-year term expiring in April 2005 and was reappointed for a subsequent three-year term expiring in April 2008. Ms. Yaron-Eldar, who currently serves as an independent director, was appointed for an initial three-year term expiring in December 2007.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17" w:right="1440" w:bottom="1440" w:gutter="0" w:footer="0" w:header="0"/>
        </w:sectPr>
      </w:pPr>
    </w:p>
    <w:bookmarkStart w:id="65" w:name="page66"/>
    <w:bookmarkEnd w:id="65"/>
    <w:p>
      <w:pPr>
        <w:ind w:right="3319" w:firstLine="525"/>
        <w:spacing w:after="0" w:line="235" w:lineRule="auto"/>
        <w:rPr>
          <w:sz w:val="20"/>
          <w:szCs w:val="20"/>
          <w:color w:val="auto"/>
        </w:rPr>
      </w:pPr>
      <w:r>
        <w:rPr>
          <w:rFonts w:ascii="Courier New" w:cs="Courier New" w:eastAsia="Courier New" w:hAnsi="Courier New"/>
          <w:sz w:val="15"/>
          <w:szCs w:val="15"/>
          <w:color w:val="auto"/>
        </w:rPr>
        <w:t>Independent directors may be removed only by the same percentage of shareholders as is required for their election, or by a court, and then only if the independent directors cease to meet the statutory qualifications for their appointment or if they violate their duty of loyalty to the company.</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An independent director is entitled to compensation, as provided in regulations adopted under the Israeli Companies Law, and is otherwise prohibited from receiving any other compensation, directly or indirectly, in connection with service provided as an independent director.</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Companies Law requires public companies to appoint an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independent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independent directors and Mr. Dan Reddy (who according to public filings is the Chairman, President, Chief Executive Officer and a 21% shareholder of Alliance Semiconductor) are members of our audit committee.</w:t>
      </w:r>
    </w:p>
    <w:p>
      <w:pPr>
        <w:spacing w:after="0" w:line="16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accountant or its representative.</w:t>
      </w:r>
    </w:p>
    <w:p>
      <w:pPr>
        <w:spacing w:after="0" w:line="166"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Mr. Rosen, Dr. Harari and Ms. Yaron-Eldar serve on the Stock Option and Compensation Committee. The committee meets at least once a year. The primary function of our Stock Option and Compensation Committee is to approve our employee compensation policy and determine remuneration and other terms of employment for our officers and senior employees. In setting our remuneration policy, the committee considers a number of factors including:</w:t>
      </w:r>
    </w:p>
    <w:p>
      <w:pPr>
        <w:spacing w:after="0" w:line="160" w:lineRule="exact"/>
        <w:rPr>
          <w:sz w:val="20"/>
          <w:szCs w:val="20"/>
          <w:color w:val="auto"/>
        </w:rPr>
      </w:pPr>
    </w:p>
    <w:p>
      <w:pPr>
        <w:ind w:left="1060" w:hanging="526"/>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employment market environment;</w:t>
      </w:r>
    </w:p>
    <w:p>
      <w:pPr>
        <w:spacing w:after="0" w:line="172" w:lineRule="exact"/>
        <w:rPr>
          <w:rFonts w:ascii="Courier New" w:cs="Courier New" w:eastAsia="Courier New" w:hAnsi="Courier New"/>
          <w:sz w:val="15"/>
          <w:szCs w:val="15"/>
          <w:color w:val="auto"/>
        </w:rPr>
      </w:pPr>
    </w:p>
    <w:p>
      <w:pPr>
        <w:ind w:left="1060" w:right="3319" w:hanging="526"/>
        <w:spacing w:after="0" w:line="234" w:lineRule="auto"/>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basic salaries and benefits available to comparable officers at comparable companies;</w:t>
      </w:r>
    </w:p>
    <w:p>
      <w:pPr>
        <w:spacing w:after="0" w:line="173"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to attract and retain officers of an appropriate caliber;</w:t>
      </w:r>
    </w:p>
    <w:p>
      <w:pPr>
        <w:spacing w:after="0" w:line="177" w:lineRule="exact"/>
        <w:rPr>
          <w:rFonts w:ascii="Courier New" w:cs="Courier New" w:eastAsia="Courier New" w:hAnsi="Courier New"/>
          <w:sz w:val="14"/>
          <w:szCs w:val="14"/>
          <w:color w:val="auto"/>
        </w:rPr>
      </w:pPr>
    </w:p>
    <w:p>
      <w:pPr>
        <w:ind w:left="1060" w:right="3239" w:hanging="526"/>
        <w:spacing w:after="0" w:line="234" w:lineRule="auto"/>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ensure such executives' commitment to the future success of our company by means of incentive schemes;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of the employee;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and operating results of our company.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66" w:name="page67"/>
    <w:bookmarkEnd w:id="66"/>
    <w:p>
      <w:pPr>
        <w:ind w:left="1060" w:hanging="526"/>
        <w:spacing w:after="0"/>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The following table sets forth for the last three fiscal years, the number of our employees engaged in the specified activities.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As of</w:t>
            </w:r>
          </w:p>
        </w:tc>
        <w:tc>
          <w:tcPr>
            <w:tcW w:w="70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2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Process and Product Engineering, R&amp;D, Design</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Manufacturing, Operations (*)</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Manufacturing Support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Administration, Marketing, Finance</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Fab 2 Construction and Technology Transfer (*)</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right="3239" w:firstLine="10"/>
        <w:spacing w:after="0" w:line="235"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during the third quarter of 2003, most of the employees that prior to that date were classified under Fab 2 construction and technology transfer activities are classified under manufacturing operations activities.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79"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We generally provide our employees with benefits and working conditions beyond the minimum requirements. We consider our relationship with our employees to be good, and we have never experienced a labor dispute, strike or work stoppage.</w:t>
      </w:r>
    </w:p>
    <w:p>
      <w:pPr>
        <w:spacing w:after="0" w:line="169" w:lineRule="exact"/>
        <w:rPr>
          <w:sz w:val="20"/>
          <w:szCs w:val="20"/>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All of the persons listed above under the caption "Directors and Senior Management" own ordinary shares and/or options to purchase ordinary shares. None of such persons own shares and/or options amounting to 1% or more of the outstanding ordinary shares. Information regarding our share option plans and warrants presented in Note 13B to our consolidated financial statements is incorporated herein by reference.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1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ITEM 7. MAJOR SHAREHOLDERS AND RELATED PARTY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SHAREHOLDERS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following table and notes thereto set forth information, as of May 31, 2005, concerning the beneficial ownership (as defined in Rule 13d-3 under the Securities Exchange Act of 1934) of ordinary shares by any person who is known to own at least 5% of the ordinary shares of our company. On May 31, 2005, 66,286,187 ordinary shares were issued and outstanding. The table also sets forth information as to the percentage of the ordinary shares owned by each such person in accordance with Rule 13d-3 under the Securities Exchange Act of 1934 and on a fully diluted basis.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 OF CLASS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IDENTITY OF PERSON OR GROUP</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 BENEFICIALLY OWNED</w:t>
            </w:r>
          </w:p>
        </w:tc>
        <w:tc>
          <w:tcPr>
            <w:tcW w:w="2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PERCENT OF CLASS(1)</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(DILUTED)(2)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(ICTech) Ltd. ("ICTech")(3)(4)</w:t>
            </w: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15,143,064(4)</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22.54%</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17.29%</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SanDisk Corporation(3)</w:t>
            </w:r>
          </w:p>
        </w:tc>
        <w:tc>
          <w:tcPr>
            <w:tcW w:w="2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10,006,115(5)</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15.01%</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11.42%</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Alliance Semiconductor</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Corporation(3)</w:t>
            </w: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9,266,137(6)</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13.90%</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10.58%</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Macronix International Co.</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Ltd.(3)</w:t>
            </w: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9,070,395(7)</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13.62%</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Ontario Teachers' Pension Plan</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Board  ("OTPP")</w:t>
            </w:r>
          </w:p>
        </w:tc>
        <w:tc>
          <w:tcPr>
            <w:tcW w:w="2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4,350,000(8)</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6.43%</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4.97%</w:t>
            </w:r>
          </w:p>
        </w:tc>
      </w:tr>
    </w:tbl>
    <w:p>
      <w:pPr>
        <w:spacing w:after="0" w:line="341" w:lineRule="exact"/>
        <w:rPr>
          <w:sz w:val="20"/>
          <w:szCs w:val="20"/>
          <w:color w:val="auto"/>
        </w:rPr>
      </w:pPr>
    </w:p>
    <w:p>
      <w:pPr>
        <w:ind w:left="700" w:right="3499" w:hanging="340"/>
        <w:spacing w:after="0" w:line="261"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that the holder has a right to purchase within 60 days from May 31, 2005.</w:t>
      </w:r>
    </w:p>
    <w:p>
      <w:pPr>
        <w:spacing w:after="0" w:line="159" w:lineRule="exact"/>
        <w:rPr>
          <w:rFonts w:ascii="Courier New" w:cs="Courier New" w:eastAsia="Courier New" w:hAnsi="Courier New"/>
          <w:sz w:val="14"/>
          <w:szCs w:val="14"/>
          <w:color w:val="auto"/>
        </w:rPr>
      </w:pPr>
    </w:p>
    <w:p>
      <w:pPr>
        <w:ind w:left="700" w:right="3399" w:hanging="340"/>
        <w:spacing w:after="0" w:line="256"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all currently outstanding rights to purchase Ordinary Shares have been exercised by all holders. As of May 31, 2005, a total of 21,313,680 such rights were outstanding (excluding options to purchase up to 1,325,724 shares approved by our board to be granted to our CEO but which are subject to approval of our shareholders).</w:t>
      </w:r>
    </w:p>
    <w:p>
      <w:pPr>
        <w:spacing w:after="0" w:line="163" w:lineRule="exact"/>
        <w:rPr>
          <w:rFonts w:ascii="Courier New" w:cs="Courier New" w:eastAsia="Courier New" w:hAnsi="Courier New"/>
          <w:sz w:val="14"/>
          <w:szCs w:val="14"/>
          <w:color w:val="auto"/>
        </w:rPr>
      </w:pPr>
    </w:p>
    <w:p>
      <w:pPr>
        <w:ind w:left="700" w:right="3319" w:hanging="340"/>
        <w:spacing w:after="0" w:line="236"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each of Israel Corp., Alliance Semiconductor Corporation, SanDisk Corporation and Macronix Co. Ltd. may be said to have shared voting and dispositive control over 63.78% of our outstanding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17" w:right="1440" w:bottom="1440" w:gutter="0" w:footer="0" w:header="0"/>
        </w:sectPr>
      </w:pPr>
    </w:p>
    <w:bookmarkStart w:id="68" w:name="page69"/>
    <w:bookmarkEnd w:id="68"/>
    <w:p>
      <w:pPr>
        <w:ind w:left="700" w:right="3319" w:hanging="340"/>
        <w:spacing w:after="0" w:line="236"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Israel Corp., represents 14,260,504 shares currently owned by Israel Corp. and 823,656 shares issuable upon the exercise of currently exercisable warrants and 58,906 shares issuable upon exercise of warrants granted on December 2003 at an exercise price of $6.17.</w:t>
      </w:r>
    </w:p>
    <w:p>
      <w:pPr>
        <w:spacing w:after="0" w:line="173" w:lineRule="exact"/>
        <w:rPr>
          <w:rFonts w:ascii="Courier New" w:cs="Courier New" w:eastAsia="Courier New" w:hAnsi="Courier New"/>
          <w:sz w:val="15"/>
          <w:szCs w:val="15"/>
          <w:color w:val="auto"/>
        </w:rPr>
      </w:pPr>
    </w:p>
    <w:p>
      <w:pPr>
        <w:ind w:left="700" w:right="3239" w:hanging="340"/>
        <w:spacing w:after="0" w:line="235"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9,645,803 shares currently owned by SanDisk and 360,312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700" w:right="3239" w:hanging="340"/>
        <w:spacing w:after="0" w:line="235"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8,908,390 shares currently owned by Alliance, and 357,747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700" w:right="3399" w:hanging="340"/>
        <w:spacing w:after="0" w:line="235"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8,773,395 shares currently owned by Macronix, and 297,000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700" w:right="3319" w:hanging="340"/>
        <w:spacing w:after="0" w:line="235"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voting rights of our major shareholders do not differ from the voting rights of other holders of our ordinary shares. However, certain of our major shareholders are parties to a shareholders agreement which is described in the following paragraph as a result of which they may be able to exercise control over matters requiring shareholder approval, including the election of directors and approval of significant corporate transactions.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and to maintain a minimum share ownership for five years. The shareholders agreement also provides for certain rights of first refusal.</w:t>
      </w:r>
    </w:p>
    <w:p>
      <w:pPr>
        <w:spacing w:after="0" w:line="179"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As of June 23, 2005, there were a total of 40 holders of record of our ordinary shares, of which 27 were registered with addresses in the United States. Such United States holders were, as of such date, the holders of record of approximately 29% of our outstanding ordinary shares.</w:t>
      </w:r>
    </w:p>
    <w:p>
      <w:pPr>
        <w:spacing w:after="0" w:line="169" w:lineRule="exact"/>
        <w:rPr>
          <w:sz w:val="20"/>
          <w:szCs w:val="20"/>
          <w:color w:val="auto"/>
        </w:rPr>
      </w:pPr>
    </w:p>
    <w:p>
      <w:pPr>
        <w:ind w:left="1060" w:hanging="526"/>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EXPENSE REIMBURSEMENT AGREEMENT WITH ISRAEL CORP. In March 2002, we entered into an agreement with Israel Corp., pursuant to which Mr. Ehud Hillman, a director of our company currently serving as Acting Chairman of our board of directors, provides management services to our company in consideration of an annual fee of $240,000 and $120,000 in 2003 and 2004, respectively. The term of this agreement is for one year, with automatic renewal for successive one-year periods thereafter, unless earlier terminated by one of the parties. Our Audit Committee, Board of Directors and shareholders approved this agreement.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69" w:name="page70"/>
    <w:bookmarkEnd w:id="69"/>
    <w:p>
      <w:pPr>
        <w:ind w:right="3239" w:firstLine="525"/>
        <w:spacing w:after="0" w:line="236" w:lineRule="auto"/>
        <w:rPr>
          <w:sz w:val="20"/>
          <w:szCs w:val="20"/>
          <w:color w:val="auto"/>
        </w:rPr>
      </w:pPr>
      <w:r>
        <w:rPr>
          <w:rFonts w:ascii="Courier New" w:cs="Courier New" w:eastAsia="Courier New" w:hAnsi="Courier New"/>
          <w:sz w:val="15"/>
          <w:szCs w:val="15"/>
          <w:color w:val="auto"/>
        </w:rPr>
        <w:t>GRANT OF OPTIONS TO EHUD HILLMAN. In November 2000 and September 2001, we granted to Mr. Hillman, options to purchase up to 50,000 and 21,500 ordinary shares, respectively, at an exercise price of $20.00 and $10.75 per share, respectively, which have all vested. All options granted will remain exercisable for a period of three years from the date of vesting.</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GRANT OF OPTIONS TO DIRECTORS. During 2001, the Audit Committee, Board of Directors and shareholders approved a stock option plan pursuant to which our Board members will be granted options to purchase up to 400,000 ordinary shares. As of December 31, 2004, 240,000 options to purchase ordinary shares, of which 200,000 options were exercisable at an exercise price of $8.88 per share, and 40,000 options were exercisable at an exercise price of $6.08 per share, were outstanding under the plan. In February 2005, we granted additional 80,000 options under this plan at an exercise price of $1.87. These options vest over a four-year period, according to various vesting schedules and are generally not exercisable following the fifth anniversary of their vesting date.</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EXEMPTION AND INDEMNIFICATION AGREEMENTS WITH DIRECTORS. 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w:t>
      </w:r>
    </w:p>
    <w:p>
      <w:pPr>
        <w:spacing w:after="0" w:line="166" w:lineRule="exact"/>
        <w:rPr>
          <w:sz w:val="20"/>
          <w:szCs w:val="20"/>
          <w:color w:val="auto"/>
        </w:rPr>
      </w:pPr>
    </w:p>
    <w:p>
      <w:pPr>
        <w:ind w:left="540" w:right="6379" w:hanging="6"/>
        <w:spacing w:after="0" w:line="465" w:lineRule="auto"/>
        <w:tabs>
          <w:tab w:leader="none" w:pos="106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OF EXPERTS AND COUNSEL Not applicable.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INFORMATION</w:t>
      </w:r>
    </w:p>
    <w:p>
      <w:pPr>
        <w:spacing w:after="0" w:line="166" w:lineRule="exact"/>
        <w:rPr>
          <w:sz w:val="20"/>
          <w:szCs w:val="20"/>
          <w:color w:val="auto"/>
        </w:rPr>
      </w:pPr>
    </w:p>
    <w:p>
      <w:pPr>
        <w:ind w:left="1060" w:hanging="526"/>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AND OTHER FINANCIAL INFORMATION</w:t>
      </w:r>
    </w:p>
    <w:p>
      <w:pPr>
        <w:spacing w:after="0" w:line="173"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Our consolidated financial statements are incorporated herein by reference to pages following the signature page of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In August 2004, the United States District Court dismissed the class action filed in July 2003 by certain of our shareholders in the United States against us and certain of our directors, wafer partners and equity investors (the "Defendants"). The plaintiffs had asserted claims arising under the Securities Exchange Act of 1934, alleging misstatements and omissions made by the Defendants in materials sent to our shareholders in April 2002 with respect to the approval of an amendment to the investment agreements with our Fab 2 investors. In December 2004, one of the lead plaintiffs filed an appeal of the decision dismissing the complaint. The Company believes that the complaint is without merit and is vigorously contesting it.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70" w:name="page71"/>
    <w:bookmarkEnd w:id="70"/>
    <w:p>
      <w:pPr>
        <w:ind w:right="3319" w:firstLine="525"/>
        <w:spacing w:after="0" w:line="236" w:lineRule="auto"/>
        <w:rPr>
          <w:sz w:val="20"/>
          <w:szCs w:val="20"/>
          <w:color w:val="auto"/>
        </w:rPr>
      </w:pPr>
      <w:r>
        <w:rPr>
          <w:rFonts w:ascii="Courier New" w:cs="Courier New" w:eastAsia="Courier New" w:hAnsi="Courier New"/>
          <w:sz w:val="15"/>
          <w:szCs w:val="15"/>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74" w:lineRule="exact"/>
        <w:rPr>
          <w:sz w:val="20"/>
          <w:szCs w:val="20"/>
          <w:color w:val="auto"/>
        </w:rPr>
      </w:pPr>
    </w:p>
    <w:p>
      <w:pPr>
        <w:ind w:left="540" w:right="7519" w:hanging="6"/>
        <w:spacing w:after="0" w:line="465" w:lineRule="auto"/>
        <w:tabs>
          <w:tab w:leader="none" w:pos="10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Not applicable.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THE OFFER AND LISTING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SHARE PRICE HISTORY</w:t>
      </w:r>
    </w:p>
    <w:p>
      <w:pPr>
        <w:spacing w:after="0" w:line="17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The primary trading market for our ordinary shares is the Nasdaq National Market, where our shares are listed and traded on the under the symbol "TSEM." The following table sets forth, for the periods indicated, the high and low reported sales prices of the ordinary shares on the Nasdaq National Market:</w:t>
      </w:r>
    </w:p>
    <w:p>
      <w:pPr>
        <w:spacing w:after="0" w:line="200" w:lineRule="exact"/>
        <w:rPr>
          <w:sz w:val="20"/>
          <w:szCs w:val="20"/>
          <w:color w:val="auto"/>
        </w:rPr>
      </w:pPr>
    </w:p>
    <w:p>
      <w:pPr>
        <w:spacing w:after="0" w:line="294" w:lineRule="exact"/>
        <w:rPr>
          <w:sz w:val="20"/>
          <w:szCs w:val="20"/>
          <w:color w:val="auto"/>
        </w:rPr>
      </w:pPr>
    </w:p>
    <w:p>
      <w:pPr>
        <w:ind w:left="880"/>
        <w:spacing w:after="0"/>
        <w:tabs>
          <w:tab w:leader="none" w:pos="3400" w:val="left"/>
          <w:tab w:leader="none" w:pos="5760"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HIGH ($)</w:t>
      </w:r>
      <w:r>
        <w:rPr>
          <w:sz w:val="20"/>
          <w:szCs w:val="20"/>
          <w:color w:val="auto"/>
        </w:rPr>
        <w:tab/>
      </w:r>
      <w:r>
        <w:rPr>
          <w:rFonts w:ascii="Courier New" w:cs="Courier New" w:eastAsia="Courier New" w:hAnsi="Courier New"/>
          <w:sz w:val="14"/>
          <w:szCs w:val="14"/>
          <w:color w:val="auto"/>
        </w:rPr>
        <w:t>LOW ($)</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May 2005</w:t>
      </w:r>
      <w:r>
        <w:rPr>
          <w:sz w:val="20"/>
          <w:szCs w:val="20"/>
          <w:color w:val="auto"/>
        </w:rPr>
        <w:tab/>
      </w: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4"/>
          <w:szCs w:val="14"/>
          <w:color w:val="auto"/>
        </w:rPr>
        <w:t>1.56</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240" w:type="dxa"/>
            <w:vAlign w:val="bottom"/>
          </w:tcPr>
          <w:p>
            <w:pPr>
              <w:spacing w:after="0" w:line="169" w:lineRule="exact"/>
              <w:rPr>
                <w:sz w:val="20"/>
                <w:szCs w:val="20"/>
                <w:color w:val="auto"/>
              </w:rPr>
            </w:pPr>
            <w:r>
              <w:rPr>
                <w:rFonts w:ascii="Courier New" w:cs="Courier New" w:eastAsia="Courier New" w:hAnsi="Courier New"/>
                <w:sz w:val="15"/>
                <w:szCs w:val="15"/>
                <w:color w:val="auto"/>
              </w:rPr>
              <w:t>April 2005</w:t>
            </w:r>
          </w:p>
        </w:tc>
        <w:tc>
          <w:tcPr>
            <w:tcW w:w="27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1.90</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1.45</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240" w:type="dxa"/>
            <w:vAlign w:val="bottom"/>
          </w:tcPr>
          <w:p>
            <w:pPr>
              <w:spacing w:after="0" w:line="169" w:lineRule="exact"/>
              <w:rPr>
                <w:sz w:val="20"/>
                <w:szCs w:val="20"/>
                <w:color w:val="auto"/>
              </w:rPr>
            </w:pPr>
            <w:r>
              <w:rPr>
                <w:rFonts w:ascii="Courier New" w:cs="Courier New" w:eastAsia="Courier New" w:hAnsi="Courier New"/>
                <w:sz w:val="15"/>
                <w:szCs w:val="15"/>
                <w:color w:val="auto"/>
              </w:rPr>
              <w:t>March 2005</w:t>
            </w:r>
          </w:p>
        </w:tc>
        <w:tc>
          <w:tcPr>
            <w:tcW w:w="27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1.86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1.36</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line="169" w:lineRule="exact"/>
              <w:rPr>
                <w:sz w:val="20"/>
                <w:szCs w:val="20"/>
                <w:color w:val="auto"/>
              </w:rPr>
            </w:pPr>
            <w:r>
              <w:rPr>
                <w:rFonts w:ascii="Courier New" w:cs="Courier New" w:eastAsia="Courier New" w:hAnsi="Courier New"/>
                <w:sz w:val="15"/>
                <w:szCs w:val="15"/>
                <w:color w:val="auto"/>
              </w:rPr>
              <w:t>February 2005</w:t>
            </w:r>
          </w:p>
        </w:tc>
        <w:tc>
          <w:tcPr>
            <w:tcW w:w="25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2.06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1.64</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320" w:type="dxa"/>
            <w:vAlign w:val="bottom"/>
          </w:tcPr>
          <w:p>
            <w:pPr>
              <w:spacing w:after="0" w:line="169" w:lineRule="exact"/>
              <w:rPr>
                <w:sz w:val="20"/>
                <w:szCs w:val="20"/>
                <w:color w:val="auto"/>
              </w:rPr>
            </w:pPr>
            <w:r>
              <w:rPr>
                <w:rFonts w:ascii="Courier New" w:cs="Courier New" w:eastAsia="Courier New" w:hAnsi="Courier New"/>
                <w:sz w:val="15"/>
                <w:szCs w:val="15"/>
                <w:color w:val="auto"/>
              </w:rPr>
              <w:t>January 2005</w:t>
            </w:r>
          </w:p>
        </w:tc>
        <w:tc>
          <w:tcPr>
            <w:tcW w:w="264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2.38</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1.78</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line="169" w:lineRule="exact"/>
              <w:rPr>
                <w:sz w:val="20"/>
                <w:szCs w:val="20"/>
                <w:color w:val="auto"/>
              </w:rPr>
            </w:pPr>
            <w:r>
              <w:rPr>
                <w:rFonts w:ascii="Courier New" w:cs="Courier New" w:eastAsia="Courier New" w:hAnsi="Courier New"/>
                <w:sz w:val="15"/>
                <w:szCs w:val="15"/>
                <w:color w:val="auto"/>
              </w:rPr>
              <w:t>December 2004</w:t>
            </w:r>
          </w:p>
        </w:tc>
        <w:tc>
          <w:tcPr>
            <w:tcW w:w="25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2.45</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rPr>
              <w:t>First Quarter 2005</w:t>
            </w:r>
          </w:p>
        </w:tc>
        <w:tc>
          <w:tcPr>
            <w:tcW w:w="23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2.38</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1.36</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640" w:type="dxa"/>
            <w:vAlign w:val="bottom"/>
          </w:tcPr>
          <w:p>
            <w:pPr>
              <w:spacing w:after="0" w:line="169" w:lineRule="exact"/>
              <w:rPr>
                <w:sz w:val="20"/>
                <w:szCs w:val="20"/>
                <w:color w:val="auto"/>
              </w:rPr>
            </w:pPr>
            <w:r>
              <w:rPr>
                <w:rFonts w:ascii="Courier New" w:cs="Courier New" w:eastAsia="Courier New" w:hAnsi="Courier New"/>
                <w:sz w:val="15"/>
                <w:szCs w:val="15"/>
                <w:color w:val="auto"/>
              </w:rPr>
              <w:t>Fourth quarter 2004</w:t>
            </w:r>
          </w:p>
        </w:tc>
        <w:tc>
          <w:tcPr>
            <w:tcW w:w="23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3.66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rPr>
              <w:t>Third quarter 2004</w:t>
            </w:r>
          </w:p>
        </w:tc>
        <w:tc>
          <w:tcPr>
            <w:tcW w:w="23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5.96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2.95</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640" w:type="dxa"/>
            <w:vAlign w:val="bottom"/>
          </w:tcPr>
          <w:p>
            <w:pPr>
              <w:spacing w:after="0" w:line="169" w:lineRule="exact"/>
              <w:rPr>
                <w:sz w:val="20"/>
                <w:szCs w:val="20"/>
                <w:color w:val="auto"/>
              </w:rPr>
            </w:pPr>
            <w:r>
              <w:rPr>
                <w:rFonts w:ascii="Courier New" w:cs="Courier New" w:eastAsia="Courier New" w:hAnsi="Courier New"/>
                <w:sz w:val="15"/>
                <w:szCs w:val="15"/>
                <w:color w:val="auto"/>
              </w:rPr>
              <w:t>Second quarter 2004</w:t>
            </w:r>
          </w:p>
        </w:tc>
        <w:tc>
          <w:tcPr>
            <w:tcW w:w="23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7.20</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4.87</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540" w:type="dxa"/>
            <w:vAlign w:val="bottom"/>
          </w:tcPr>
          <w:p>
            <w:pPr>
              <w:spacing w:after="0" w:line="169" w:lineRule="exact"/>
              <w:rPr>
                <w:sz w:val="20"/>
                <w:szCs w:val="20"/>
                <w:color w:val="auto"/>
              </w:rPr>
            </w:pPr>
            <w:r>
              <w:rPr>
                <w:rFonts w:ascii="Courier New" w:cs="Courier New" w:eastAsia="Courier New" w:hAnsi="Courier New"/>
                <w:sz w:val="15"/>
                <w:szCs w:val="15"/>
                <w:color w:val="auto"/>
              </w:rPr>
              <w:t>First quarter 2004</w:t>
            </w:r>
          </w:p>
        </w:tc>
        <w:tc>
          <w:tcPr>
            <w:tcW w:w="24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10.80</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6.22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640" w:type="dxa"/>
            <w:vAlign w:val="bottom"/>
          </w:tcPr>
          <w:p>
            <w:pPr>
              <w:spacing w:after="0" w:line="169" w:lineRule="exact"/>
              <w:rPr>
                <w:sz w:val="20"/>
                <w:szCs w:val="20"/>
                <w:color w:val="auto"/>
              </w:rPr>
            </w:pPr>
            <w:r>
              <w:rPr>
                <w:rFonts w:ascii="Courier New" w:cs="Courier New" w:eastAsia="Courier New" w:hAnsi="Courier New"/>
                <w:sz w:val="15"/>
                <w:szCs w:val="15"/>
                <w:color w:val="auto"/>
              </w:rPr>
              <w:t>Fourth quarter 2003</w:t>
            </w:r>
          </w:p>
        </w:tc>
        <w:tc>
          <w:tcPr>
            <w:tcW w:w="23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7.90</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4.00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rPr>
              <w:t>Third quarter 2003</w:t>
            </w:r>
          </w:p>
        </w:tc>
        <w:tc>
          <w:tcPr>
            <w:tcW w:w="23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5.30</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4.02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640" w:type="dxa"/>
            <w:vAlign w:val="bottom"/>
          </w:tcPr>
          <w:p>
            <w:pPr>
              <w:spacing w:after="0" w:line="169" w:lineRule="exact"/>
              <w:rPr>
                <w:sz w:val="20"/>
                <w:szCs w:val="20"/>
                <w:color w:val="auto"/>
              </w:rPr>
            </w:pPr>
            <w:r>
              <w:rPr>
                <w:rFonts w:ascii="Courier New" w:cs="Courier New" w:eastAsia="Courier New" w:hAnsi="Courier New"/>
                <w:sz w:val="15"/>
                <w:szCs w:val="15"/>
                <w:color w:val="auto"/>
              </w:rPr>
              <w:t>Second quarter 2003</w:t>
            </w:r>
          </w:p>
        </w:tc>
        <w:tc>
          <w:tcPr>
            <w:tcW w:w="232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6.46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2.78</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rPr>
              <w:t>First quarter 2003</w:t>
            </w:r>
          </w:p>
        </w:tc>
        <w:tc>
          <w:tcPr>
            <w:tcW w:w="2380" w:type="dxa"/>
            <w:vAlign w:val="bottom"/>
          </w:tcPr>
          <w:p>
            <w:pPr>
              <w:jc w:val="right"/>
              <w:ind w:right="947"/>
              <w:spacing w:after="0" w:line="169" w:lineRule="exact"/>
              <w:rPr>
                <w:sz w:val="20"/>
                <w:szCs w:val="20"/>
                <w:color w:val="auto"/>
              </w:rPr>
            </w:pPr>
            <w:r>
              <w:rPr>
                <w:rFonts w:ascii="Courier New" w:cs="Courier New" w:eastAsia="Courier New" w:hAnsi="Courier New"/>
                <w:sz w:val="15"/>
                <w:szCs w:val="15"/>
                <w:color w:val="auto"/>
              </w:rPr>
              <w:t>3.56</w:t>
            </w:r>
          </w:p>
        </w:tc>
        <w:tc>
          <w:tcPr>
            <w:tcW w:w="13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2.16</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3480" w:val="left"/>
          <w:tab w:leader="none" w:pos="594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10.80</w:t>
      </w:r>
      <w:r>
        <w:rPr>
          <w:sz w:val="20"/>
          <w:szCs w:val="20"/>
          <w:color w:val="auto"/>
        </w:rPr>
        <w:tab/>
      </w:r>
      <w:r>
        <w:rPr>
          <w:rFonts w:ascii="Courier New" w:cs="Courier New" w:eastAsia="Courier New" w:hAnsi="Courier New"/>
          <w:sz w:val="14"/>
          <w:szCs w:val="14"/>
          <w:color w:val="auto"/>
        </w:rPr>
        <w:t>1.62</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7.90</w:t>
      </w:r>
      <w:r>
        <w:rPr>
          <w:sz w:val="20"/>
          <w:szCs w:val="20"/>
          <w:color w:val="auto"/>
        </w:rPr>
        <w:tab/>
      </w:r>
      <w:r>
        <w:rPr>
          <w:rFonts w:ascii="Courier New" w:cs="Courier New" w:eastAsia="Courier New" w:hAnsi="Courier New"/>
          <w:sz w:val="14"/>
          <w:szCs w:val="14"/>
          <w:color w:val="auto"/>
        </w:rPr>
        <w:t>2.16</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8.50</w:t>
      </w:r>
      <w:r>
        <w:rPr>
          <w:sz w:val="20"/>
          <w:szCs w:val="20"/>
          <w:color w:val="auto"/>
        </w:rPr>
        <w:tab/>
      </w:r>
      <w:r>
        <w:rPr>
          <w:rFonts w:ascii="Courier New" w:cs="Courier New" w:eastAsia="Courier New" w:hAnsi="Courier New"/>
          <w:sz w:val="14"/>
          <w:szCs w:val="14"/>
          <w:color w:val="auto"/>
        </w:rPr>
        <w:t>3.11</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3480" w:val="left"/>
          <w:tab w:leader="none" w:pos="59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17.12</w:t>
      </w:r>
      <w:r>
        <w:rPr>
          <w:sz w:val="20"/>
          <w:szCs w:val="20"/>
          <w:color w:val="auto"/>
        </w:rPr>
        <w:tab/>
      </w:r>
      <w:r>
        <w:rPr>
          <w:rFonts w:ascii="Courier New" w:cs="Courier New" w:eastAsia="Courier New" w:hAnsi="Courier New"/>
          <w:sz w:val="14"/>
          <w:szCs w:val="14"/>
          <w:color w:val="auto"/>
        </w:rPr>
        <w:t>3.80</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tabs>
          <w:tab w:leader="none" w:pos="3480" w:val="left"/>
          <w:tab w:leader="none" w:pos="58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43.50</w:t>
      </w:r>
      <w:r>
        <w:rPr>
          <w:sz w:val="20"/>
          <w:szCs w:val="20"/>
          <w:color w:val="auto"/>
        </w:rPr>
        <w:tab/>
      </w:r>
      <w:r>
        <w:rPr>
          <w:rFonts w:ascii="Courier New" w:cs="Courier New" w:eastAsia="Courier New" w:hAnsi="Courier New"/>
          <w:sz w:val="14"/>
          <w:szCs w:val="14"/>
          <w:color w:val="auto"/>
        </w:rPr>
        <w:t>10.38</w:t>
      </w:r>
    </w:p>
    <w:p>
      <w:pPr>
        <w:ind w:left="180" w:hanging="170"/>
        <w:spacing w:after="0" w:line="238" w:lineRule="auto"/>
        <w:tabs>
          <w:tab w:leader="none" w:pos="1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71" w:name="page72"/>
    <w:bookmarkEnd w:id="71"/>
    <w:p>
      <w:pPr>
        <w:ind w:right="3579" w:firstLine="525"/>
        <w:spacing w:after="0" w:line="235" w:lineRule="auto"/>
        <w:rPr>
          <w:sz w:val="20"/>
          <w:szCs w:val="20"/>
          <w:color w:val="auto"/>
        </w:rPr>
      </w:pPr>
      <w:r>
        <w:rPr>
          <w:rFonts w:ascii="Courier New" w:cs="Courier New" w:eastAsia="Courier New" w:hAnsi="Courier New"/>
          <w:sz w:val="15"/>
          <w:szCs w:val="15"/>
          <w:color w:val="auto"/>
        </w:rPr>
        <w:t>In January 2001, our shares commenced trading on the Tel Aviv Stock Exchange (TASE) in Israel under the symbol "Tower." The following table sets forth, for the periods indicated, the high and low reported sales prices, in NIS, of the ordinary shares on the Tel Aviv Stock Exchange:</w:t>
      </w:r>
    </w:p>
    <w:p>
      <w:pPr>
        <w:spacing w:after="0" w:line="200" w:lineRule="exact"/>
        <w:rPr>
          <w:sz w:val="20"/>
          <w:szCs w:val="20"/>
          <w:color w:val="auto"/>
        </w:rPr>
      </w:pPr>
    </w:p>
    <w:p>
      <w:pPr>
        <w:spacing w:after="0" w:line="305" w:lineRule="exact"/>
        <w:rPr>
          <w:sz w:val="20"/>
          <w:szCs w:val="20"/>
          <w:color w:val="auto"/>
        </w:rPr>
      </w:pPr>
    </w:p>
    <w:p>
      <w:pPr>
        <w:ind w:left="880"/>
        <w:spacing w:after="0"/>
        <w:tabs>
          <w:tab w:leader="none" w:pos="3320" w:val="left"/>
          <w:tab w:leader="none" w:pos="5760"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HIGH (NIS)</w:t>
      </w:r>
      <w:r>
        <w:rPr>
          <w:sz w:val="20"/>
          <w:szCs w:val="20"/>
          <w:color w:val="auto"/>
        </w:rPr>
        <w:tab/>
      </w:r>
      <w:r>
        <w:rPr>
          <w:rFonts w:ascii="Courier New" w:cs="Courier New" w:eastAsia="Courier New" w:hAnsi="Courier New"/>
          <w:sz w:val="14"/>
          <w:szCs w:val="14"/>
          <w:color w:val="auto"/>
        </w:rPr>
        <w:t>LOW (NIS)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3660" w:val="left"/>
          <w:tab w:leader="none" w:pos="6020" w:val="left"/>
        </w:tabs>
        <w:rPr>
          <w:sz w:val="20"/>
          <w:szCs w:val="20"/>
          <w:color w:val="auto"/>
        </w:rPr>
      </w:pPr>
      <w:r>
        <w:rPr>
          <w:rFonts w:ascii="Courier New" w:cs="Courier New" w:eastAsia="Courier New" w:hAnsi="Courier New"/>
          <w:sz w:val="15"/>
          <w:szCs w:val="15"/>
          <w:color w:val="auto"/>
        </w:rPr>
        <w:t>May 2005</w:t>
      </w:r>
      <w:r>
        <w:rPr>
          <w:sz w:val="20"/>
          <w:szCs w:val="20"/>
          <w:color w:val="auto"/>
        </w:rPr>
        <w:tab/>
      </w:r>
      <w:r>
        <w:rPr>
          <w:rFonts w:ascii="Courier New" w:cs="Courier New" w:eastAsia="Courier New" w:hAnsi="Courier New"/>
          <w:sz w:val="15"/>
          <w:szCs w:val="15"/>
          <w:color w:val="auto"/>
        </w:rPr>
        <w:t>7.40</w:t>
      </w:r>
      <w:r>
        <w:rPr>
          <w:sz w:val="20"/>
          <w:szCs w:val="20"/>
          <w:color w:val="auto"/>
        </w:rPr>
        <w:tab/>
      </w:r>
      <w:r>
        <w:rPr>
          <w:rFonts w:ascii="Courier New" w:cs="Courier New" w:eastAsia="Courier New" w:hAnsi="Courier New"/>
          <w:sz w:val="15"/>
          <w:szCs w:val="15"/>
          <w:color w:val="auto"/>
        </w:rPr>
        <w:t>6.85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April 2005</w:t>
            </w:r>
          </w:p>
        </w:tc>
        <w:tc>
          <w:tcPr>
            <w:tcW w:w="27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8.00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March 2005</w:t>
            </w:r>
          </w:p>
        </w:tc>
        <w:tc>
          <w:tcPr>
            <w:tcW w:w="27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8.30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February 2005</w:t>
            </w:r>
          </w:p>
        </w:tc>
        <w:tc>
          <w:tcPr>
            <w:tcW w:w="26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8.70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January 2005</w:t>
            </w:r>
          </w:p>
        </w:tc>
        <w:tc>
          <w:tcPr>
            <w:tcW w:w="272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10.30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December 2004</w:t>
            </w:r>
          </w:p>
        </w:tc>
        <w:tc>
          <w:tcPr>
            <w:tcW w:w="26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10.68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Quarter 2005</w:t>
            </w:r>
          </w:p>
        </w:tc>
        <w:tc>
          <w:tcPr>
            <w:tcW w:w="24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10.30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Fourth quarter 2004</w:t>
            </w:r>
          </w:p>
        </w:tc>
        <w:tc>
          <w:tcPr>
            <w:tcW w:w="24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15.55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Third quarter 2004</w:t>
            </w:r>
          </w:p>
        </w:tc>
        <w:tc>
          <w:tcPr>
            <w:tcW w:w="24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26.95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Second quarter 2004</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32.70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21.80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quarter 2004</w:t>
            </w:r>
          </w:p>
        </w:tc>
        <w:tc>
          <w:tcPr>
            <w:tcW w:w="24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46.39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29.30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Fourth quarter 2003</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35.00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Third quarter 2003</w:t>
            </w:r>
          </w:p>
        </w:tc>
        <w:tc>
          <w:tcPr>
            <w:tcW w:w="24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22.90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Second quarter 2003</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28.60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quarter 2003</w:t>
            </w:r>
          </w:p>
        </w:tc>
        <w:tc>
          <w:tcPr>
            <w:tcW w:w="24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16.46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580" w:val="left"/>
          <w:tab w:leader="none" w:pos="602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46.36</w:t>
      </w:r>
      <w:r>
        <w:rPr>
          <w:sz w:val="20"/>
          <w:szCs w:val="20"/>
          <w:color w:val="auto"/>
        </w:rPr>
        <w:tab/>
      </w:r>
      <w:r>
        <w:rPr>
          <w:rFonts w:ascii="Courier New" w:cs="Courier New" w:eastAsia="Courier New" w:hAnsi="Courier New"/>
          <w:sz w:val="15"/>
          <w:szCs w:val="15"/>
          <w:color w:val="auto"/>
        </w:rPr>
        <w:t>7.70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35.00</w:t>
      </w:r>
      <w:r>
        <w:rPr>
          <w:sz w:val="20"/>
          <w:szCs w:val="20"/>
          <w:color w:val="auto"/>
        </w:rPr>
        <w:tab/>
      </w:r>
      <w:r>
        <w:rPr>
          <w:rFonts w:ascii="Courier New" w:cs="Courier New" w:eastAsia="Courier New" w:hAnsi="Courier New"/>
          <w:sz w:val="14"/>
          <w:szCs w:val="14"/>
          <w:color w:val="auto"/>
        </w:rPr>
        <w:t>10.25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37.99</w:t>
      </w:r>
      <w:r>
        <w:rPr>
          <w:sz w:val="20"/>
          <w:szCs w:val="20"/>
          <w:color w:val="auto"/>
        </w:rPr>
        <w:tab/>
      </w:r>
      <w:r>
        <w:rPr>
          <w:rFonts w:ascii="Courier New" w:cs="Courier New" w:eastAsia="Courier New" w:hAnsi="Courier New"/>
          <w:sz w:val="14"/>
          <w:szCs w:val="14"/>
          <w:color w:val="auto"/>
        </w:rPr>
        <w:t>15.30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580" w:val="left"/>
          <w:tab w:leader="none" w:pos="59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58.50</w:t>
      </w:r>
      <w:r>
        <w:rPr>
          <w:sz w:val="20"/>
          <w:szCs w:val="20"/>
          <w:color w:val="auto"/>
        </w:rPr>
        <w:tab/>
      </w:r>
      <w:r>
        <w:rPr>
          <w:rFonts w:ascii="Courier New" w:cs="Courier New" w:eastAsia="Courier New" w:hAnsi="Courier New"/>
          <w:sz w:val="14"/>
          <w:szCs w:val="14"/>
          <w:color w:val="auto"/>
        </w:rPr>
        <w:t>16.80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 ISRAELI COMPANIES LAW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Our Articles of Association ("Articles") were adopted in November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objective stated in the Articles is to engage in any lawful activity.</w:t>
      </w:r>
    </w:p>
    <w:p>
      <w:pPr>
        <w:spacing w:after="0" w:line="173"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72" w:name="page73"/>
    <w:bookmarkEnd w:id="72"/>
    <w:p>
      <w:pPr>
        <w:ind w:right="3239" w:firstLine="525"/>
        <w:spacing w:after="0" w:line="255" w:lineRule="auto"/>
        <w:rPr>
          <w:sz w:val="20"/>
          <w:szCs w:val="20"/>
          <w:color w:val="auto"/>
        </w:rPr>
      </w:pPr>
      <w:r>
        <w:rPr>
          <w:rFonts w:ascii="Courier New" w:cs="Courier New" w:eastAsia="Courier New" w:hAnsi="Courier New"/>
          <w:sz w:val="14"/>
          <w:szCs w:val="14"/>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is present in person or by proxy. Shareholders may vote in person or by proxy, and are required to prove title to their shares as required by the Israeli Companies Law (the "Companies Law") pursuant to procedures established by the Board of Directors. Resolutions regarding the following matters must be passed by an ordinary majority of those voting at the general meeting:</w:t>
      </w:r>
    </w:p>
    <w:p>
      <w:pPr>
        <w:spacing w:after="0" w:line="159" w:lineRule="exact"/>
        <w:rPr>
          <w:sz w:val="20"/>
          <w:szCs w:val="20"/>
          <w:color w:val="auto"/>
        </w:rPr>
      </w:pPr>
    </w:p>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our Articles;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and termination of our independent auditors;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and dismissal of directors;</w:t>
      </w:r>
    </w:p>
    <w:p>
      <w:pPr>
        <w:spacing w:after="0" w:line="172"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acts and transactions requiring general meeting approval under the Companies Law;</w:t>
      </w:r>
    </w:p>
    <w:p>
      <w:pPr>
        <w:spacing w:after="0" w:line="173" w:lineRule="exact"/>
        <w:rPr>
          <w:rFonts w:ascii="Courier New" w:cs="Courier New" w:eastAsia="Courier New" w:hAnsi="Courier New"/>
          <w:sz w:val="15"/>
          <w:szCs w:val="15"/>
          <w:color w:val="auto"/>
        </w:rPr>
      </w:pPr>
    </w:p>
    <w:p>
      <w:pPr>
        <w:ind w:left="1060" w:right="3399" w:hanging="526"/>
        <w:spacing w:after="0" w:line="234"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reduction of authorized share capital or the rights of shareholders or a class of shareholders;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as provided in section 320 of the Companies Law; and</w:t>
      </w:r>
    </w:p>
    <w:p>
      <w:pPr>
        <w:spacing w:after="0" w:line="172" w:lineRule="exact"/>
        <w:rPr>
          <w:rFonts w:ascii="Courier New" w:cs="Courier New" w:eastAsia="Courier New" w:hAnsi="Courier New"/>
          <w:sz w:val="15"/>
          <w:szCs w:val="15"/>
          <w:color w:val="auto"/>
        </w:rPr>
      </w:pPr>
    </w:p>
    <w:p>
      <w:pPr>
        <w:ind w:left="1060" w:right="3319" w:hanging="526"/>
        <w:spacing w:after="0" w:line="236"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Such notice must be given at least 21 days but not more than 35 days prior to the special meeting.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 LAW</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We are subject to the provisions of the Israeli Companies Law.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forgoing positions without regard to such person's title. Each person listed in the table in "Item</w:t>
      </w:r>
    </w:p>
    <w:p>
      <w:pPr>
        <w:spacing w:after="0" w:line="3" w:lineRule="exact"/>
        <w:rPr>
          <w:sz w:val="20"/>
          <w:szCs w:val="20"/>
          <w:color w:val="auto"/>
        </w:rPr>
      </w:pPr>
    </w:p>
    <w:p>
      <w:pPr>
        <w:ind w:right="3239" w:firstLine="10"/>
        <w:spacing w:after="0" w:line="255" w:lineRule="auto"/>
        <w:tabs>
          <w:tab w:leader="none" w:pos="2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Senior Management and Employees" above is an office holder. Under the Companies Law, all arrangements as to compensation of office holders who are not directors require approval of the board of directors. With the exception of compensation of outside directors in an amount specified in the regulations adopted under the Companies Law, arrangements regarding the compensation of directors also require audit committee and shareholder approval.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73" w:name="page74"/>
    <w:bookmarkEnd w:id="73"/>
    <w:p>
      <w:pPr>
        <w:ind w:right="3239" w:firstLine="525"/>
        <w:spacing w:after="0" w:line="237" w:lineRule="auto"/>
        <w:rPr>
          <w:sz w:val="20"/>
          <w:szCs w:val="20"/>
          <w:color w:val="auto"/>
        </w:rPr>
      </w:pPr>
      <w:r>
        <w:rPr>
          <w:rFonts w:ascii="Courier New" w:cs="Courier New" w:eastAsia="Courier New" w:hAnsi="Courier New"/>
          <w:sz w:val="15"/>
          <w:szCs w:val="15"/>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at such meeting or vote on such matter.</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6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In addition to approval by a company's board of directors, a private placement in a public company requires approval by a company's shareholders in the following cases:</w:t>
      </w:r>
    </w:p>
    <w:p>
      <w:pPr>
        <w:spacing w:after="0" w:line="167" w:lineRule="exact"/>
        <w:rPr>
          <w:sz w:val="20"/>
          <w:szCs w:val="20"/>
          <w:color w:val="auto"/>
        </w:rPr>
      </w:pPr>
    </w:p>
    <w:p>
      <w:pPr>
        <w:ind w:left="1060" w:hanging="526"/>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private placement that meets all of the following conditions:</w:t>
      </w:r>
    </w:p>
    <w:p>
      <w:pPr>
        <w:spacing w:after="0" w:line="172" w:lineRule="exact"/>
        <w:rPr>
          <w:rFonts w:ascii="Courier New" w:cs="Courier New" w:eastAsia="Courier New" w:hAnsi="Courier New"/>
          <w:sz w:val="15"/>
          <w:szCs w:val="15"/>
          <w:color w:val="auto"/>
        </w:rPr>
      </w:pPr>
    </w:p>
    <w:p>
      <w:pPr>
        <w:ind w:left="1580" w:right="339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o20 percent or more of the voting rights in the company prior to such issuance are being offered.</w:t>
      </w:r>
    </w:p>
    <w:p>
      <w:pPr>
        <w:spacing w:after="0" w:line="173" w:lineRule="exact"/>
        <w:rPr>
          <w:rFonts w:ascii="Courier New" w:cs="Courier New" w:eastAsia="Courier New" w:hAnsi="Courier New"/>
          <w:sz w:val="15"/>
          <w:szCs w:val="15"/>
          <w:color w:val="auto"/>
        </w:rPr>
      </w:pPr>
    </w:p>
    <w:p>
      <w:pPr>
        <w:ind w:left="1580" w:right="3239" w:hanging="52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74" w:name="page75"/>
    <w:bookmarkEnd w:id="74"/>
    <w:p>
      <w:pPr>
        <w:ind w:left="1580" w:right="3319" w:hanging="521"/>
        <w:spacing w:after="0" w:line="235" w:lineRule="auto"/>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part of the consideration for the offering is not cash or registered securities, or the private placement is not being offered at market terms.</w:t>
      </w:r>
    </w:p>
    <w:p>
      <w:pPr>
        <w:spacing w:after="0" w:line="174" w:lineRule="exact"/>
        <w:rPr>
          <w:sz w:val="20"/>
          <w:szCs w:val="20"/>
          <w:color w:val="auto"/>
        </w:rPr>
      </w:pPr>
    </w:p>
    <w:p>
      <w:pPr>
        <w:ind w:left="1060" w:right="3399" w:hanging="526"/>
        <w:spacing w:after="0" w:line="23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private placement which results in anyone becoming a controlling shareholder.</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above transactions must not be adverse to the company's interest.</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69" w:lineRule="exact"/>
        <w:rPr>
          <w:sz w:val="20"/>
          <w:szCs w:val="20"/>
          <w:color w:val="auto"/>
        </w:rPr>
      </w:pPr>
    </w:p>
    <w:p>
      <w:pPr>
        <w:ind w:left="1060" w:hanging="526"/>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the Articles;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the company's authorized share capital;</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w:t>
      </w:r>
    </w:p>
    <w:p>
      <w:pPr>
        <w:spacing w:after="0" w:line="172" w:lineRule="exact"/>
        <w:rPr>
          <w:rFonts w:ascii="Courier New" w:cs="Courier New" w:eastAsia="Courier New" w:hAnsi="Courier New"/>
          <w:sz w:val="15"/>
          <w:szCs w:val="15"/>
          <w:color w:val="auto"/>
        </w:rPr>
      </w:pPr>
    </w:p>
    <w:p>
      <w:pPr>
        <w:ind w:left="1060" w:right="3399" w:hanging="526"/>
        <w:spacing w:after="0" w:line="23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interested party transactions that require shareholder approval.</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Tender Offer. A person wishing to acquire shares or any class of shares of a publicly traded Israeli company and who would as a result hold over 90% of the company's issued and outstanding share capital or of a class of shares which are listed, is required by the Companies Law to make a tender offer to all of the company's shareholders for the purchase of all of the issued and outstanding shares of the company. If the shareholders who do not respond to the offer hold less than 5% of the issued share capital of the company, all of the shares that the acquirer offered to purchase will be transferred to the acquirer by operation of law. The Companies Law provides for an exception regarding the threshold requirement for a shareholder that prior to and following February 2000 holds over 90% of a company's issued and outstanding share capital. However, the shareholders may petition the court to alter the consideration for the acquisition. If the dissenting shareholders hold more than 5% of the issued and outstanding share capital of the company, the acquirer may not acquire additional shares of the company from shareholders who accepted the tender offer if following such acquisition the acquirer would then own over 90% of the company's issued and outstanding share capital.</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Companies Law provides that an acquisition of shares of a public company must be made by means of a tender offer if as a result of the acquisition the purchaser would become a 25% or greater shareholder of the company. This rule does not apply if there is already another 25% shareholder of the company. Similarly, the Companies Law provides that an acquisition of shares in a public company must be made by means of a tender offer if as a result of the acquisition the purchaser would become a 45% or greater shareholder of the company, if there is no 45% or greater shareholder of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75" w:name="page76"/>
    <w:bookmarkEnd w:id="75"/>
    <w:p>
      <w:pPr>
        <w:ind w:right="3239" w:firstLine="525"/>
        <w:spacing w:after="0" w:line="254" w:lineRule="auto"/>
        <w:rPr>
          <w:sz w:val="20"/>
          <w:szCs w:val="20"/>
          <w:color w:val="auto"/>
        </w:rPr>
      </w:pPr>
      <w:r>
        <w:rPr>
          <w:rFonts w:ascii="Courier New" w:cs="Courier New" w:eastAsia="Courier New" w:hAnsi="Courier New"/>
          <w:sz w:val="14"/>
          <w:szCs w:val="14"/>
          <w:color w:val="auto"/>
        </w:rPr>
        <w:t>Merger. The Companies Law permits merger transactions if approved by each party's board of directors and the majority of each party's shares voted on the proposed merger at a shareholders' meeting called on at least 21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executed unless at least 30 days have passed from the receipt of the shareholders' approval and 50 days have passed from the time that a proposal for approval of the merger has been filed with the Israeli Registrar of Companies.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MARKETPLACE RULES AND HOME COUNTRY PRACTICES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Nasdaq's Marketplace Rule 4350 was recently amended to permit foreign private issuers to follow certain home country corporate governance practices without the need to seek an individual exemption from Nasdaq. Instead, a foreign private issuer must provide Nasdaq with a letter from outside counsel in its home country certifying that the issuer's corporate governance practices are not prohibited by home country law.</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May 2005, pursuant to this new exception, we provided a notice to Nasdaq with a letter from our outside Israeli counsel certifying that our practice of amending employee share option plans that do not permit the grant of options to directors upon the approval of our board of directors, and without seeking shareholder approval (which approval is required for Nasdaq-listed companies under Marketplace Rule 4350(i)), is not prohibited by Israeli law. We may in the future provide Nasdaq with an additional such letter or letters notifying Nasdaq that we are following our own practices, consistent with the Companies Law and practices in Israel in lieu of other requirements of Marketplace Rule 4350.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FAB 2 AGREEMENTS. During 2000 and through 2002, we entered into several important Fab 2 agreements and arrangements with a key technology partner, wafer and equity 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12A to the consolidated financial statements included in this annual report.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4"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EXCHANGE CONTROLS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5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Under Israeli law and our company's Articles, both residents and</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non-residents of Israel may freely hold, vote and trade our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 Israeli Capital Gains Tax</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Until the end of the year 2002, and provided we maintained our status as an industrial company, capital gains from the sale of our securities were generally exempt from Israeli Capital Gains Tax. This exemption did not apply to a shareholder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(hereinafter the "Dollar Regulations"), or to a person whose gains from selling or otherwise disposing of our securities are deemed to be business income.</w:t>
      </w:r>
    </w:p>
    <w:p>
      <w:pPr>
        <w:spacing w:after="0" w:line="16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As a result of the Israeli tax reform legislation of January 2003, gains from the sale of our securities derived from January 1, 2003 and on will, in general, be subject to capital gains tax of 15%. This will be the case so long as our securities remain listed for trading on the Tel Aviv Stock Exchange or NASDAQ; if the shareholder did not claim financial expenses related to the purchase of the securities; and if the securities are not sold to a "relative" as defined under section 105k to the Income Tax Ordinance. In those cases where the 15% rate does not apply the real capital gain from the sale of the securities will be subject to capital gains tax of 25%.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this section, or (2) directly or indirectly eligible to receive or are beneficial owners of 25% or more of the income or the profits of the corporation.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77" w:name="page78"/>
    <w:bookmarkEnd w:id="77"/>
    <w:p>
      <w:pPr>
        <w:ind w:right="3759" w:firstLine="525"/>
        <w:spacing w:after="0" w:line="256" w:lineRule="auto"/>
        <w:rPr>
          <w:sz w:val="20"/>
          <w:szCs w:val="20"/>
          <w:color w:val="auto"/>
        </w:rPr>
      </w:pPr>
      <w:r>
        <w:rPr>
          <w:rFonts w:ascii="Courier New" w:cs="Courier New" w:eastAsia="Courier New" w:hAnsi="Courier New"/>
          <w:sz w:val="14"/>
          <w:szCs w:val="14"/>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"Dollar Regulations".</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Pursuant to part B of the Israeli Income Tax Law (Inflationary Adjustments), 1985 or the Dollars Regulations, capital gains derived from selling our securities will be subject to the tax rate under section 126 to the Ordinance (2005 - 34%, 2006 - 32%, and from 2007 and on - 30%) if the seller is a corporation. Individuals will be subject to the tax rates under section 121 to the Ordinance (up to 49%).</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 Israeli Tax on Interest Income and on Original Issuance Discount</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Interest and Original Issuance Discount (OID) on our convertible debentures, issued in January 2002, accruing from January 1, 2003 and on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35% in 2004, 34% in 2005, 32% in 2006 and from 2007 on - 30%, and for individuals a tax rate of up to 49%. As a result of the provisions related to tax 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Under regulations promulgated as part of the tax reform discussed in section A above, 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 Israeli Tax on Dividend Income</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Israeli tax at a rate of 25% is generally withheld at source from dividends paid to Israeli individuals and non-residents; in general, no withholding tax is imposed on dividends paid to Israeli companies (subject to the provisions of the Israeli Income Tax Ordinance). The applicable rate for dividends paid out of the profits of an Approved Enterprise is 15%. These rates are subject to the provisions of any applicable tax treaty.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78" w:name="page79"/>
    <w:bookmarkEnd w:id="78"/>
    <w:p>
      <w:pPr>
        <w:ind w:right="3239" w:firstLine="525"/>
        <w:spacing w:after="0" w:line="236" w:lineRule="auto"/>
        <w:rPr>
          <w:sz w:val="20"/>
          <w:szCs w:val="20"/>
          <w:color w:val="auto"/>
        </w:rPr>
      </w:pPr>
      <w:r>
        <w:rPr>
          <w:rFonts w:ascii="Courier New" w:cs="Courier New" w:eastAsia="Courier New" w:hAnsi="Courier New"/>
          <w:sz w:val="15"/>
          <w:szCs w:val="15"/>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PFIC Rules</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6"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do not believe that we satisfied either of the tests for PFIC status in 2004 or in any prior year. However, there can be no assurance that we will not be a PFIC in 2005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DOCUMENTS ON DISPLAY</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You may review and copy our filings with the SEC, including any exhibits and schedules, at the SEC's public reference facilities in Room 1024, Judiciary Plaza, 450 Fifth Street, N.W., Washington, D.C. 20549. You may also obtain copies of such materials from the Public Reference Section of the SEC, Room 1024, Judiciary Plaza, 450 Fifth Street, N.W., Washington, D.C. 20549, at prescribed rates. You may call the SEC at 1-800-SEC-0330 for further information on the public reference rooms. In addition, such information concerning our company can be inspected and copied at the offices of the National Association of Securities Dealers, Inc., 9513 Key West Avenue, Rockville, Maryland 20850 and at the offices of the Israel Securities Authority at 22 Kanfei Nesharim St., Jerusalem, Israel. As a foreign private issuer, all documents which were filed after November 4, 2002 on the SEC's EDGAR system will be available for retrieval on the SEC's website at www.sec.gov. These SEC filings are also available to the public on the Israel Securities Authority's website at www.isa.gov.il and from commercial document retrieval services. We also generally make available on our own Web site (www.towersemi.com) all our quarterly and year-end financial statements as well as other information.</w:t>
      </w:r>
    </w:p>
    <w:p>
      <w:pPr>
        <w:spacing w:after="0" w:line="331"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Any statement in this annual report about any of our contracts or other documents is not necessarily complete. If the contract or document is filed as an exhibit to the registration statement, the contract or document is deemed to modify the description contained in this annual report. We urge you to review the exhibits themselves for a complete description of the contract or document.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QUANTITATIVE AND QUALITATIVE DISCLOSURES ABOUT MARKET RISK</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75"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Our primary market risk exposures relate to interest rate movements on borrowings, fluctuations of the exchange rate of the US dollar, which is the primary currency in which we conduct our operations, against the NIS, the Japanese Yen and the Euro. To manage those risks and mitigate our exposure to them, we from time to time use financial instruments, primarily, interest rate collar agreements with a knock-out and knock-in features, and foreign currency forward contracts and options (including zero-cost cylinders).</w:t>
      </w:r>
    </w:p>
    <w:p>
      <w:pPr>
        <w:spacing w:after="0" w:line="166"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17"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RISK OF INTEREST RATE FLUCTUATION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with knock-out and knock-in features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 A knock-out LIBOR-based interest rate collar is a combination of a purchased knock-out cap with a cap level, floor level and a knock out level (and a knock in level for some of the agreements).</w:t>
      </w:r>
    </w:p>
    <w:p>
      <w:pPr>
        <w:spacing w:after="0" w:line="180"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are subject to interest rate exposure in connection with $497 million long-term debt outstanding as of December 31, 2004 under the Fab 2 facility agreement, as such debt bears interest at a rate of LIBOR plus 2.5% per annum. The interest rate as of December 31, 2004 on $205 million of the Fab 2 loans, not subject to the results of our collar agreements, was 5.06%. Our remaining loans of $292 million are covered by the collar agreements and bore annual interest rate as of December 31, 2004, including the results of our hedging activities described below, as follows: $172 million - 6.78%, $40 million - 5.30%, and $80 million - 5.06%. Loans in the amount of $431 million are repayable in 12 equal consecutive quarterly installments commencing March 31, 2007, and loans in the amount of $66 million drawn down during 2004 are repayable in 12 equal consecutive quarterly installments, commencing three years from the end of the quarter of each draw down.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All our collar agreements, which gradually expire in 2006-2009, were effective as of December 31, 2004. These agreements provide for combinations as described below. Under the knock-out provision in these agreements, in the event that the LIBOR rate exceeds the knock-out LIBOR rate level during a particular quarter, the protection provided under the interest collar agreements will not apply with respect to that entire quarter. If the LIBOR rate decreases thereafter and remains below the knock-out LIBOR rate level in any successive quarter for the duration of the entire quarter, the protection provided under the interest rate collar will again be effective.</w:t>
      </w:r>
    </w:p>
    <w:p>
      <w:pPr>
        <w:spacing w:after="0" w:line="178" w:lineRule="exact"/>
        <w:rPr>
          <w:sz w:val="20"/>
          <w:szCs w:val="20"/>
          <w:color w:val="auto"/>
        </w:rPr>
      </w:pPr>
    </w:p>
    <w:p>
      <w:pPr>
        <w:ind w:right="3319" w:firstLine="525"/>
        <w:spacing w:after="0" w:line="254" w:lineRule="auto"/>
        <w:rPr>
          <w:sz w:val="20"/>
          <w:szCs w:val="20"/>
          <w:color w:val="auto"/>
        </w:rPr>
      </w:pPr>
      <w:r>
        <w:rPr>
          <w:rFonts w:ascii="Courier New" w:cs="Courier New" w:eastAsia="Courier New" w:hAnsi="Courier New"/>
          <w:sz w:val="14"/>
          <w:szCs w:val="14"/>
          <w:color w:val="auto"/>
        </w:rPr>
        <w:t>With respect to the $172 million of our Fab 2 credit facility debt, under the terms of the collar agreements, if the LIBOR is below the floor rate of</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4.28% we will pay total interest at the fixed rate of 6.78% (the 4.28% floor rate plus 2.5%); if the LIBOR is between 4.28% and 5.56%, we will pay total interest at the actual LIBOR plus 2.5%; if the LIBOR is between 5.56% and 7.50% we will pay total interest at a fixed rate of 8.06% (the 5.56% cap rate plus</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2.5%); and if the LIBOR is higher than 7.50%, we will pay the actual LIBOR rate plus 2.5%. At December 31, 2004, the LIBOR rate was 2.56%. Accordingly, as of such date the interest rate on these long-term loans was 6.78% (the floor rate of 4.28% plus 2.5%).</w:t>
      </w:r>
    </w:p>
    <w:p>
      <w:pPr>
        <w:spacing w:after="0" w:line="175" w:lineRule="exact"/>
        <w:rPr>
          <w:sz w:val="20"/>
          <w:szCs w:val="20"/>
          <w:color w:val="auto"/>
        </w:rPr>
      </w:pPr>
    </w:p>
    <w:p>
      <w:pPr>
        <w:ind w:right="3399" w:firstLine="525"/>
        <w:spacing w:after="0" w:line="254" w:lineRule="auto"/>
        <w:rPr>
          <w:sz w:val="20"/>
          <w:szCs w:val="20"/>
          <w:color w:val="auto"/>
        </w:rPr>
      </w:pPr>
      <w:r>
        <w:rPr>
          <w:rFonts w:ascii="Courier New" w:cs="Courier New" w:eastAsia="Courier New" w:hAnsi="Courier New"/>
          <w:sz w:val="14"/>
          <w:szCs w:val="14"/>
          <w:color w:val="auto"/>
        </w:rPr>
        <w:t>With respect to the $40 million of our Fab 2 credit facility debt, under the terms of the collar agreements, if the LIBOR is below the floor rate of</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2.80% we will pay total interest at the fixed rate of 5.30% (the 2.80% floor rate plus 2.5%); if the LIBOR is between 2.80% and 5.50%, we will pay total interest at actual LIBOR plus 2.5%; if the LIBOR is between 5.50% and 7.50% we will pay total interest at a fixed rate of 8.00% (the 5.50% cap rate plus 2.5%); and if the LIBOR is higher than 7.50%, we will pay the actual LIBOR rate plus 2.5%. At December 31, 2004, the LIBOR rate was 2.56%. Accordingly, as of such date, the interest rate on these long-term loans was 5.30% (the floor rate of 2.8% plus 2.5%).</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17" w:right="1440" w:bottom="1440" w:gutter="0" w:footer="0" w:header="0"/>
        </w:sectPr>
      </w:pPr>
    </w:p>
    <w:bookmarkStart w:id="81" w:name="page82"/>
    <w:bookmarkEnd w:id="81"/>
    <w:p>
      <w:pPr>
        <w:ind w:right="3239" w:firstLine="525"/>
        <w:spacing w:after="0" w:line="236" w:lineRule="auto"/>
        <w:rPr>
          <w:sz w:val="20"/>
          <w:szCs w:val="20"/>
          <w:color w:val="auto"/>
        </w:rPr>
      </w:pPr>
      <w:r>
        <w:rPr>
          <w:rFonts w:ascii="Courier New" w:cs="Courier New" w:eastAsia="Courier New" w:hAnsi="Courier New"/>
          <w:sz w:val="15"/>
          <w:szCs w:val="15"/>
          <w:color w:val="auto"/>
        </w:rPr>
        <w:t>With respect to the $80 million of our Fab 2 credit facility debt, under the terms of the collar agreements, if the LIBOR is below the knock-in of 0.70% we will pay total interest at the fixed rate of 5.25% (the 2.75% floor rate plus 2.5%); if the LIBOR is between 0.70% and 4.00%, we will pay total interest at the actual LIBOR plus 2.5%; if the LIBOR is between 4.00% and 7.00% we will pay total interest at a fixed rate of 6.50% (the 4.00% cap level plus 2.5%); and if the LIBOR is higher than 7.00%, we will pay the actual LIBOR rate plus 2.5%. At December 31, 2004, the LIBOR rate was 2.56%. Accordingly, as of such date, the interest rate on these long-term loans was 5.06% (the actual LIBOR rate of 2.56% plus 2.5%).</w:t>
      </w:r>
    </w:p>
    <w:p>
      <w:pPr>
        <w:spacing w:after="0" w:line="179"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All our collar agreements resulted in a loss of $5.6 million in the year ended December 31, 2004. The fair value of these agreements, as of December 31, 2004 was a $2.4 million loss</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Assuming a 10% upward shift in the LIBOR rate at December 31, 2004 (from 2.56% to 2.82%), the effective fair value of $325 million debt would have increased by approximately $2.5 million. The amount of $325 is comprised of $205 million debt not hedged by the collar agreements; $80 million debt hedged by a collar agreement with a knock in level of 0.7% and as to which as of December 31, 2004 we are exposed to the risk of interest rate fluctuation; and $40 million debt hedged by a collar agreement with a floor rate of 2.80%. With regard to the remaining $172 million debt hedged by the collar agreements, as of December 31, 2004 such assumed increase in the LIBOR rate presents no change in the interest rate exposure since as of such date the collar agreements would still result in a fixed rate interest of the floor rate plus 2.5%.</w:t>
      </w:r>
    </w:p>
    <w:p>
      <w:pPr>
        <w:spacing w:after="0" w:line="16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 AND OPTIONS (SERIES 1)</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We are exposed to the risk of fluctuation in the NIS/dollar exchange rate with respect to our convertible debentures and the exercise price of our Options (Series 1), which are both denominated in NIS linked to the Consumer Price Index in Israel (CPI). As of December 31, 2004 the adjusted outstanding principal amount of the convertible debentures was $27.1 million and the adjusted exercise price of the options (Series 1) was $9.56. The dollar amount of our finance costs (interest and currency adjustments) related to the convertible debentures will be increased if the rate of inflation in Israel is not offset (or is offset on a lagging basis) by the devaluation of the NIS in relation to the dollar. In addition, the dollar amount of any repayment on account of the principal of the convertible debentures will be increased as well. On the other hand, if the devaluation of the NIS against the dollar is greater than the rate of inflation in Israel, the dollar amounts we shall raise on the date of exercising our Options (Series 1) will be decreased. From the date of the issuance of the convertible debentures and Options (Series 1) in January 2002 until December 31, 2004, the Israel consumer price index increased by 5.6% while the US dollar/NIS exchange rate decreased by 6%.</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4" w:right="1440" w:bottom="1440" w:gutter="0" w:footer="0" w:header="0"/>
        </w:sectPr>
      </w:pPr>
    </w:p>
    <w:bookmarkStart w:id="82" w:name="page83"/>
    <w:bookmarkEnd w:id="82"/>
    <w:p>
      <w:pPr>
        <w:ind w:right="3239" w:firstLine="525"/>
        <w:spacing w:after="0" w:line="236" w:lineRule="auto"/>
        <w:rPr>
          <w:sz w:val="20"/>
          <w:szCs w:val="20"/>
          <w:color w:val="auto"/>
        </w:rPr>
      </w:pPr>
      <w:r>
        <w:rPr>
          <w:rFonts w:ascii="Courier New" w:cs="Courier New" w:eastAsia="Courier New" w:hAnsi="Courier New"/>
          <w:sz w:val="15"/>
          <w:szCs w:val="15"/>
          <w:color w:val="auto"/>
        </w:rPr>
        <w:t>The convertible debentures bear annual interest at a fixed rate of 4.7%. The debentures are payable in four annual installments commencing in January 2006. Therefore, we are not subject to exposure to interest rate fluctuations with respect to the debentures. However, in case the actual market interest rates are lower than the interest rate provided on the convertible debentures, our actual finance costs would be higher than in case our convertible debentures bear floating interest 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RISK</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Our main foreign currency exposures give rise to market risk associated with exchange rate movements of the US dollar, our functional and reporting currency, against the Japanese Yen, the Euro and the NIS.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 to suppliers.</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Accordingly, we enter, from time to time, into foreign currency agreements to hedge exposure to equipment purchase commitments and other firm commitments. Most of our agreements to hedge equipment purchase commitments are designated to eliminate exposure changes in the Japanese Yen and the Euro vis-a-vis the US dollar. During the year ended December 31, 2004, we had $19 million options (including zero-cost cylinder options) transactions. The loss resulted from these transactions in the year ended December 31, 2004 was immaterial. As of December 31, 2004 we had no open transactions.</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We enter from time to time into foreign exchange agreements to hedge exposure relating to Value Added Tax (VAT), grants receivables and payroll payments denominated in NIS. The effect of these agreements during the year ended December 31, 2004 was immaterial. As of December 31, 2004, we had no open transactions.</w:t>
      </w:r>
    </w:p>
    <w:p>
      <w:pPr>
        <w:spacing w:after="0" w:line="174"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We are exposed to currency risk in the event of default by the other parties of the exchange transaction. We estimate the likelihood of such default to occur is remote, as the other parties are widely recognized and reputable Israeli banks.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DESCRIPTION OF SECURITIES OTHER THAN EQUITY SECURITIES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DEFAULTS, DIVIDEND ARREARAGES AND DELINQUENCIES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left="880" w:right="3579" w:hanging="874"/>
        <w:spacing w:after="0" w:line="234" w:lineRule="auto"/>
        <w:rPr>
          <w:sz w:val="20"/>
          <w:szCs w:val="20"/>
          <w:color w:val="auto"/>
        </w:rPr>
      </w:pPr>
      <w:r>
        <w:rPr>
          <w:rFonts w:ascii="Courier New" w:cs="Courier New" w:eastAsia="Courier New" w:hAnsi="Courier New"/>
          <w:sz w:val="15"/>
          <w:szCs w:val="15"/>
          <w:color w:val="auto"/>
        </w:rPr>
        <w:t>ITEM 14. MATERIAL MODIFICATIONS TO THE RIGHTS OF SECURITY HOLDERS AND USE OF PROCEEDS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CONTROLS AND PROCEDURES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An evaluation was performed under the supervision and with the participation of our management, including our chief executive officer and acting chief financial officer, of the effectiveness of our disclosure controls and procedures (as defined in Rules 13a-14(c) and 15d-14(c) under the Securities Exchange Act of 1934, as amended). Based on that evaluation, which was completed within 90 days of the filing date of this annual report, our chief executive officer and acting chief financial officer, concluded that our disclosure controls and procedures were effective though we are constantly engaged in the process of improving these controls and procedures. There have been no significant changes in our disclosure controls or in other factors that could significantly affect disclosure controls subsequent to the date of the evaluation, including any corrective actions with regard to significant deficiencies and material weaknesses.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[RESERVED]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16A. AUDIT COMMITTEE FINANCIAL EXPERT</w:t>
      </w:r>
    </w:p>
    <w:p>
      <w:pPr>
        <w:spacing w:after="0" w:line="173" w:lineRule="exact"/>
        <w:rPr>
          <w:sz w:val="20"/>
          <w:szCs w:val="20"/>
          <w:color w:val="auto"/>
        </w:rPr>
      </w:pPr>
    </w:p>
    <w:p>
      <w:pPr>
        <w:ind w:right="4019" w:firstLine="525"/>
        <w:spacing w:after="0" w:line="261" w:lineRule="auto"/>
        <w:rPr>
          <w:sz w:val="20"/>
          <w:szCs w:val="20"/>
          <w:color w:val="auto"/>
        </w:rPr>
      </w:pPr>
      <w:r>
        <w:rPr>
          <w:rFonts w:ascii="Courier New" w:cs="Courier New" w:eastAsia="Courier New" w:hAnsi="Courier New"/>
          <w:sz w:val="14"/>
          <w:szCs w:val="14"/>
          <w:color w:val="auto"/>
        </w:rPr>
        <w:t>Our Board of Directors has determined that a member of our Audit Committee, Ms. Tal Yaron-Eldar, is an audit committee financial expert.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16B. CODE OF ETHICS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We adopted a code of ethics which applies to all of our directors, officers and employees, including our acting chief executive officer, acting chief financial officer, principal accounting officer, and persons performing similar functions. We amended our code of ethics to comply with the requirements of the Sarbanes Oxley Act of 2002 as follows: (i) The section relating to external requests for company information and contacts with outsiders now specifies the person responsible for managing our company's relationships with outsiders and the course of action to be taken when internal company data is mistakenly disclosed; and (ii) The section regarding reporting illegal, inappropriate or unethical behavior now requires employees to promptly report any such behavior, including violations of the code of ethics or any law, and allows for such report to be communicated anonymously.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17"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ITEM 16C. PRINCIPAL ACCOUNTANT FEES AND SERVICES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following table presents fees for professional services rendered by our independent registered public accounting firm for audit services, audit-related services and for tax services: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19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(US DOLLARS)</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 DOLLARS)</w:t>
            </w:r>
          </w:p>
        </w:tc>
      </w:tr>
      <w:tr>
        <w:trPr>
          <w:trHeight w:val="168"/>
        </w:trPr>
        <w:tc>
          <w:tcPr>
            <w:tcW w:w="19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Audit Fees(1)</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362,000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309,000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Audit-Related Fees(2)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12,000</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Fees(3)</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14,000</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52,000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388,000</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367,000</w:t>
            </w:r>
          </w:p>
        </w:tc>
      </w:tr>
    </w:tbl>
    <w:p>
      <w:pPr>
        <w:spacing w:after="0" w:line="341" w:lineRule="exact"/>
        <w:rPr>
          <w:sz w:val="20"/>
          <w:szCs w:val="20"/>
          <w:color w:val="auto"/>
        </w:rPr>
      </w:pPr>
    </w:p>
    <w:p>
      <w:pPr>
        <w:ind w:left="540" w:right="3239" w:hanging="530"/>
        <w:spacing w:after="0" w:line="236"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fees consist of fees for professional services rendered for the audit of our consolidated financial statements, services in connection with statutory and regulatory filings and engagements (including review of Forms 20-F, F-3 and S-8), and reviews of our unaudited interim consolidated financial statements included in our quarterly reports.</w:t>
      </w:r>
    </w:p>
    <w:p>
      <w:pPr>
        <w:spacing w:after="0" w:line="173" w:lineRule="exact"/>
        <w:rPr>
          <w:rFonts w:ascii="Courier New" w:cs="Courier New" w:eastAsia="Courier New" w:hAnsi="Courier New"/>
          <w:sz w:val="15"/>
          <w:szCs w:val="15"/>
          <w:color w:val="auto"/>
        </w:rPr>
      </w:pPr>
    </w:p>
    <w:p>
      <w:pPr>
        <w:ind w:left="540" w:right="3319" w:hanging="530"/>
        <w:spacing w:after="0" w:line="234"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related fees consist of accounting consultation and consultation on financial accounting standards, not arising as part of the audit.</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consist of fees for tax compliance services, tax planning and tax advice.</w:t>
      </w:r>
    </w:p>
    <w:p>
      <w:pPr>
        <w:spacing w:after="0" w:line="173" w:lineRule="exact"/>
        <w:rPr>
          <w:sz w:val="20"/>
          <w:szCs w:val="20"/>
          <w:color w:val="auto"/>
        </w:rPr>
      </w:pPr>
    </w:p>
    <w:p>
      <w:pPr>
        <w:ind w:right="3679" w:firstLine="525"/>
        <w:spacing w:after="0" w:line="256" w:lineRule="auto"/>
        <w:rPr>
          <w:sz w:val="20"/>
          <w:szCs w:val="20"/>
          <w:color w:val="auto"/>
        </w:rPr>
      </w:pPr>
      <w:r>
        <w:rPr>
          <w:rFonts w:ascii="Courier New" w:cs="Courier New" w:eastAsia="Courier New" w:hAnsi="Courier New"/>
          <w:sz w:val="14"/>
          <w:szCs w:val="14"/>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16D. EXEMPTIONS FROM THE LISTING STANDARDS FROM AUDIT COMMITTEES.</w:t>
      </w:r>
    </w:p>
    <w:p>
      <w:pPr>
        <w:spacing w:after="0" w:line="173" w:lineRule="exact"/>
        <w:rPr>
          <w:sz w:val="20"/>
          <w:szCs w:val="20"/>
          <w:color w:val="auto"/>
        </w:rPr>
      </w:pPr>
    </w:p>
    <w:p>
      <w:pPr>
        <w:jc w:val="both"/>
        <w:ind w:right="3499" w:firstLine="525"/>
        <w:spacing w:after="0" w:line="235" w:lineRule="auto"/>
        <w:rPr>
          <w:sz w:val="20"/>
          <w:szCs w:val="20"/>
          <w:color w:val="auto"/>
        </w:rPr>
      </w:pPr>
      <w:r>
        <w:rPr>
          <w:rFonts w:ascii="Courier New" w:cs="Courier New" w:eastAsia="Courier New" w:hAnsi="Courier New"/>
          <w:sz w:val="15"/>
          <w:szCs w:val="15"/>
          <w:color w:val="auto"/>
        </w:rPr>
        <w:t>As a foreign private issuer we remain exempt, until July 31, 2005, from Nasdaq's audit committee related listing standards that have come into effect following December 13,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16E. PURCHASES OF EQUITY SECURITIES BY THE ISSUER AND AFFILIATED PARTIES.</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PART</w:t>
      </w:r>
      <w:r>
        <w:rPr>
          <w:sz w:val="20"/>
          <w:szCs w:val="20"/>
          <w:color w:val="auto"/>
        </w:rPr>
        <w:tab/>
      </w:r>
      <w:r>
        <w:rPr>
          <w:rFonts w:ascii="Courier New" w:cs="Courier New" w:eastAsia="Courier New" w:hAnsi="Courier New"/>
          <w:sz w:val="14"/>
          <w:szCs w:val="14"/>
          <w:color w:val="auto"/>
        </w:rPr>
        <w:t>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FINANCIAL STATEMENTS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17"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ITEM 18. FINANCIAL STATEMENTS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Index to Financial Statements following the signature 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19. EXHIBITS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1.1 Articles of Association of the Registrant, approved by shareholders on November 14, 2000 (incorporated by reference to the correspondingly-numbered exhibit to the Registrant's Annual Report on Form 20-F for the year ended December 31, 2000 (the "2000 Form 20-F"). (Pursuant to approvals by our shareholders, our Articles of Association provide for an authorized share capital of 250,000,000 divided into 250,000,000 shares).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2.1 Bank Warrants, dated January 18, 2001, between the Registrant and Bank Hapoalim B.M. and Bank Leumi Le-Israel B.M. (incorporated by reference to the correspondingly-numbered exhibit to the 2000 Form 20-F).</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2.2 Registration Rights Agreement, dated January 18, 2001, by and between SanDisk Corporation, Israel Corporation, Alliance Semiconductor Ltd. and Macronix International Co., Ltd. (incorporated by reference to the correspondingly-numbered exhibit to the 2000 Form 20-F).</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2.4 Terms of the Registrant's Options (Series 1) (incorporated by reference to the summary of terms included under the caption "Description of the Options" in Exhibit C to the January 2002 Form 6-K).</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3.1 Consolidated Shareholders Agreement, dated January 18, 2001, by and between SanDisk Corporation, Israel Corporation, Alliance Semiconductor Ltd. and Macronix International Co., Ltd. (incorporated by reference to the correspondingly-numbered exhibit to the 2000 Form 20-F).</w:t>
      </w:r>
    </w:p>
    <w:p>
      <w:pPr>
        <w:spacing w:after="0" w:line="175"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4.1 Share Purchase Agreement, dated July 4, 2000, by and between SanDisk Corporation and the Registrant (incorporated by reference to the correspondingly-numbered exhibit to the 2000 Form 20-F).</w:t>
      </w:r>
    </w:p>
    <w:p>
      <w:pPr>
        <w:spacing w:after="0" w:line="174"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4.2 Additional Purchase Obligation Agreement, dated July 4, 2000, by and between SanDisk Corporation ("SanDisk") and the Registrant (incorporated by reference to the correspondingly-numbered exhibit to the 2000 Form 20-F).</w:t>
      </w:r>
    </w:p>
    <w:p>
      <w:pPr>
        <w:spacing w:after="0" w:line="16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4.3 Share Purchase Agreement, dated August 29, 2000, by and between Alliance Semiconductor Corporation ("Alliance") and the Registrant (incorporated by reference to the correspondingly-numbered exhibit to the 2000 Form 20-F).</w:t>
      </w:r>
    </w:p>
    <w:p>
      <w:pPr>
        <w:spacing w:after="0" w:line="161"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4"/>
          <w:szCs w:val="14"/>
          <w:color w:val="auto"/>
        </w:rPr>
        <w:t>4.4 Share Purchase Agreement, dated December 11, 2000, by and between QuickLogic Corporation ("QuickLogic") and the Registrant (incorporated by reference to the correspondingly-numbered exhibit to the 2000 Form 20-F).</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17" w:right="1440" w:bottom="1440" w:gutter="0" w:footer="0" w:header="0"/>
        </w:sectPr>
      </w:pPr>
    </w:p>
    <w:bookmarkStart w:id="86" w:name="page87"/>
    <w:bookmarkEnd w:id="86"/>
    <w:p>
      <w:pPr>
        <w:ind w:right="3319"/>
        <w:spacing w:after="0" w:line="258" w:lineRule="auto"/>
        <w:rPr>
          <w:sz w:val="20"/>
          <w:szCs w:val="20"/>
          <w:color w:val="auto"/>
        </w:rPr>
      </w:pPr>
      <w:r>
        <w:rPr>
          <w:rFonts w:ascii="Courier New" w:cs="Courier New" w:eastAsia="Courier New" w:hAnsi="Courier New"/>
          <w:sz w:val="14"/>
          <w:szCs w:val="14"/>
          <w:color w:val="auto"/>
        </w:rPr>
        <w:t>4.5 Share Purchase Agreement, dated December 12, 2000, by and between Macronix International Co., Ltd. ("Macronix") and the Registrant (incorporated by reference to the correspondingly-numbered exhibit to the 2000 Form 20-F).</w:t>
      </w:r>
    </w:p>
    <w:p>
      <w:pPr>
        <w:spacing w:after="0" w:line="161"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5"/>
          <w:szCs w:val="15"/>
          <w:color w:val="auto"/>
        </w:rPr>
        <w:t>4.6 Share Purchase Agreement, dated December 12, 2000, between Israel Corporation and the Registrant (incorporated by reference to the correspondingly-numbered exhibit to the 2000 Form 20-F).</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4.7 Additional Purchase Obligation Agreement, dated December 12, 2000, between Israel Corporation and the Registrant (incorporated by reference to the correspondingly-numbered exhibit to the 2000 Form 20-F).</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4.8 Share Purchase Agreement, dated February 11, 2001, between The Challenge Fund - Etgar II and the Registrant (incorporated by reference to the correspondingly-numbered exhibit to the 2000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4.12 Agreement between the Registrant and Saifun, dated October 9, 1997 (incorporated by reference to exhibit 1.1 to the Registrant's Annual Report on Form 20-F for the year ended December 31, 1997).</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4.13 Registrant's Non-Employee Director Share Option Plan 2000/3 (incorporated by reference to exhibit 4.5 to the Registrant's Registration Statement on Form S-8 No. 333-83204 ("Form S-8 No. 333-83204")).</w:t>
      </w:r>
    </w:p>
    <w:p>
      <w:pPr>
        <w:spacing w:after="0" w:line="17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4.14 Form of Grant Letter for Non-Employee Directors Share Option Plan 2001/4 (incorporated by reference to exhibit 4.9 to the Form S-8 No. 333-83204).</w:t>
      </w:r>
    </w:p>
    <w:p>
      <w:pPr>
        <w:spacing w:after="0" w:line="160"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4.15 Form of Grant Letter for Non-Employee Directors Share Option Plan 2001/5 (incorporated by reference to exhibit 4.10 to the Form S-8 No. 333-83204).</w:t>
      </w:r>
    </w:p>
    <w:p>
      <w:pPr>
        <w:spacing w:after="0" w:line="160"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4.16 Wafer Partner Conversion Agreements, dated September 2001, between the Registrant and each of SanDisk, Alliance and Macronix (incorporated by reference to the correspondingly-numbered exhibit to the 2001 Form 20-F).</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3" w:right="1440" w:bottom="1440" w:gutter="0" w:footer="0" w:header="0"/>
        </w:sectPr>
      </w:pPr>
    </w:p>
    <w:bookmarkStart w:id="87" w:name="page88"/>
    <w:bookmarkEnd w:id="87"/>
    <w:p>
      <w:pPr>
        <w:ind w:right="3239"/>
        <w:spacing w:after="0" w:line="235" w:lineRule="auto"/>
        <w:rPr>
          <w:sz w:val="20"/>
          <w:szCs w:val="20"/>
          <w:color w:val="auto"/>
        </w:rPr>
      </w:pPr>
      <w:r>
        <w:rPr>
          <w:rFonts w:ascii="Courier New" w:cs="Courier New" w:eastAsia="Courier New" w:hAnsi="Courier New"/>
          <w:sz w:val="15"/>
          <w:szCs w:val="15"/>
          <w:color w:val="auto"/>
        </w:rPr>
        <w:t>4.17 Letter Agreement, dated November 29, 2001, among SanDisk, Alliance, Macronix, QuickLogic and the Registrant regarding the Utilization of Prepayments (incorporated by reference to the correspondingly-numbered exhibit to the 2001 Form 20-F).</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4.18 Letter Agreements among Alliance, Macronix, QuickLogic, Israel Corp. and the Registrant and between SanDisk and the Registrant regarding Additional Wafer Partner Financing Date (incorporated by reference to the correspondingly-numbered exhibit to the 2001 Form 20-F).</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4.19 Letter Agreement, dated November 15, 2001, among SanDisk, Alliance, Macronix, QuickLogic, ICTech and the Registrant regarding Amendment to Financing Plan (incorporated by reference to the correspondingly-numbered exhibit to the 2001 Form 20-F).</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4.20 First Amendment, dated January 29, 2001, to the Facility Agreement (incorporated by reference to the correspondingly-numbered exhibit to the 2001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4.21 Second Amendment, dated January 10, 2002, to Facility Agreement (incorporated by reference to the correspondingly-numbered exhibit to the 2001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4.22 Third Amendment, dated March 7, 2002, to the Facility Agreement (incorporated by reference to the correspondingly-numbered exhibit to the 2001 Form 20-F).</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4.24 Technology License Agreement, dated April 7, 2000, between the Registrant and Toshiba Corporation (incorporated by reference to exhibit 10.4 to the Registrant's Registration Statement on Form F-2, No. 333-97043).</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4.25 Technology Transfer License Agreement, dated September 2002, between Registrant and Motorola, Inc. (incorporated by reference to exhibit 10.5 to the Registrant's Registration Statement on Form F-2, No. 333-97043).</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4.26 Fourth Amendment, dated April 29, 2002, to the Facility Agreement (incorporated by reference to the correspondingly-numbered exhibit to the 2002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4.27 Fifth Amendment dated September 18, 2002 to the Facility Agreement (incorporated by reference to the correspondingly-numbered exhibit to the 2002 Form 20-F).</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4.28 Amendment to Fifth Amendment to the Facility Agreement, dated October 22, 2002, to the Facility Agreement (incorporated by reference to the correspondingly-numbered exhibit to the 2002 Form 20-F).</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4.29 Letter Agreement, dated March 2002, among SanDisk, Alliance, Macronix, ICTech and Challenge Fund to advance Third and Fourth Milestone Payments (incorporated by reference to the correspondingly-numbered exhibit to the 2002 Form 20-F).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88" w:name="page89"/>
    <w:bookmarkEnd w:id="88"/>
    <w:p>
      <w:pPr>
        <w:ind w:right="3319"/>
        <w:spacing w:after="0" w:line="235" w:lineRule="auto"/>
        <w:rPr>
          <w:sz w:val="20"/>
          <w:szCs w:val="20"/>
          <w:color w:val="auto"/>
        </w:rPr>
      </w:pPr>
      <w:r>
        <w:rPr>
          <w:rFonts w:ascii="Courier New" w:cs="Courier New" w:eastAsia="Courier New" w:hAnsi="Courier New"/>
          <w:sz w:val="15"/>
          <w:szCs w:val="15"/>
          <w:color w:val="auto"/>
        </w:rPr>
        <w:t>4.30 Letter Agreement, dated July 2002, among SanDisk, Alliance, Macronix, and ICTech to exercise rights distributed in rights offering (incorporated by reference to the correspondingly-numbered exhibit to the 2002 Form 20-F).</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4.31 Letter Agreement, dated March 2003, among SanDisk, Alliance, Macronix, ICTech, and the Registrant (incorporated by reference to the correspondingly-numbered exhibit to the 2002 Form 20-F).</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4.34</w:t>
      </w:r>
      <w:r>
        <w:rPr>
          <w:sz w:val="20"/>
          <w:szCs w:val="20"/>
          <w:color w:val="auto"/>
        </w:rPr>
        <w:tab/>
      </w:r>
      <w:r>
        <w:rPr>
          <w:rFonts w:ascii="Courier New" w:cs="Courier New" w:eastAsia="Courier New" w:hAnsi="Courier New"/>
          <w:sz w:val="14"/>
          <w:szCs w:val="14"/>
          <w:color w:val="auto"/>
        </w:rPr>
        <w:t>Reserved.</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4.35 Investment Center Agreement related to Fab 1, dated November 13, 2001 (English translation of Hebrew original) (incorporated by reference to exhibit 10.2 to the Registrant's Registration Statement on Form F-2, No. 333-97043).</w:t>
      </w:r>
    </w:p>
    <w:p>
      <w:pPr>
        <w:spacing w:after="0" w:line="16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4.36 Development and License Agreement, dated March 31, 2002, between Virage Logic Corporation and the Registrant (incorporated by reference to the correspondingly-numbered exhibit to the 2002 Form 20-F).</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4.37 Master Services and License Agreement, dated June 2002, between Artisan Components, Inc. and the Registrant (incorporated by reference to the correspondingly-numbered exhibit to the 2002 Form 20-F).</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4.38 Seventh Amendment to the Facility Agreement, dated November 11, 2003, (incorporated by reference to Exhibit 99.1 of the Registrant's Report on Form 6-K filed on December 17, 2003).</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4.39 Undertaking of The Israel Corporation Ltd., dated November 11, 2003, (incorporated by reference to Exhibit 99.2 of the Registrant's Report on Form 6-K filed on December 17, 2003).</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4.40 Undertaking of the Registrant, dated November 11, 2003 (incorporated by reference to Exhibit 99.3 of the Registrant's Report on Form 6-K filed on December 17, 2003).</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4.41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6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4.42 Foundry Agreement, dated May 12, 2004, between the Registrant and Siliconix incorporated.#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89" w:name="page90"/>
    <w:bookmarkEnd w:id="89"/>
    <w:p>
      <w:pPr>
        <w:ind w:right="3399"/>
        <w:spacing w:after="0" w:line="234" w:lineRule="auto"/>
        <w:rPr>
          <w:sz w:val="20"/>
          <w:szCs w:val="20"/>
          <w:color w:val="auto"/>
        </w:rPr>
      </w:pPr>
      <w:r>
        <w:rPr>
          <w:rFonts w:ascii="Courier New" w:cs="Courier New" w:eastAsia="Courier New" w:hAnsi="Courier New"/>
          <w:sz w:val="15"/>
          <w:szCs w:val="15"/>
          <w:color w:val="auto"/>
        </w:rPr>
        <w:t>4.43 Share Purchase Agreement, dated December 8, 2004, between the Registrant and the Purchasers named therein.#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4.44 Agreement, dated December 31, 2004, by and among the Registrant and the Purchasers named therein.#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4.45 Employee Share Option Plan 2004 (incorporated by reference to Exhibit 4.3 to the Registrant's Registration Statement on Form S-8 No. 333-117565 ("Form S-8 No. 333-117565").</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4.46 Form of Grant Letter to Israeli Employees (incorporated by reference to Exhibit 4.4 to Form S-8 No. 333-117565).</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4.47 Form of Grant Letter to U.S. Employees (incorporated by reference to Exhibit 4.5 to Form S-8 No. 333-117565).</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Code of Ethics, as amended.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12.1 Certification by Acting Chief Executive Officer pursuant to Section 302 of the Sarbanes-Oxley Act of 2002.</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12.2 Certification by Acting Chief Financial Officer pursuant to Section 302 of the Sarbanes-Oxley Act of 2002.</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13.1 Certification by Acting Chief Executive Officer pursuant to Section 906 of the Sarbanes-Oxley Act of 2002.</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13.2 Certification by Acting Chief Financial Officer pursuant to Section 906 of the Sarbanes-Oxley Act of 2002.</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Consent of Brightman Almagor &amp; Co.</w:t>
      </w:r>
    </w:p>
    <w:p>
      <w:pPr>
        <w:spacing w:after="0" w:line="173" w:lineRule="exact"/>
        <w:rPr>
          <w:sz w:val="20"/>
          <w:szCs w:val="20"/>
          <w:color w:val="auto"/>
        </w:rPr>
      </w:pPr>
    </w:p>
    <w:p>
      <w:pPr>
        <w:ind w:right="4099" w:firstLine="10"/>
        <w:spacing w:after="0" w:line="234" w:lineRule="auto"/>
        <w:tabs>
          <w:tab w:leader="none" w:pos="17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OMITTED PURSUANT TO A REQUEST FOR CONFIDENTIAL TREATMENT.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3" w:right="1440" w:bottom="1440" w:gutter="0" w:footer="0" w:header="0"/>
        </w:sectPr>
      </w:pPr>
    </w:p>
    <w:bookmarkStart w:id="90" w:name="page91"/>
    <w:bookmarkEnd w:id="9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AS OF DECEMBER 31,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92" w:right="1440" w:bottom="1440" w:gutter="0" w:footer="0" w:header="0"/>
        </w:sectPr>
      </w:pPr>
    </w:p>
    <w:bookmarkStart w:id="91" w:name="page92"/>
    <w:bookmarkEnd w:id="9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1680"/>
              <w:spacing w:after="0"/>
              <w:rPr>
                <w:sz w:val="20"/>
                <w:szCs w:val="20"/>
                <w:color w:val="auto"/>
              </w:rPr>
            </w:pPr>
            <w:r>
              <w:rPr>
                <w:rFonts w:ascii="Courier New" w:cs="Courier New" w:eastAsia="Courier New" w:hAnsi="Courier New"/>
                <w:sz w:val="15"/>
                <w:szCs w:val="15"/>
                <w:color w:val="auto"/>
                <w:w w:val="96"/>
              </w:rPr>
              <w:t>INDEX TO CONSOLIDATED FINANCIAL STATEMENTS</w:t>
            </w: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F-2</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F-3</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F-4</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F-5</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F-6-F-50</w:t>
            </w:r>
          </w:p>
        </w:tc>
      </w:tr>
    </w:tbl>
    <w:p>
      <w:pPr>
        <w:sectPr>
          <w:pgSz w:w="11900" w:h="16838" w:orient="portrait"/>
          <w:cols w:equalWidth="0" w:num="1">
            <w:col w:w="10239"/>
          </w:cols>
          <w:pgMar w:left="220" w:top="617"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[DELOITTE LOGO]</w:t>
      </w:r>
    </w:p>
    <w:p>
      <w:pPr>
        <w:ind w:left="4560"/>
        <w:spacing w:after="0" w:line="237" w:lineRule="auto"/>
        <w:rPr>
          <w:sz w:val="20"/>
          <w:szCs w:val="20"/>
          <w:color w:val="auto"/>
        </w:rPr>
      </w:pPr>
      <w:r>
        <w:rPr>
          <w:rFonts w:ascii="Courier New" w:cs="Courier New" w:eastAsia="Courier New" w:hAnsi="Courier New"/>
          <w:sz w:val="15"/>
          <w:szCs w:val="15"/>
          <w:color w:val="auto"/>
        </w:rPr>
        <w:t>Brightman Almagor</w:t>
      </w:r>
    </w:p>
    <w:p>
      <w:pPr>
        <w:ind w:left="4560"/>
        <w:spacing w:after="0" w:line="238" w:lineRule="auto"/>
        <w:rPr>
          <w:sz w:val="20"/>
          <w:szCs w:val="20"/>
          <w:color w:val="auto"/>
        </w:rPr>
      </w:pPr>
      <w:r>
        <w:rPr>
          <w:rFonts w:ascii="Courier New" w:cs="Courier New" w:eastAsia="Courier New" w:hAnsi="Courier New"/>
          <w:sz w:val="15"/>
          <w:szCs w:val="15"/>
          <w:color w:val="auto"/>
        </w:rPr>
        <w:t>1 Azrieli Center</w:t>
      </w:r>
    </w:p>
    <w:p>
      <w:pPr>
        <w:ind w:left="4560"/>
        <w:spacing w:after="0" w:line="237" w:lineRule="auto"/>
        <w:rPr>
          <w:sz w:val="20"/>
          <w:szCs w:val="20"/>
          <w:color w:val="auto"/>
        </w:rPr>
      </w:pPr>
      <w:r>
        <w:rPr>
          <w:rFonts w:ascii="Courier New" w:cs="Courier New" w:eastAsia="Courier New" w:hAnsi="Courier New"/>
          <w:sz w:val="15"/>
          <w:szCs w:val="15"/>
          <w:color w:val="auto"/>
        </w:rPr>
        <w:t>Tel Aviv 67021</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P.O.B. 16593, Tel Aviv 61164</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Israel</w:t>
      </w:r>
    </w:p>
    <w:p>
      <w:pPr>
        <w:spacing w:after="0" w:line="166"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Tel: +972 (3) 608 5555</w:t>
      </w:r>
    </w:p>
    <w:p>
      <w:pPr>
        <w:ind w:left="4560"/>
        <w:spacing w:after="0" w:line="237" w:lineRule="auto"/>
        <w:rPr>
          <w:sz w:val="20"/>
          <w:szCs w:val="20"/>
          <w:color w:val="auto"/>
        </w:rPr>
      </w:pPr>
      <w:r>
        <w:rPr>
          <w:rFonts w:ascii="Courier New" w:cs="Courier New" w:eastAsia="Courier New" w:hAnsi="Courier New"/>
          <w:sz w:val="15"/>
          <w:szCs w:val="15"/>
          <w:color w:val="auto"/>
        </w:rPr>
        <w:t>Fax: +972 (3) 609 4022</w:t>
      </w:r>
    </w:p>
    <w:p>
      <w:pPr>
        <w:ind w:left="4560"/>
        <w:spacing w:after="0" w:line="238" w:lineRule="auto"/>
        <w:rPr>
          <w:sz w:val="20"/>
          <w:szCs w:val="20"/>
          <w:color w:val="auto"/>
        </w:rPr>
      </w:pPr>
      <w:r>
        <w:rPr>
          <w:rFonts w:ascii="Courier New" w:cs="Courier New" w:eastAsia="Courier New" w:hAnsi="Courier New"/>
          <w:sz w:val="15"/>
          <w:szCs w:val="15"/>
          <w:color w:val="auto"/>
        </w:rPr>
        <w:t>info@deloitte.co.il</w:t>
      </w:r>
    </w:p>
    <w:p>
      <w:pPr>
        <w:ind w:left="4560"/>
        <w:spacing w:after="0" w:line="237" w:lineRule="auto"/>
        <w:rPr>
          <w:sz w:val="20"/>
          <w:szCs w:val="20"/>
          <w:color w:val="auto"/>
        </w:rPr>
      </w:pPr>
      <w:r>
        <w:rPr>
          <w:rFonts w:ascii="Courier New" w:cs="Courier New" w:eastAsia="Courier New" w:hAnsi="Courier New"/>
          <w:sz w:val="15"/>
          <w:szCs w:val="15"/>
          <w:color w:val="auto"/>
        </w:rPr>
        <w:t>www.deloitte.com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spacing w:after="0" w:line="237" w:lineRule="auto"/>
        <w:rPr>
          <w:sz w:val="20"/>
          <w:szCs w:val="20"/>
          <w:color w:val="auto"/>
        </w:rPr>
      </w:pPr>
      <w:r>
        <w:rPr>
          <w:rFonts w:ascii="Courier New" w:cs="Courier New" w:eastAsia="Courier New" w:hAnsi="Courier New"/>
          <w:sz w:val="15"/>
          <w:szCs w:val="15"/>
          <w:color w:val="auto"/>
        </w:rPr>
        <w:t>TOWER SEMICONDUCTOR LTD.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Tower Semiconductor Ltd. and subsidiary ("the Company") as of December 31, 2004 and 2003, and the related consolidated statements of operations, changes in shareholders'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the Company and subsidiary as of December 31, 2004 and 2003, and the consolidated results of their operations and their cash flows for each of the three years in the period ended December 31, 2004, in accordance with accounting principles generally accepted in Israel.</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The effect of the of America. application of the latter on the financial position and results of operations as of the dates and for the years presented is summarized in Note 19.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February 3, 2005 (May 30, 2005 as for Note 20)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620" w:type="dxa"/>
            <w:vAlign w:val="bottom"/>
            <w:gridSpan w:val="2"/>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5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NOTE</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6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53,793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44,042</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19,286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11,365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139,595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100,305</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4,848</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10,848</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609,296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568,412</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93,483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108,770</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$ 847,508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9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76,004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49,813</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497,000</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431,000</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26,651</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25,783</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12A</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64,428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46,347</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15,445</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5,935</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COMMITMENTS AND CONTINGENCIES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679,528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558,878</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250,000,000 AND 150,000,000 SHARES, RESPECTIVELY;</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ISSUED 66,999,796 AND 52,996,097 SHARES, RESPECTIVELY</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12A, 13</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16,274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12A</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517,476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427,881</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12A</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(356,672)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(218,904)</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177,052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238,529</w:t>
            </w:r>
          </w:p>
        </w:tc>
      </w:tr>
      <w:tr>
        <w:trPr>
          <w:trHeight w:val="168"/>
        </w:trPr>
        <w:tc>
          <w:tcPr>
            <w:tcW w:w="5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13C</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167,980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229,457</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60" w:type="dxa"/>
            <w:vAlign w:val="bottom"/>
          </w:tcPr>
          <w:p>
            <w:pPr>
              <w:spacing w:after="0"/>
              <w:rPr>
                <w:sz w:val="24"/>
                <w:szCs w:val="24"/>
                <w:color w:val="auto"/>
              </w:rPr>
            </w:pP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$ 847,508</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$ 788,335</w:t>
            </w:r>
          </w:p>
        </w:tc>
      </w:tr>
      <w:tr>
        <w:trPr>
          <w:trHeight w:val="168"/>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566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TOWER SEMICONDUCTOR LTD. AND SUBSIDIARY</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60" w:type="dxa"/>
            <w:vAlign w:val="bottom"/>
            <w:gridSpan w:val="2"/>
          </w:tcPr>
          <w:p>
            <w:pPr>
              <w:ind w:left="1940"/>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7"/>
              </w:rPr>
              <w:t>(DOLLARS IN THOUSANDS, EXCEPT SHARE DATA AND PER SHARE</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NOTE</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12D, 14</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$ 126,055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61,368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51,801</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6A(4)</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228,410</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122,395</w:t>
            </w:r>
          </w:p>
        </w:tc>
        <w:tc>
          <w:tcPr>
            <w:tcW w:w="2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67,022</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ind w:left="540"/>
              <w:spacing w:after="0"/>
              <w:rPr>
                <w:sz w:val="20"/>
                <w:szCs w:val="20"/>
                <w:color w:val="auto"/>
              </w:rPr>
            </w:pPr>
            <w:r>
              <w:rPr>
                <w:rFonts w:ascii="Courier New" w:cs="Courier New" w:eastAsia="Courier New" w:hAnsi="Courier New"/>
                <w:sz w:val="15"/>
                <w:szCs w:val="15"/>
                <w:color w:val="auto"/>
              </w:rPr>
              <w:t>GROSS LOSS</w:t>
            </w:r>
          </w:p>
        </w:tc>
        <w:tc>
          <w:tcPr>
            <w:tcW w:w="11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(102,355)</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(61,027)</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(15,221)</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118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17,053</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20,709</w:t>
            </w:r>
          </w:p>
        </w:tc>
        <w:tc>
          <w:tcPr>
            <w:tcW w:w="2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17,031</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21,297</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22,615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17,091</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38,350</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43,324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34,122</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ind w:left="540"/>
              <w:spacing w:after="0"/>
              <w:rPr>
                <w:sz w:val="20"/>
                <w:szCs w:val="20"/>
                <w:color w:val="auto"/>
              </w:rPr>
            </w:pPr>
            <w:r>
              <w:rPr>
                <w:rFonts w:ascii="Courier New" w:cs="Courier New" w:eastAsia="Courier New" w:hAnsi="Courier New"/>
                <w:sz w:val="15"/>
                <w:szCs w:val="15"/>
                <w:color w:val="auto"/>
              </w:rPr>
              <w:t>OPERATING LOSS</w:t>
            </w:r>
          </w:p>
        </w:tc>
        <w:tc>
          <w:tcPr>
            <w:tcW w:w="11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(140,705)</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(104,351)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(49,343)</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(29,745)</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(9,826)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(2,104)</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32,682</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1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$(137,768)</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(51,402)</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LOSS PER SHARE</w:t>
            </w:r>
          </w:p>
        </w:tc>
        <w:tc>
          <w:tcPr>
            <w:tcW w:w="118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   (2.13)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$(137,768)</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$(114,114)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(51,402)</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OUTSTANDING - IN THOUSANDS</w:t>
            </w: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64,717</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47,608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31,523</w:t>
            </w:r>
          </w:p>
        </w:tc>
      </w:tr>
      <w:tr>
        <w:trPr>
          <w:trHeight w:val="168"/>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95" w:name="page96"/>
    <w:bookmarkEnd w:id="95"/>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STATEMENTS OF CHANGES IN SHAREHOLDERS' EQUITY</w:t>
      </w:r>
    </w:p>
    <w:tbl>
      <w:tblPr>
        <w:tblLayout w:type="fixed"/>
        <w:tblInd w:w="0" w:type="dxa"/>
        <w:tblCellMar>
          <w:top w:w="0" w:type="dxa"/>
          <w:left w:w="0" w:type="dxa"/>
          <w:bottom w:w="0" w:type="dxa"/>
          <w:right w:w="0" w:type="dxa"/>
        </w:tblCellMar>
      </w:tblPr>
      <w:tr>
        <w:trPr>
          <w:trHeight w:val="169"/>
        </w:trPr>
        <w:tc>
          <w:tcPr>
            <w:tcW w:w="630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w w:val="99"/>
              </w:rPr>
              <w:t>(DOLLARS IN THOUSANDS, EXCEPT SHARE DATA AND PER SHARE DATA)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PROCEEDS</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ORDINARY SHARES</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740" w:type="dxa"/>
            <w:vAlign w:val="bottom"/>
          </w:tcPr>
          <w:p>
            <w:pPr>
              <w:spacing w:after="0"/>
              <w:rPr>
                <w:sz w:val="14"/>
                <w:szCs w:val="14"/>
                <w:color w:val="auto"/>
              </w:rPr>
            </w:pPr>
          </w:p>
        </w:tc>
        <w:tc>
          <w:tcPr>
            <w:tcW w:w="252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PAID-IN</w:t>
            </w:r>
          </w:p>
        </w:tc>
        <w:tc>
          <w:tcPr>
            <w:tcW w:w="180" w:type="dxa"/>
            <w:vAlign w:val="bottom"/>
          </w:tcPr>
          <w:p>
            <w:pPr>
              <w:spacing w:after="0"/>
              <w:rPr>
                <w:sz w:val="14"/>
                <w:szCs w:val="14"/>
                <w:color w:val="auto"/>
              </w:rPr>
            </w:pP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ACCOUNT OF</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gridSpan w:val="3"/>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SHARE CAPITAL</w:t>
            </w: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BALANCE - JANUARY 1, 2002</w:t>
            </w:r>
          </w:p>
        </w:tc>
        <w:tc>
          <w:tcPr>
            <w:tcW w:w="1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26,297,102</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7,448</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1"/>
              </w:rPr>
              <w:t>307,865</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18,438,430</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3,846</w:t>
            </w:r>
          </w:p>
        </w:tc>
        <w:tc>
          <w:tcPr>
            <w:tcW w:w="280" w:type="dxa"/>
            <w:vAlign w:val="bottom"/>
          </w:tcPr>
          <w:p>
            <w:pPr>
              <w:spacing w:after="0"/>
              <w:rPr>
                <w:sz w:val="14"/>
                <w:szCs w:val="14"/>
                <w:color w:val="auto"/>
              </w:rPr>
            </w:pP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92,943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 DECEMBER 31, 2002</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44,735,532</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$ 11,294</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400,808</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 THE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 NOTE 13B(5)</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4,205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52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8,260,565</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1,856</w:t>
            </w:r>
          </w:p>
        </w:tc>
        <w:tc>
          <w:tcPr>
            <w:tcW w:w="280" w:type="dxa"/>
            <w:vAlign w:val="bottom"/>
          </w:tcPr>
          <w:p>
            <w:pPr>
              <w:spacing w:after="0"/>
              <w:rPr>
                <w:sz w:val="24"/>
                <w:szCs w:val="24"/>
                <w:color w:val="auto"/>
              </w:rPr>
            </w:pP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22,723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PROCEEDS ON ACCOUNT OF SHARE CAPITAL</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 DECEMBER 31, 2003</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52,996,097</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$ 13,150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427,881</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52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2,463,949</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553</w:t>
            </w:r>
          </w:p>
        </w:tc>
        <w:tc>
          <w:tcPr>
            <w:tcW w:w="280" w:type="dxa"/>
            <w:vAlign w:val="bottom"/>
          </w:tcPr>
          <w:p>
            <w:pPr>
              <w:spacing w:after="0"/>
              <w:rPr>
                <w:sz w:val="24"/>
                <w:szCs w:val="24"/>
                <w:color w:val="auto"/>
              </w:rPr>
            </w:pP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16,414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 -</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11,444,500</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2,550</w:t>
            </w:r>
          </w:p>
        </w:tc>
        <w:tc>
          <w:tcPr>
            <w:tcW w:w="280" w:type="dxa"/>
            <w:vAlign w:val="bottom"/>
          </w:tcPr>
          <w:p>
            <w:pPr>
              <w:spacing w:after="0"/>
              <w:rPr>
                <w:sz w:val="14"/>
                <w:szCs w:val="14"/>
                <w:color w:val="auto"/>
              </w:rPr>
            </w:pP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72,536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52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95,250</w:t>
            </w:r>
          </w:p>
        </w:tc>
        <w:tc>
          <w:tcPr>
            <w:tcW w:w="2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66,999,796</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$ 16,274</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517,476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4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RECEIVABLES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UNEARNED</w:t>
            </w:r>
          </w:p>
        </w:tc>
        <w:tc>
          <w:tcPr>
            <w:tcW w:w="12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ACCUMULATED</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TREASURY</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DEFICIT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BALANCE - JANUARY 1, 2002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(53,241)</w:t>
            </w:r>
          </w:p>
        </w:tc>
        <w:tc>
          <w:tcPr>
            <w:tcW w:w="300" w:type="dxa"/>
            <w:vAlign w:val="bottom"/>
          </w:tcPr>
          <w:p>
            <w:pPr>
              <w:jc w:val="center"/>
              <w:ind w:left="4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252,805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96,789</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5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(51,402)</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BALANCE - DECEMBER 31, 2002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(104,643)</w:t>
            </w:r>
          </w:p>
        </w:tc>
        <w:tc>
          <w:tcPr>
            <w:tcW w:w="300" w:type="dxa"/>
            <w:vAlign w:val="bottom"/>
          </w:tcPr>
          <w:p>
            <w:pPr>
              <w:jc w:val="center"/>
              <w:ind w:left="4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298,334</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 THE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FACILITY AGREEMENT WITH THE BANKS, NOTE 13B(5)</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24,579</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PROCEEDS ON ACCOUNT OF SHARE CAPITAL</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5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(114,261)</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(114,261)</w:t>
            </w:r>
          </w:p>
        </w:tc>
      </w:tr>
      <w:tr>
        <w:trPr>
          <w:trHeight w:val="168"/>
        </w:trPr>
        <w:tc>
          <w:tcPr>
            <w:tcW w:w="4740" w:type="dxa"/>
            <w:vAlign w:val="bottom"/>
          </w:tcPr>
          <w:p>
            <w:pPr>
              <w:spacing w:after="0"/>
              <w:rPr>
                <w:sz w:val="14"/>
                <w:szCs w:val="14"/>
                <w:color w:val="auto"/>
              </w:rPr>
            </w:pP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BALANCE - DECEMBER 31, 2003</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(218,904)</w:t>
            </w:r>
          </w:p>
        </w:tc>
        <w:tc>
          <w:tcPr>
            <w:tcW w:w="300" w:type="dxa"/>
            <w:vAlign w:val="bottom"/>
          </w:tcPr>
          <w:p>
            <w:pPr>
              <w:jc w:val="center"/>
              <w:ind w:left="4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 -</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(137,768)</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(137,768)</w:t>
            </w:r>
          </w:p>
        </w:tc>
      </w:tr>
    </w:tbl>
    <w:p>
      <w:pPr>
        <w:sectPr>
          <w:pgSz w:w="11900" w:h="16838" w:orient="portrait"/>
          <w:cols w:equalWidth="0" w:num="1">
            <w:col w:w="10239"/>
          </w:cols>
          <w:pgMar w:left="220" w:top="617" w:right="1440"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 -</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(26)</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(356,672)</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167,980</w:t>
            </w:r>
          </w:p>
        </w:tc>
      </w:tr>
      <w:tr>
        <w:trPr>
          <w:trHeight w:val="168"/>
        </w:trPr>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SEE NOTES TO</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F-4</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97" w:name="page98"/>
    <w:bookmarkEnd w:id="9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62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620" w:type="dxa"/>
            <w:vAlign w:val="bottom"/>
          </w:tcPr>
          <w:p>
            <w:pPr>
              <w:spacing w:after="0"/>
              <w:rPr>
                <w:sz w:val="14"/>
                <w:szCs w:val="14"/>
                <w:color w:val="auto"/>
              </w:rPr>
            </w:pPr>
          </w:p>
        </w:tc>
        <w:tc>
          <w:tcPr>
            <w:tcW w:w="33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LOSS FOR THE YEAR</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(137,768)</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(114,261)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YEAR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121,067</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54,611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18,821</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(32,682)</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6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TRADE ACCOUNTS RECEIVABLE</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(7,655)</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(4,135)</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DECREASE (INCREASE) IN OTHER RECEIVABLES AND OTHER CURRENT ASSETS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(1,305)</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(6,287)</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(6,221)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TRADE ACCOUNTS PAYABLE</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4,686</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2,764</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9,344</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2,822</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(54,284)</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(66,779)</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(28,403)</w:t>
            </w:r>
          </w:p>
        </w:tc>
      </w:tr>
      <w:tr>
        <w:trPr>
          <w:trHeight w:val="336"/>
        </w:trPr>
        <w:tc>
          <w:tcPr>
            <w:tcW w:w="6620" w:type="dxa"/>
            <w:vAlign w:val="bottom"/>
          </w:tcPr>
          <w:p>
            <w:pPr>
              <w:ind w:left="800"/>
              <w:spacing w:after="0"/>
              <w:rPr>
                <w:sz w:val="20"/>
                <w:szCs w:val="20"/>
                <w:color w:val="auto"/>
              </w:rPr>
            </w:pPr>
            <w:r>
              <w:rPr>
                <w:rFonts w:ascii="Courier New" w:cs="Courier New" w:eastAsia="Courier New" w:hAnsi="Courier New"/>
                <w:sz w:val="15"/>
                <w:szCs w:val="15"/>
                <w:color w:val="auto"/>
              </w:rPr>
              <w:t>INCREASE (DECREASE) IN LONG-TERM LIABILITY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19,384</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29,336</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(34,900)</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(67,678)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DESIGNATED CASH, SHORT-TERM AND LONG-TERM</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INTEREST-BEARING DEPOSITS, NET</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(10,037)</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14,341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(59,683)</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(154,975)</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(179,310)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(205,099)</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32,636</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33,811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40,481</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RELATED TO SALE AND DISPOSAL OF PROPERTY AND EQUIPMENT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2,626</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(22,098)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38,677</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(91,775)</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(142,534)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(258,977)</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ISSUANCE OF SHARES, NET</w:t>
            </w:r>
          </w:p>
        </w:tc>
        <w:tc>
          <w:tcPr>
            <w:tcW w:w="2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75,225</w:t>
            </w:r>
          </w:p>
        </w:tc>
        <w:tc>
          <w:tcPr>
            <w:tcW w:w="22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24,375</w:t>
            </w:r>
          </w:p>
        </w:tc>
        <w:tc>
          <w:tcPr>
            <w:tcW w:w="1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96,751</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66,000</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SHORT-TERM DEBT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 NET IN CONNECTION WITH</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RE-BORROWING, NOTE 12A(6)</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187,000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SECURITIES, NET</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21,540</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141,891</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214,803</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246,291</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15,216</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(11,753)</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YEAR</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12,448</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19,610</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 - END OF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12,448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7,857</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17,160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49,419</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YEAR FOR CAPITALIZED AND EXPENSED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15,674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11,594</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 INCOME TAXES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662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617" w:right="1440" w:bottom="12" w:gutter="0" w:footer="0" w:header="0"/>
        </w:sectPr>
      </w:pPr>
    </w:p>
    <w:bookmarkStart w:id="98" w:name="page99"/>
    <w:bookmarkEnd w:id="9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BUSINESS AND GENERAL</w:t>
      </w:r>
    </w:p>
    <w:p>
      <w:pPr>
        <w:spacing w:after="0" w:line="166" w:lineRule="exact"/>
        <w:rPr>
          <w:sz w:val="20"/>
          <w:szCs w:val="20"/>
          <w:color w:val="auto"/>
        </w:rPr>
      </w:pPr>
    </w:p>
    <w:p>
      <w:pPr>
        <w:ind w:left="1320" w:hanging="523"/>
        <w:spacing w:after="0"/>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in 0.18 microns and below at its 200-millimeter fabrication facility ("Fab 2"). As a foundry, the Company manufactures wafers using its advanced technological capabilities and the proprietary integrated circuit designs of its customers.</w:t>
      </w:r>
    </w:p>
    <w:p>
      <w:pPr>
        <w:spacing w:after="0" w:line="165"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73" w:lineRule="exact"/>
        <w:rPr>
          <w:rFonts w:ascii="Courier New" w:cs="Courier New" w:eastAsia="Courier New" w:hAnsi="Courier New"/>
          <w:sz w:val="15"/>
          <w:szCs w:val="15"/>
          <w:color w:val="auto"/>
        </w:rPr>
      </w:pPr>
    </w:p>
    <w:p>
      <w:pPr>
        <w:ind w:left="132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Ordinary Shares are traded on the Nasdaq National Market and on the Tel-Aviv Stock Exchange.</w:t>
      </w:r>
    </w:p>
    <w:p>
      <w:pPr>
        <w:spacing w:after="0" w:line="173"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AND OPERATIONS OF NEW FABRICATION FACILITY (FAB 2)</w:t>
      </w:r>
    </w:p>
    <w:p>
      <w:pPr>
        <w:spacing w:after="0" w:line="177" w:lineRule="exact"/>
        <w:rPr>
          <w:rFonts w:ascii="Courier New" w:cs="Courier New" w:eastAsia="Courier New" w:hAnsi="Courier New"/>
          <w:sz w:val="14"/>
          <w:szCs w:val="14"/>
          <w:color w:val="auto"/>
        </w:rPr>
      </w:pPr>
    </w:p>
    <w:p>
      <w:pPr>
        <w:ind w:left="132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5" w:lineRule="exact"/>
        <w:rPr>
          <w:rFonts w:ascii="Courier New" w:cs="Courier New" w:eastAsia="Courier New" w:hAnsi="Courier New"/>
          <w:sz w:val="14"/>
          <w:szCs w:val="14"/>
          <w:color w:val="auto"/>
        </w:rPr>
      </w:pPr>
    </w:p>
    <w:p>
      <w:pPr>
        <w:ind w:left="132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financial statements, have provided an aggregate of $1,267,000 of financing for Fab 2.</w:t>
      </w:r>
    </w:p>
    <w:p>
      <w:pPr>
        <w:spacing w:after="0" w:line="173" w:lineRule="exact"/>
        <w:rPr>
          <w:rFonts w:ascii="Courier New" w:cs="Courier New" w:eastAsia="Courier New" w:hAnsi="Courier New"/>
          <w:sz w:val="14"/>
          <w:szCs w:val="14"/>
          <w:color w:val="auto"/>
        </w:rPr>
      </w:pPr>
    </w:p>
    <w:p>
      <w:pPr>
        <w:ind w:left="1320"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Fab 2 project is a complex undertaking, which entails substantial risks and uncertainties. For further details concerning the Fab 2 project and related agreements, some of which were amended several times, see Note 12A. For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Note 12A.</w:t>
      </w:r>
    </w:p>
    <w:p>
      <w:pPr>
        <w:spacing w:after="0" w:line="164" w:lineRule="exact"/>
        <w:rPr>
          <w:rFonts w:ascii="Courier New" w:cs="Courier New" w:eastAsia="Courier New" w:hAnsi="Courier New"/>
          <w:sz w:val="14"/>
          <w:szCs w:val="14"/>
          <w:color w:val="auto"/>
        </w:rPr>
      </w:pPr>
    </w:p>
    <w:p>
      <w:pPr>
        <w:ind w:left="132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Company began to depreciate and amortize Fab 2 assets, and to expense most of the ongoing direct costs related to the construction and equipping of Fab 2 and to the transfer of the Fab 2 technology that had been previously capitalized. For further details concerning the depreciation and amortization of Fab 2 assets, see Note 6A.</w:t>
      </w:r>
    </w:p>
    <w:p>
      <w:pPr>
        <w:spacing w:after="0" w:line="172" w:lineRule="exact"/>
        <w:rPr>
          <w:rFonts w:ascii="Courier New" w:cs="Courier New" w:eastAsia="Courier New" w:hAnsi="Courier New"/>
          <w:sz w:val="14"/>
          <w:szCs w:val="14"/>
          <w:color w:val="auto"/>
        </w:rPr>
      </w:pPr>
    </w:p>
    <w:p>
      <w:pPr>
        <w:ind w:left="1320" w:hanging="523"/>
        <w:spacing w:after="0"/>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PREPARATION OF FINANCIAL STATEMENTS</w:t>
      </w:r>
    </w:p>
    <w:p>
      <w:pPr>
        <w:spacing w:after="0" w:line="173"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99" w:name="page100"/>
    <w:bookmarkEnd w:id="9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3" w:lineRule="exact"/>
        <w:rPr>
          <w:sz w:val="20"/>
          <w:szCs w:val="20"/>
          <w:color w:val="auto"/>
        </w:rPr>
      </w:pPr>
    </w:p>
    <w:p>
      <w:pPr>
        <w:ind w:left="800" w:right="3499"/>
        <w:spacing w:after="0" w:line="256" w:lineRule="auto"/>
        <w:rPr>
          <w:sz w:val="20"/>
          <w:szCs w:val="20"/>
          <w:color w:val="auto"/>
        </w:rPr>
      </w:pPr>
      <w:r>
        <w:rPr>
          <w:rFonts w:ascii="Courier New" w:cs="Courier New" w:eastAsia="Courier New" w:hAnsi="Courier New"/>
          <w:sz w:val="14"/>
          <w:szCs w:val="14"/>
          <w:color w:val="auto"/>
        </w:rPr>
        <w:t>The Company's consolidated financial statements are presented in accordance with generally accepted accounting principles ("GAAP") in Israel. See Note 19 for the reconciliation of material differences between GAAP in Israel and in the United States of America.</w:t>
      </w:r>
    </w:p>
    <w:p>
      <w:pPr>
        <w:spacing w:after="0" w:line="158" w:lineRule="exact"/>
        <w:rPr>
          <w:sz w:val="20"/>
          <w:szCs w:val="20"/>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2"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59"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2" w:lineRule="exact"/>
        <w:rPr>
          <w:rFonts w:ascii="Courier New" w:cs="Courier New" w:eastAsia="Courier New" w:hAnsi="Courier New"/>
          <w:sz w:val="15"/>
          <w:szCs w:val="15"/>
          <w:color w:val="auto"/>
        </w:rPr>
      </w:pPr>
    </w:p>
    <w:p>
      <w:pPr>
        <w:ind w:left="132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Cash and cash equivalents consist of deposits in banks and short-term investments (primarily time deposits and certificates of deposit) with original maturities of three months or less.</w:t>
      </w:r>
    </w:p>
    <w:p>
      <w:pPr>
        <w:spacing w:after="0" w:line="154"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 FOR DOUBTFUL ACCOUNTS</w:t>
      </w:r>
    </w:p>
    <w:p>
      <w:pPr>
        <w:spacing w:after="0" w:line="172"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allowance for doubtful accounts is computed on the specific identification basis for accounts whose collectibility, in management's estimation, is uncertain.</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for raw materials, spare parts and supplies on the basis of weighted moving average cost per unit. Cost is determined for work in process and finished goods on the basis of actual production costs.</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w:t>
      </w:r>
    </w:p>
    <w:p>
      <w:pPr>
        <w:spacing w:after="0" w:line="172" w:lineRule="exact"/>
        <w:rPr>
          <w:rFonts w:ascii="Courier New" w:cs="Courier New" w:eastAsia="Courier New" w:hAnsi="Courier New"/>
          <w:sz w:val="15"/>
          <w:szCs w:val="15"/>
          <w:color w:val="auto"/>
        </w:rPr>
      </w:pPr>
    </w:p>
    <w:p>
      <w:pPr>
        <w:ind w:left="132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 in other entities, over whose operating and financial policies the Company does not have the ability to exercise significant influence, are presented at cost.</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property and equipment. Allocation, when appropriate, of capitalizable incremental direct costs is based on management's estimates and methodologies including time sheet inputs.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100" w:name="page101"/>
    <w:bookmarkEnd w:id="10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1320" w:hanging="523"/>
        <w:spacing w:after="0"/>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w:t>
      </w:r>
    </w:p>
    <w:p>
      <w:pPr>
        <w:spacing w:after="0" w:line="172" w:lineRule="exact"/>
        <w:rPr>
          <w:rFonts w:ascii="Courier New" w:cs="Courier New" w:eastAsia="Courier New" w:hAnsi="Courier New"/>
          <w:sz w:val="15"/>
          <w:szCs w:val="15"/>
          <w:color w:val="auto"/>
        </w:rPr>
      </w:pPr>
    </w:p>
    <w:p>
      <w:pPr>
        <w:ind w:left="176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74" w:lineRule="exact"/>
        <w:rPr>
          <w:rFonts w:ascii="Courier New" w:cs="Courier New" w:eastAsia="Courier New" w:hAnsi="Courier New"/>
          <w:sz w:val="15"/>
          <w:szCs w:val="15"/>
          <w:color w:val="auto"/>
        </w:rPr>
      </w:pPr>
    </w:p>
    <w:p>
      <w:pPr>
        <w:ind w:left="176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is calculated based on the straight-line method over the estimated economic lives of the assets or terms of the related leases,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14-25 years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41" w:lineRule="exact"/>
        <w:rPr>
          <w:sz w:val="20"/>
          <w:szCs w:val="20"/>
          <w:color w:val="auto"/>
        </w:rPr>
      </w:pPr>
    </w:p>
    <w:p>
      <w:pPr>
        <w:ind w:left="1760" w:right="3499" w:hanging="438"/>
        <w:spacing w:after="0" w:line="235" w:lineRule="auto"/>
        <w:tabs>
          <w:tab w:leader="none" w:pos="17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P below.</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Fab 2 technologies presented in other assets includes the technology process cost, internal incremental direct costs, mainly payroll-related costs of employees designated for integrating the technologies in the Company's facilities, and incremental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its intended use, and is based on the straight-line method over a four-year period.</w:t>
      </w:r>
    </w:p>
    <w:p>
      <w:pPr>
        <w:spacing w:after="0" w:line="164"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financing charges included in other assets in relation to funding the establishment of Fab 2, are being amortized over the lives of the borrowings based on the repayment schedule of such funding (in general, 6 to 8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financing expenses, net.</w:t>
      </w:r>
    </w:p>
    <w:p>
      <w:pPr>
        <w:spacing w:after="0" w:line="180" w:lineRule="exact"/>
        <w:rPr>
          <w:rFonts w:ascii="Courier New" w:cs="Courier New" w:eastAsia="Courier New" w:hAnsi="Courier New"/>
          <w:sz w:val="15"/>
          <w:szCs w:val="15"/>
          <w:color w:val="auto"/>
        </w:rPr>
      </w:pPr>
    </w:p>
    <w:p>
      <w:pPr>
        <w:ind w:left="1320"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Impairment examinations and recognition are performed and determined based on the accounting policy outlined in P below.</w:t>
      </w:r>
    </w:p>
    <w:p>
      <w:pPr>
        <w:spacing w:after="0" w:line="153"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72" w:lineRule="exact"/>
        <w:rPr>
          <w:rFonts w:ascii="Courier New" w:cs="Courier New" w:eastAsia="Courier New" w:hAnsi="Courier New"/>
          <w:sz w:val="15"/>
          <w:szCs w:val="15"/>
          <w:color w:val="auto"/>
        </w:rPr>
      </w:pPr>
    </w:p>
    <w:p>
      <w:pPr>
        <w:ind w:left="13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 the conversion of which is not anticipated as of the balance-sheet date, are presented as long-term liabilities based on their terms as of such date, net of discount. See Note 19E for disclosure of convertible debentures in accordance with U.S. GAAP.</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440" w:gutter="0" w:footer="0" w:header="0"/>
        </w:sectPr>
      </w:pPr>
    </w:p>
    <w:bookmarkStart w:id="101" w:name="page102"/>
    <w:bookmarkEnd w:id="10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(under applicable law at the time the financial statements are prepared) to be in effect when the deferred taxes are expected to be paid or realized.</w:t>
      </w:r>
    </w:p>
    <w:p>
      <w:pPr>
        <w:spacing w:after="0" w:line="166"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assets will not be realized.</w:t>
      </w:r>
    </w:p>
    <w:p>
      <w:pPr>
        <w:spacing w:after="0" w:line="15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5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69"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ORDINARY SHARE</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loss per ordinary share is calculated based on the weighted average number of ordinary shares outstanding during each year presented. The calculation includes retroactive effect from the beginning of each year of shares issued upon exercise of options and warrants ("Exercise") and upon conversion of convertible debentures ("Conversion"), outstanding at the beginning of each year, and giving effect to shares issueable from probable Exercise and from probable Conversion. Basic loss per ordinary share is calculated based on loss for the period with the inclusion of imputed interest income on the exercise price of options and warrants exercised or whose Exercise is probable, and of financing expenses in relation to converted debentures or on probable Conversion, as required under Israeli GAAP. See Note 19J for disclosure of loss per share data in accordance with U.S. GAAP.</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1440" w:gutter="0" w:footer="0" w:header="0"/>
        </w:sectPr>
      </w:pPr>
    </w:p>
    <w:bookmarkStart w:id="102" w:name="page103"/>
    <w:bookmarkEnd w:id="10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1320" w:hanging="523"/>
        <w:spacing w:after="0"/>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agreement expiration, are included in financing income (expense), net.</w:t>
      </w:r>
    </w:p>
    <w:p>
      <w:pPr>
        <w:spacing w:after="0" w:line="178" w:lineRule="exact"/>
        <w:rPr>
          <w:rFonts w:ascii="Courier New" w:cs="Courier New" w:eastAsia="Courier New" w:hAnsi="Courier New"/>
          <w:sz w:val="15"/>
          <w:szCs w:val="15"/>
          <w:color w:val="auto"/>
        </w:rPr>
      </w:pPr>
    </w:p>
    <w:p>
      <w:pPr>
        <w:ind w:left="13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74" w:lineRule="exact"/>
        <w:rPr>
          <w:rFonts w:ascii="Courier New" w:cs="Courier New" w:eastAsia="Courier New" w:hAnsi="Courier New"/>
          <w:sz w:val="15"/>
          <w:szCs w:val="15"/>
          <w:color w:val="auto"/>
        </w:rPr>
      </w:pPr>
    </w:p>
    <w:p>
      <w:pPr>
        <w:ind w:left="132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19C for disclosure of the derivative financial instruments in accordance with U.S. GAAP.</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CURRENCY AND TRANSACTION GAINS AND LOSSES</w:t>
      </w:r>
    </w:p>
    <w:p>
      <w:pPr>
        <w:spacing w:after="0" w:line="172" w:lineRule="exact"/>
        <w:rPr>
          <w:rFonts w:ascii="Courier New" w:cs="Courier New" w:eastAsia="Courier New" w:hAnsi="Courier New"/>
          <w:sz w:val="15"/>
          <w:szCs w:val="15"/>
          <w:color w:val="auto"/>
        </w:rPr>
      </w:pPr>
    </w:p>
    <w:p>
      <w:pPr>
        <w:ind w:left="132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expenses, net in 2004, 2003 and 2002 include net foreign currency transaction losses of $760, $232 and $1,509, respectively.</w:t>
      </w:r>
    </w:p>
    <w:p>
      <w:pPr>
        <w:spacing w:after="0" w:line="168"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2"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13B(6) for pro forma disclosures required by SFAS 123 and SFAS 148.</w:t>
      </w:r>
    </w:p>
    <w:p>
      <w:pPr>
        <w:spacing w:after="0" w:line="16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G above. The award cost of warrants granted in connection with the construction of Fab 2, is recorded as depreciation expense over the life of the prepaid perpetual land lease and buildings. The award cost of warrants granted to consultants and a related party in connection with equity transactions is offset against paid-in-capital.</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1440" w:gutter="0" w:footer="0" w:header="0"/>
        </w:sectPr>
      </w:pPr>
    </w:p>
    <w:bookmarkStart w:id="103" w:name="page104"/>
    <w:bookmarkEnd w:id="10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1320" w:hanging="523"/>
        <w:spacing w:after="0"/>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151 - INVENTORY COSTS, AN AMENDMENT OF ARB NO. 43, CHAPTER 4 - In November 2004 the FASB issued SFAS No. 151, "Inventory Costs, an Amendment of ARB No. 43, Chapter 4".</w:t>
      </w:r>
    </w:p>
    <w:p>
      <w:pPr>
        <w:spacing w:after="0" w:line="1" w:lineRule="exact"/>
        <w:rPr>
          <w:rFonts w:ascii="Courier New" w:cs="Courier New" w:eastAsia="Courier New" w:hAnsi="Courier New"/>
          <w:sz w:val="14"/>
          <w:szCs w:val="14"/>
          <w:color w:val="auto"/>
        </w:rPr>
      </w:pP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The Company is currently assessing the impact of the adoption of this Standard on the Company's financial position and results of operations under U.S. GAAP.</w:t>
      </w:r>
    </w:p>
    <w:p>
      <w:pPr>
        <w:spacing w:after="0" w:line="332" w:lineRule="exact"/>
        <w:rPr>
          <w:rFonts w:ascii="Courier New" w:cs="Courier New" w:eastAsia="Courier New" w:hAnsi="Courier New"/>
          <w:sz w:val="14"/>
          <w:szCs w:val="14"/>
          <w:color w:val="auto"/>
        </w:rPr>
      </w:pPr>
    </w:p>
    <w:p>
      <w:pPr>
        <w:ind w:left="1760" w:right="3319" w:hanging="438"/>
        <w:spacing w:after="0" w:line="255" w:lineRule="auto"/>
        <w:tabs>
          <w:tab w:leader="none" w:pos="17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 SFAS 123(R) will be implemented in the U.S. GAAP reconciliation Note. According to Israeli GAAP, accounting for costs associated with share-based payments is not required.</w:t>
      </w:r>
    </w:p>
    <w:p>
      <w:pPr>
        <w:spacing w:after="0" w:line="165" w:lineRule="exact"/>
        <w:rPr>
          <w:rFonts w:ascii="Courier New" w:cs="Courier New" w:eastAsia="Courier New" w:hAnsi="Courier New"/>
          <w:sz w:val="14"/>
          <w:szCs w:val="14"/>
          <w:color w:val="auto"/>
        </w:rPr>
      </w:pPr>
    </w:p>
    <w:p>
      <w:pPr>
        <w:ind w:left="17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77" w:lineRule="exact"/>
        <w:rPr>
          <w:rFonts w:ascii="Courier New" w:cs="Courier New" w:eastAsia="Courier New" w:hAnsi="Courier New"/>
          <w:sz w:val="14"/>
          <w:szCs w:val="14"/>
          <w:color w:val="auto"/>
        </w:rPr>
      </w:pPr>
    </w:p>
    <w:p>
      <w:pPr>
        <w:ind w:left="1760"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SFAS 123(R) eliminates the alternative to use APB 25's intrinsic value method of accounting that was provided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104" w:name="page105"/>
    <w:bookmarkEnd w:id="10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1320" w:hanging="523"/>
        <w:spacing w:after="0"/>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123 (REVISED 2004) "SHARE BASED PAYMENTS" (cont.)</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165"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provisions of SFAS 123(R) apply to all awards to be granted by the Company after June 30, 2005 and to awards modified, repurchased, or cancelled after that date. When initially applying the provisions of SFAS 123(R), in the third quarter of 2005, the Company will be required to elect between using either the "modified prospective method" or the "modified retrospective method". Under the modified prospective method, the Company is required to recognize compensation cost for all awards granted after the adoption of SFAS 123(R) and for the unvested portion of previously granted awards that are outstanding on that date. Under the modified retrospective method, the Company is required to restate its previously issued financial statements to recognize the amounts previously calculated and reported on a pro forma basis, as if the original provisions of SFAS 123 had been adopted. Under both methods, it is permitted to use either a straight line or an accelerated method to amortize the cost as an expense for awards with graded vesting.</w:t>
      </w:r>
    </w:p>
    <w:p>
      <w:pPr>
        <w:spacing w:after="0" w:line="174"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has recently commenced identifying the potential future impact of applying the provisions of SFAS 123(R), including each of its proposed transition methods, yet is currently unable to fully quantify the effect of this Standard on the Company's future financial position and results of operations in accordance with U.S. GAAP. Nonetheless, it is expected that the adoption of SFAS 123(R) will increase the stock-based-award expenses the Company is to record in the future in comparison to the expenses recorded under the guidance currently applied by the Company.</w:t>
      </w:r>
    </w:p>
    <w:p>
      <w:pPr>
        <w:spacing w:after="0" w:line="180" w:lineRule="exact"/>
        <w:rPr>
          <w:rFonts w:ascii="Courier New" w:cs="Courier New" w:eastAsia="Courier New" w:hAnsi="Courier New"/>
          <w:sz w:val="15"/>
          <w:szCs w:val="15"/>
          <w:color w:val="auto"/>
        </w:rPr>
      </w:pPr>
    </w:p>
    <w:p>
      <w:pPr>
        <w:ind w:left="1760" w:right="3239" w:hanging="438"/>
        <w:spacing w:after="0" w:line="254" w:lineRule="auto"/>
        <w:tabs>
          <w:tab w:leader="none" w:pos="17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date this Statement is issued. Retroactive application is not permitted. The Company is assessing the impact of the adoption of this Standard, and currently estimates that its adoption in not expected to have a material effect on the Company's financial position and results of operations.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105" w:name="page106"/>
    <w:bookmarkEnd w:id="10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3" w:lineRule="exact"/>
        <w:rPr>
          <w:sz w:val="20"/>
          <w:szCs w:val="20"/>
          <w:color w:val="auto"/>
        </w:rPr>
      </w:pPr>
    </w:p>
    <w:p>
      <w:pPr>
        <w:ind w:left="1320" w:right="3839" w:hanging="523"/>
        <w:spacing w:after="0" w:line="234"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19 "TAXES ON INCOME" - In July 2004, the Israeli Accounting Standard Board published Accounting Standard No. 19 "Taxes on Income" (the "Standard"). The Standard established the guidelines for recognizing, measuring, presenting and disclosing taxes on income in the financial statements. The Standard is effective for financial statements relating to reporting periods commencing on, or after, January 1, 2005. The initial adoption of the Standard shall be accounted for by the cumulative effect of change in accounting method, for the beginning of the period in which the Standard is initially adopted. The adoption of the Standard is not expected to have a material effect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OTHER RECEIVABLES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w w:val="98"/>
              </w:rPr>
              <w:t>Other receivables consist of the following:</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464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Government of Israel - investment grants receivable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8,143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government agencies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11,365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NOTE 4 - INVENTORIES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Inventories consist of the following (*):</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464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9,260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5,736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10,085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25,669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46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399" w:hanging="430"/>
        <w:spacing w:after="0" w:line="234" w:lineRule="auto"/>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write-downs to net realizable value of $2,665 and $1,228 as of December 31, 2004 and 2003,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LONG-TERM INVESTMENT</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SAIFUN - Based on an agreement between the Company and Saifun Semiconductors Ltd. ("Saifun"), an Israeli company which designs and develops memory designs, the Company invested $6,000 in Saifun's share capital. In December 2004, the Company entered into a definitive agreement to sell all of its holdings in Saifun to a U.S. based private equity investor in consideration for $38,677. In December 2004, shareholders of Saifun exercised their right of first refusal, and accordingly purchased the shares from the Company for the said amount. The agreement provides that the Company may receive additional installments through August 2005, at an amount equal to 10% of the difference by which the price to be determined at a future IPO, exit or merger and acquisition transaction of Saifun, is greater than the price per share under the agreement ($14.00 per share). The net gain from the sale of Saifun's shares amounted to $32,377.</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106" w:name="page107"/>
    <w:bookmarkEnd w:id="10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NOTE 6 - PROPERTY AND EQUIPMENT, NET</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ind w:left="800"/>
              <w:spacing w:after="0"/>
              <w:rPr>
                <w:sz w:val="20"/>
                <w:szCs w:val="20"/>
                <w:color w:val="auto"/>
              </w:rPr>
            </w:pPr>
            <w:r>
              <w:rPr>
                <w:rFonts w:ascii="Courier New" w:cs="Courier New" w:eastAsia="Courier New" w:hAnsi="Courier New"/>
                <w:sz w:val="15"/>
                <w:szCs w:val="15"/>
                <w:color w:val="auto"/>
              </w:rPr>
              <w:t>A.</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COMPOSITION</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3"/>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Prepaid perpetual land lease and buildings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$ 235,632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$ 225,218</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688,691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555,989</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3,683</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927,312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784,890</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Prepaid perpetual land lease and buildings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33,960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20,698</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282,092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193,682</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2,098</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318,016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216,478</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$ 609,296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$ 568,412</w:t>
            </w:r>
          </w:p>
        </w:tc>
      </w:tr>
      <w:tr>
        <w:trPr>
          <w:trHeight w:val="168"/>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SUPPLEMENTAL DISCLOSURE RELATING TO COST OF PROPERTY AND</w:t>
      </w:r>
    </w:p>
    <w:p>
      <w:pPr>
        <w:ind w:left="1320"/>
        <w:spacing w:after="0" w:line="237" w:lineRule="auto"/>
        <w:rPr>
          <w:sz w:val="20"/>
          <w:szCs w:val="20"/>
          <w:color w:val="auto"/>
        </w:rPr>
      </w:pPr>
      <w:r>
        <w:rPr>
          <w:rFonts w:ascii="Courier New" w:cs="Courier New" w:eastAsia="Courier New" w:hAnsi="Courier New"/>
          <w:sz w:val="15"/>
          <w:szCs w:val="15"/>
          <w:color w:val="auto"/>
        </w:rPr>
        <w:t>EQUIPMENT:</w:t>
      </w:r>
    </w:p>
    <w:p>
      <w:pPr>
        <w:spacing w:after="0" w:line="173" w:lineRule="exact"/>
        <w:rPr>
          <w:sz w:val="20"/>
          <w:szCs w:val="20"/>
          <w:color w:val="auto"/>
        </w:rPr>
      </w:pPr>
    </w:p>
    <w:p>
      <w:pPr>
        <w:ind w:left="1760" w:right="3239" w:hanging="438"/>
        <w:spacing w:after="0" w:line="254" w:lineRule="auto"/>
        <w:tabs>
          <w:tab w:leader="none" w:pos="17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2004 and 2003, the cost of property and equipment included costs relating to Fab 2 in the amount of $701,982 and $560,304, respectively. Said amounts are net of investment grants of $158,830 and $126,226, respectively.</w:t>
      </w:r>
    </w:p>
    <w:p>
      <w:pPr>
        <w:spacing w:after="0" w:line="1" w:lineRule="exact"/>
        <w:rPr>
          <w:rFonts w:ascii="Courier New" w:cs="Courier New" w:eastAsia="Courier New" w:hAnsi="Courier New"/>
          <w:sz w:val="14"/>
          <w:szCs w:val="14"/>
          <w:color w:val="auto"/>
        </w:rPr>
      </w:pPr>
    </w:p>
    <w:p>
      <w:pPr>
        <w:ind w:left="176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Depreciation of Fab 2 assets commenced in the third quarter of 2003, in which the building and infrastructures of Fab 2 were substantially completed and became ready for their intended use.</w:t>
      </w:r>
    </w:p>
    <w:p>
      <w:pPr>
        <w:spacing w:after="0" w:line="175" w:lineRule="exact"/>
        <w:rPr>
          <w:rFonts w:ascii="Courier New" w:cs="Courier New" w:eastAsia="Courier New" w:hAnsi="Courier New"/>
          <w:sz w:val="14"/>
          <w:szCs w:val="14"/>
          <w:color w:val="auto"/>
        </w:rPr>
      </w:pPr>
    </w:p>
    <w:p>
      <w:pPr>
        <w:ind w:left="1760" w:right="3319" w:hanging="438"/>
        <w:spacing w:after="0" w:line="258" w:lineRule="auto"/>
        <w:tabs>
          <w:tab w:leader="none" w:pos="17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2004, the cost of buildings, machinery and equipment was reflected net of investment grants in the aggregate of $262,320 (as of December 31, 2003 - $232,187).</w:t>
      </w:r>
    </w:p>
    <w:p>
      <w:pPr>
        <w:spacing w:after="0" w:line="161" w:lineRule="exact"/>
        <w:rPr>
          <w:rFonts w:ascii="Courier New" w:cs="Courier New" w:eastAsia="Courier New" w:hAnsi="Courier New"/>
          <w:sz w:val="14"/>
          <w:szCs w:val="14"/>
          <w:color w:val="auto"/>
        </w:rPr>
      </w:pPr>
    </w:p>
    <w:p>
      <w:pPr>
        <w:ind w:left="1760" w:right="3239" w:hanging="438"/>
        <w:spacing w:after="0" w:line="235" w:lineRule="auto"/>
        <w:tabs>
          <w:tab w:leader="none" w:pos="176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2004 and 2003 includes capitalized interest costs in the aggregate of $18,480.</w:t>
      </w:r>
    </w:p>
    <w:p>
      <w:pPr>
        <w:spacing w:after="0" w:line="173"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Fab 2 operations, in the third quarter of 2003, the Company began to depreciate and amortize Fab 2 property and equipment and other assets, resulting in depreciation and amortization expenses in the cost of sales of $101,729 in 2004 and $37,302 in 2003.</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w:t>
      </w:r>
    </w:p>
    <w:p>
      <w:pPr>
        <w:spacing w:after="0" w:line="172"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65"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an investment program ("1996 program") for expansion of Fab 1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 As of December 31, 2004, the report has not yet received a final approval from the Investment Center.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440" w:gutter="0" w:footer="0" w:header="0"/>
        </w:sectPr>
      </w:pPr>
    </w:p>
    <w:bookmarkStart w:id="107" w:name="page108"/>
    <w:bookmarkEnd w:id="10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 (cont.)</w:t>
      </w:r>
    </w:p>
    <w:p>
      <w:pPr>
        <w:spacing w:after="0" w:line="166" w:lineRule="exact"/>
        <w:rPr>
          <w:sz w:val="20"/>
          <w:szCs w:val="20"/>
          <w:color w:val="auto"/>
        </w:rPr>
      </w:pPr>
    </w:p>
    <w:p>
      <w:pPr>
        <w:ind w:left="1320" w:hanging="523"/>
        <w:spacing w:after="0"/>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 (cont.)</w:t>
      </w:r>
    </w:p>
    <w:p>
      <w:pPr>
        <w:spacing w:after="0" w:line="172" w:lineRule="exact"/>
        <w:rPr>
          <w:rFonts w:ascii="Courier New" w:cs="Courier New" w:eastAsia="Courier New" w:hAnsi="Courier New"/>
          <w:sz w:val="15"/>
          <w:szCs w:val="15"/>
          <w:color w:val="auto"/>
        </w:rPr>
      </w:pPr>
    </w:p>
    <w:p>
      <w:pPr>
        <w:ind w:left="132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12A(8) with respect to the Fab 2 program approved by the Investment Center in December 2000.</w:t>
      </w:r>
    </w:p>
    <w:p>
      <w:pPr>
        <w:spacing w:after="0" w:line="173"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Entitlement to the above grants and other tax benefits is subject to various conditions stipulated by the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 See also Note 16A.</w:t>
      </w:r>
    </w:p>
    <w:p>
      <w:pPr>
        <w:spacing w:after="0" w:line="158"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liens see Note 12A(6).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OTHER ASSETS, NET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assets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3240" w:type="dxa"/>
            <w:vAlign w:val="bottom"/>
          </w:tcPr>
          <w:p>
            <w:pPr>
              <w:spacing w:after="0"/>
              <w:rPr>
                <w:sz w:val="14"/>
                <w:szCs w:val="14"/>
                <w:color w:val="auto"/>
              </w:rPr>
            </w:pPr>
          </w:p>
        </w:tc>
        <w:tc>
          <w:tcPr>
            <w:tcW w:w="2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Technologies - Note 12A(2)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90,747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90,747</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20,864</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3,661</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114,879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115,272</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 (*):</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Technologies</w:t>
            </w: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2,793</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3,049</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6,502</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$ 108,770</w:t>
            </w:r>
          </w:p>
        </w:tc>
      </w:tr>
      <w:tr>
        <w:trPr>
          <w:trHeight w:val="168"/>
        </w:trPr>
        <w:tc>
          <w:tcPr>
            <w:tcW w:w="32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amortization policy, see Note 2G.</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8 - OTHER CURRENT LIABILITIES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3820" w:type="dxa"/>
            <w:vAlign w:val="bottom"/>
          </w:tcPr>
          <w:p>
            <w:pPr>
              <w:spacing w:after="0"/>
              <w:rPr>
                <w:sz w:val="14"/>
                <w:szCs w:val="14"/>
                <w:color w:val="auto"/>
              </w:rPr>
            </w:pPr>
          </w:p>
        </w:tc>
        <w:tc>
          <w:tcPr>
            <w:tcW w:w="2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2004</w:t>
            </w:r>
          </w:p>
        </w:tc>
        <w:tc>
          <w:tcPr>
            <w:tcW w:w="32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Accrued salaries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3,579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Vacation accrual</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3,509</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 on convertible debentures</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1,208</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2,059</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ind w:left="3340"/>
              <w:spacing w:after="0"/>
              <w:rPr>
                <w:sz w:val="20"/>
                <w:szCs w:val="20"/>
                <w:color w:val="auto"/>
              </w:rPr>
            </w:pPr>
            <w:r>
              <w:rPr>
                <w:rFonts w:ascii="Courier New" w:cs="Courier New" w:eastAsia="Courier New" w:hAnsi="Courier New"/>
                <w:sz w:val="15"/>
                <w:szCs w:val="15"/>
                <w:color w:val="auto"/>
              </w:rPr>
              <w:t>F-15</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8" w:name="page109"/>
    <w:bookmarkEnd w:id="10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LONG-TERM DEBT</w:t>
      </w:r>
    </w:p>
    <w:p>
      <w:pPr>
        <w:spacing w:after="0" w:line="166" w:lineRule="exact"/>
        <w:rPr>
          <w:sz w:val="20"/>
          <w:szCs w:val="20"/>
          <w:color w:val="auto"/>
        </w:rPr>
      </w:pPr>
    </w:p>
    <w:p>
      <w:pPr>
        <w:ind w:left="1320" w:hanging="523"/>
        <w:spacing w:after="0"/>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1360" w:type="dxa"/>
            <w:vAlign w:val="bottom"/>
          </w:tcPr>
          <w:p>
            <w:pPr>
              <w:spacing w:after="0"/>
              <w:rPr>
                <w:sz w:val="14"/>
                <w:szCs w:val="14"/>
                <w:color w:val="auto"/>
              </w:rPr>
            </w:pP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Effective interest rate as of</w:t>
            </w:r>
          </w:p>
        </w:tc>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 2004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360" w:type="dxa"/>
            <w:vAlign w:val="bottom"/>
          </w:tcPr>
          <w:p>
            <w:pPr>
              <w:spacing w:after="0"/>
              <w:rPr>
                <w:sz w:val="14"/>
                <w:szCs w:val="14"/>
                <w:color w:val="auto"/>
              </w:rPr>
            </w:pP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In U.S. Dollar</w:t>
            </w:r>
          </w:p>
        </w:tc>
        <w:tc>
          <w:tcPr>
            <w:tcW w:w="28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6.78%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$ 172,000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 U.S. Dollar</w:t>
            </w:r>
          </w:p>
        </w:tc>
        <w:tc>
          <w:tcPr>
            <w:tcW w:w="280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5.30%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 U.S. Dollar</w:t>
            </w:r>
          </w:p>
        </w:tc>
        <w:tc>
          <w:tcPr>
            <w:tcW w:w="280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5.06%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219,000</w:t>
            </w:r>
          </w:p>
        </w:tc>
      </w:tr>
      <w:tr>
        <w:trPr>
          <w:trHeight w:val="168"/>
        </w:trPr>
        <w:tc>
          <w:tcPr>
            <w:tcW w:w="1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$ 497,000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$ 431,000</w:t>
            </w:r>
          </w:p>
        </w:tc>
      </w:tr>
      <w:tr>
        <w:trPr>
          <w:trHeight w:val="168"/>
        </w:trPr>
        <w:tc>
          <w:tcPr>
            <w:tcW w:w="1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left="1320" w:right="3239" w:hanging="523"/>
        <w:spacing w:after="0" w:line="236"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received under the Facility Agreement bear interest based on the three-month USD Libor rate plus 2.5%, as revised under the amendment to the Facility Agreement described in detail in Note 12A(6). Prior to the closing of this amendment in December 2003, the loans bore interest based on the three-month USD Libor rate plus 1.55%. The effective interest rate as of December 31, 2004 of loans, the amount of which as of such date was $292,000, includes the terms of collar agreements with knock-out and knock-in features described in Note 17A. Interest is payable at the end of each quarter.</w:t>
      </w:r>
    </w:p>
    <w:p>
      <w:pPr>
        <w:spacing w:after="0" w:line="179" w:lineRule="exact"/>
        <w:rPr>
          <w:rFonts w:ascii="Courier New" w:cs="Courier New" w:eastAsia="Courier New" w:hAnsi="Courier New"/>
          <w:sz w:val="15"/>
          <w:szCs w:val="15"/>
          <w:color w:val="auto"/>
        </w:rPr>
      </w:pPr>
    </w:p>
    <w:p>
      <w:pPr>
        <w:ind w:left="1320" w:right="3399" w:hanging="523"/>
        <w:spacing w:after="0" w:line="235"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information regarding the Facility Agreement, as amended, between the Company and the Banks for financing the construction and equipping of Fab 2, including re-borrowing terms, see Note 12A(6).</w:t>
      </w:r>
    </w:p>
    <w:p>
      <w:pPr>
        <w:spacing w:after="0" w:line="168"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SCHEDULE</w:t>
      </w:r>
    </w:p>
    <w:p>
      <w:pPr>
        <w:spacing w:after="0" w:line="172" w:lineRule="exact"/>
        <w:rPr>
          <w:rFonts w:ascii="Courier New" w:cs="Courier New" w:eastAsia="Courier New" w:hAnsi="Courier New"/>
          <w:sz w:val="15"/>
          <w:szCs w:val="15"/>
          <w:color w:val="auto"/>
        </w:rPr>
      </w:pPr>
    </w:p>
    <w:p>
      <w:pPr>
        <w:ind w:left="132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the long-term debt as of December 31, 2004 is repayable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2007</w:t>
            </w:r>
          </w:p>
        </w:tc>
        <w:tc>
          <w:tcPr>
            <w:tcW w:w="1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$ 151,667</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2008</w:t>
            </w:r>
          </w:p>
        </w:tc>
        <w:tc>
          <w:tcPr>
            <w:tcW w:w="15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165,667</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2009</w:t>
            </w:r>
          </w:p>
        </w:tc>
        <w:tc>
          <w:tcPr>
            <w:tcW w:w="1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179,666</w:t>
            </w:r>
          </w:p>
        </w:tc>
      </w:tr>
      <w:tr>
        <w:trPr>
          <w:trHeight w:val="168"/>
        </w:trPr>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2280" w:hanging="171"/>
        <w:spacing w:after="0" w:line="237" w:lineRule="auto"/>
        <w:tabs>
          <w:tab w:leader="none" w:pos="22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497,000</w:t>
      </w:r>
    </w:p>
    <w:p>
      <w:pPr>
        <w:ind w:left="2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with the Company's Banks restricts the Company's ability to place liens on its assets (other than to the State of Israel in respect of investment grants) without the prior consent of the Banks. Furthermore, the agreements contain certain restrictive financial covenants (see also Note 12A(6)). For further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Note 12A(6).</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1440" w:gutter="0" w:footer="0" w:header="0"/>
        </w:sectPr>
      </w:pPr>
    </w:p>
    <w:bookmarkStart w:id="109" w:name="page110"/>
    <w:bookmarkEnd w:id="10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CONVERTIBLE DEBENTURES</w:t>
      </w:r>
    </w:p>
    <w:p>
      <w:pPr>
        <w:spacing w:after="0" w:line="173" w:lineRule="exact"/>
        <w:rPr>
          <w:sz w:val="20"/>
          <w:szCs w:val="20"/>
          <w:color w:val="auto"/>
        </w:rPr>
      </w:pPr>
    </w:p>
    <w:p>
      <w:pPr>
        <w:ind w:left="880" w:right="3239"/>
        <w:spacing w:after="0" w:line="254" w:lineRule="auto"/>
        <w:rPr>
          <w:sz w:val="20"/>
          <w:szCs w:val="20"/>
          <w:color w:val="auto"/>
        </w:rPr>
      </w:pPr>
      <w:r>
        <w:rPr>
          <w:rFonts w:ascii="Courier New" w:cs="Courier New" w:eastAsia="Courier New" w:hAnsi="Courier New"/>
          <w:sz w:val="14"/>
          <w:szCs w:val="14"/>
          <w:color w:val="auto"/>
        </w:rPr>
        <w:t>In January 2002, the Company issued on the Tel-Aviv Stock Exchange, NIS 110,579,800 principal amount of convertible debentures, linked to the Israeli Consumer Price Index ("CPI") (adjusted to the CPI as of December 31, 2004 - NIS 116,821,927, $27,117). The debentures were issued at 96% of their par value, and bear annual interest at the rate of 4.7%, payable in January of each year commencing in January 2003. The principal amount is payable in four installments in January of each year between 2006 and 2009. The debentures may be converted until December 31, 2008 into Ordinary Shares, at a conversion rate of one Ordinary Share per each NIS 41.00 principal amount of the debentures, linked to the CPI (subject to customary adjustments) (adjusted to the CPI as of December 31, 2004 - NIS 43.31, $10.05).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13E, the effective rate of interest on the convertible debentures is 9.88%.</w:t>
      </w:r>
    </w:p>
    <w:p>
      <w:pPr>
        <w:spacing w:after="0" w:line="174"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7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Pursuant to a covenant in the Facility Agreement, the Company is to deposit at least 20% of the principal amount (net of discounts) of the unconverted debentures in favor of the Banks as security for payment of the amounts the Company owes the Banks. The deposited amounts may be released only as provided in the Facility Agreement, including for payment of interest on the convertible debentures.</w:t>
      </w:r>
    </w:p>
    <w:p>
      <w:pPr>
        <w:spacing w:after="0" w:line="175" w:lineRule="exact"/>
        <w:rPr>
          <w:sz w:val="20"/>
          <w:szCs w:val="20"/>
          <w:color w:val="auto"/>
        </w:rPr>
      </w:pPr>
    </w:p>
    <w:p>
      <w:pPr>
        <w:ind w:left="880" w:right="3399"/>
        <w:spacing w:after="0" w:line="236" w:lineRule="auto"/>
        <w:rPr>
          <w:sz w:val="20"/>
          <w:szCs w:val="20"/>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4" w:lineRule="exact"/>
        <w:rPr>
          <w:sz w:val="20"/>
          <w:szCs w:val="20"/>
          <w:color w:val="auto"/>
        </w:rPr>
      </w:pPr>
    </w:p>
    <w:p>
      <w:pPr>
        <w:ind w:left="880" w:right="3939"/>
        <w:spacing w:after="0" w:line="234" w:lineRule="auto"/>
        <w:rPr>
          <w:sz w:val="20"/>
          <w:szCs w:val="20"/>
          <w:color w:val="auto"/>
        </w:rPr>
      </w:pPr>
      <w:r>
        <w:rPr>
          <w:rFonts w:ascii="Courier New" w:cs="Courier New" w:eastAsia="Courier New" w:hAnsi="Courier New"/>
          <w:sz w:val="15"/>
          <w:szCs w:val="15"/>
          <w:color w:val="auto"/>
        </w:rPr>
        <w:t>See Note 19E for disclosure of the accounting treatment of the convertible debentures under U.S. GAAP.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NOTE 11 - OTHER</w:t>
            </w:r>
          </w:p>
        </w:tc>
        <w:tc>
          <w:tcPr>
            <w:tcW w:w="350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8"/>
              </w:rPr>
              <w:t>LONG-TERM LIABILITIES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60" w:type="dxa"/>
            <w:vAlign w:val="bottom"/>
          </w:tcPr>
          <w:p>
            <w:pPr>
              <w:ind w:left="880"/>
              <w:spacing w:after="0"/>
              <w:rPr>
                <w:sz w:val="20"/>
                <w:szCs w:val="20"/>
                <w:color w:val="auto"/>
              </w:rPr>
            </w:pPr>
            <w:r>
              <w:rPr>
                <w:rFonts w:ascii="Courier New" w:cs="Courier New" w:eastAsia="Courier New" w:hAnsi="Courier New"/>
                <w:sz w:val="15"/>
                <w:szCs w:val="15"/>
                <w:color w:val="auto"/>
              </w:rPr>
              <w:t>A.</w:t>
            </w:r>
          </w:p>
        </w:tc>
        <w:tc>
          <w:tcPr>
            <w:tcW w:w="3500" w:type="dxa"/>
            <w:vAlign w:val="bottom"/>
          </w:tcPr>
          <w:p>
            <w:pPr>
              <w:jc w:val="right"/>
              <w:ind w:right="2407"/>
              <w:spacing w:after="0"/>
              <w:rPr>
                <w:sz w:val="20"/>
                <w:szCs w:val="20"/>
                <w:color w:val="auto"/>
              </w:rPr>
            </w:pPr>
            <w:r>
              <w:rPr>
                <w:rFonts w:ascii="Courier New" w:cs="Courier New" w:eastAsia="Courier New" w:hAnsi="Courier New"/>
                <w:sz w:val="15"/>
                <w:szCs w:val="15"/>
                <w:color w:val="auto"/>
              </w:rPr>
              <w:t>COMPOSITION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1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Net liability for employee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860" w:type="dxa"/>
            <w:vAlign w:val="bottom"/>
            <w:gridSpan w:val="2"/>
          </w:tcPr>
          <w:p>
            <w:pPr>
              <w:jc w:val="right"/>
              <w:ind w:right="1547"/>
              <w:spacing w:after="0" w:line="168" w:lineRule="exact"/>
              <w:rPr>
                <w:sz w:val="20"/>
                <w:szCs w:val="20"/>
                <w:color w:val="auto"/>
              </w:rPr>
            </w:pPr>
            <w:r>
              <w:rPr>
                <w:rFonts w:ascii="Courier New" w:cs="Courier New" w:eastAsia="Courier New" w:hAnsi="Courier New"/>
                <w:sz w:val="15"/>
                <w:szCs w:val="15"/>
                <w:color w:val="auto"/>
              </w:rPr>
              <w:t>termination benefits (see B below):</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Gross obligation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19,042</w:t>
            </w:r>
          </w:p>
        </w:tc>
      </w:tr>
      <w:tr>
        <w:trPr>
          <w:trHeight w:val="168"/>
        </w:trPr>
        <w:tc>
          <w:tcPr>
            <w:tcW w:w="48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Amounts funded through deposits to severance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pay funds and purchase of insurance policies</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(16,350)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(14,607)</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4,435</w:t>
            </w:r>
          </w:p>
        </w:tc>
      </w:tr>
      <w:tr>
        <w:trPr>
          <w:trHeight w:val="168"/>
        </w:trPr>
        <w:tc>
          <w:tcPr>
            <w:tcW w:w="4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advances (see Note 12B(3))</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4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Long-term liabilities in respect of license agreements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5,935</w:t>
            </w:r>
          </w:p>
        </w:tc>
      </w:tr>
      <w:tr>
        <w:trPr>
          <w:trHeight w:val="168"/>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60" w:type="dxa"/>
            <w:vAlign w:val="bottom"/>
          </w:tcPr>
          <w:p>
            <w:pPr>
              <w:spacing w:after="0"/>
              <w:rPr>
                <w:sz w:val="24"/>
                <w:szCs w:val="24"/>
                <w:color w:val="auto"/>
              </w:rPr>
            </w:pPr>
          </w:p>
        </w:tc>
        <w:tc>
          <w:tcPr>
            <w:tcW w:w="35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F-17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10" w:name="page111"/>
    <w:bookmarkEnd w:id="11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OTHER LONG-TERM LIABILITIES (cont.)</w:t>
      </w:r>
    </w:p>
    <w:p>
      <w:pPr>
        <w:spacing w:after="0" w:line="166" w:lineRule="exact"/>
        <w:rPr>
          <w:sz w:val="20"/>
          <w:szCs w:val="20"/>
          <w:color w:val="auto"/>
        </w:rPr>
      </w:pPr>
    </w:p>
    <w:p>
      <w:pPr>
        <w:ind w:left="1320" w:hanging="436"/>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TERMINATION BENEFITS</w:t>
      </w:r>
    </w:p>
    <w:p>
      <w:pPr>
        <w:spacing w:after="0" w:line="172"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Israeli law and labor agreements determine the obligations of the Company to make severance payments to dismissed employees and to employees leaving employment under certain other circumstances.</w:t>
      </w:r>
    </w:p>
    <w:p>
      <w:pPr>
        <w:spacing w:after="0" w:line="1"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19B.</w:t>
      </w:r>
    </w:p>
    <w:p>
      <w:pPr>
        <w:spacing w:after="0" w:line="165" w:lineRule="exact"/>
        <w:rPr>
          <w:sz w:val="20"/>
          <w:szCs w:val="20"/>
          <w:color w:val="auto"/>
        </w:rPr>
      </w:pPr>
    </w:p>
    <w:p>
      <w:pPr>
        <w:ind w:left="1320" w:right="3319"/>
        <w:spacing w:after="0" w:line="235" w:lineRule="auto"/>
        <w:rPr>
          <w:sz w:val="20"/>
          <w:szCs w:val="20"/>
          <w:color w:val="auto"/>
        </w:rPr>
      </w:pPr>
      <w:r>
        <w:rPr>
          <w:rFonts w:ascii="Courier New" w:cs="Courier New" w:eastAsia="Courier New" w:hAnsi="Courier New"/>
          <w:sz w:val="15"/>
          <w:szCs w:val="15"/>
          <w:color w:val="auto"/>
        </w:rPr>
        <w:t>Costs relating to employee termination benefits were approximately $3,836, $2,828 and $2,070 for 2004, 2003 and 2002,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w:t>
      </w:r>
    </w:p>
    <w:p>
      <w:pPr>
        <w:spacing w:after="0" w:line="166" w:lineRule="exact"/>
        <w:rPr>
          <w:sz w:val="20"/>
          <w:szCs w:val="20"/>
          <w:color w:val="auto"/>
        </w:rPr>
      </w:pPr>
    </w:p>
    <w:p>
      <w:pPr>
        <w:ind w:left="1320" w:hanging="436"/>
        <w:spacing w:after="0"/>
        <w:tabs>
          <w:tab w:leader="none" w:pos="13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2"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has completed public and private financing transactions, to provide an aggregate, as of the approval date of the financial statements, of $1,267,000 of financing for Fab 2. The agreements and arrangements include those with technology partners, Wafer Partners, Equity Investors, the Company's Banks, the Government of Israel through the Investment Center and others.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process technologies to produce wafers in Fab 2.</w:t>
      </w:r>
    </w:p>
    <w:p>
      <w:pPr>
        <w:spacing w:after="0" w:line="34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2004, the Company has invested in the Fab 2 project an aggregate of approximately $1,185,000. Through such date, the Wafer Partners, Equity Investor and technology partners had invested in the Company through committed agreements an aggregate of $306,823 ($47,246 of which was established as long-term customers' advances); the Banks had made long-term loans in the aggregate of $497,000; and the Investment Center granted the Company an aggregate of $150,647. In addition, through December 31, 2004, the Company has raised $209,858 from other financial sources.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111" w:name="page112"/>
    <w:bookmarkEnd w:id="11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 (cont.)</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majority of the ongoing direct costs related to the construction and equipping of Fab 2 and to the transfer of the Fab 2 technologies that previously had been capitalized, are no longer capitalizable. Depreciation and amortization of Fab 2 assets in 2004 and 2003 amounted to $108,542 and $39,625, respectively (see also Note 6A).</w:t>
      </w:r>
    </w:p>
    <w:p>
      <w:pPr>
        <w:spacing w:after="0" w:line="180"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construction and equipping of Fab 2 is a substantial project, which requires extensive management involvement as well as a timely coordination of the activities of many participants. In addition, this project is a complex undertaking which entails substantial risks and uncertainties, including but not limited to those associated with the following: obtaining additional commitments to finance the construction and equipping of Fab 2; achieving certain operational milestones and complying with various conditions and covenants in order to receive the additional funds committed by the Investment Center, as well as those provided by the Facility Agreement with the Banks, which establishes significant conditions and covenants under the Facility Agreement; and completing the complex processes of transferring from Freescale (formerly Motorola) the manufacturing technologies to be used at Fab 2 and development of new technologies.</w:t>
      </w:r>
    </w:p>
    <w:p>
      <w:pPr>
        <w:spacing w:after="0" w:line="174"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the Facility Agreement with the Banks, raising certain required additional funding by the dates specified, achieving the milestones as scheduled, as well as complying with all the conditions and covenants stipulated in that agreement and in the Approval Certificate from the Investment Center, are material provisions for providing the Company with the required financing. For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paragraph A(6) below.</w:t>
      </w:r>
    </w:p>
    <w:p>
      <w:pPr>
        <w:spacing w:after="0" w:line="325"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The transfer of the technology was substantially completed during the first half of 2003. Under the Toshiba agreement, the Company agreed, subject to certain conditions, to reserve for Toshiba a certain portion of Fab 2 wafer manufacturing capacity for a period ending in December 2005.</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440" w:gutter="0" w:footer="0" w:header="0"/>
        </w:sectPr>
      </w:pPr>
    </w:p>
    <w:bookmarkStart w:id="112" w:name="page113"/>
    <w:bookmarkEnd w:id="11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 (cont.)</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FREESCALE (FORMERLY MOTOROLA) - In September 2002, the Company entered into a non-exclusive technology transfer, development and licensing agreement with Motorola, a U.S. corporation, which was subsequently assigned to Freescale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Freescale, the licenses under the agreement are perpetual.</w:t>
      </w:r>
    </w:p>
    <w:p>
      <w:pPr>
        <w:spacing w:after="0" w:line="157"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16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2004, the Wafer Partners invested in the Company, based on the Wafer Partner Agreements, an aggregate of $246,823, of which $199,577, was credited as paid in capital and $47,246, was established as long-term customers' advances which may be, subject to the terms and conditions stipulated in the Wafer Partner Agreements utilized as credit against purchases to be made by the Wafer Partners, or converted into paid-in-capital. Through December 31, 2004, the Wafer Partners were issued an aggregate of 26,242,875 Ordinary Shares at an average price per share of $7.63, which was determined based on the average closing sale price of the Company's Ordinary Shares for the 15-30 trading days prior to making any investment.</w:t>
      </w:r>
    </w:p>
    <w:p>
      <w:pPr>
        <w:spacing w:after="0" w:line="164" w:lineRule="exact"/>
        <w:rPr>
          <w:rFonts w:ascii="Courier New" w:cs="Courier New" w:eastAsia="Courier New" w:hAnsi="Courier New"/>
          <w:sz w:val="15"/>
          <w:szCs w:val="15"/>
          <w:color w:val="auto"/>
        </w:rPr>
      </w:pPr>
    </w:p>
    <w:p>
      <w:pPr>
        <w:ind w:left="176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2003, the primary Wafer Partners made their final committed investment of $13,201. Said amount is presented on the face of the balance sheet as of December 31, 2003 as proceeds on account of share capital. For the classification of that amount under U.S. GAAP, see Note 19F.</w:t>
      </w:r>
    </w:p>
    <w:p>
      <w:pPr>
        <w:spacing w:after="0" w:line="163" w:lineRule="exact"/>
        <w:rPr>
          <w:rFonts w:ascii="Courier New" w:cs="Courier New" w:eastAsia="Courier New" w:hAnsi="Courier New"/>
          <w:sz w:val="15"/>
          <w:szCs w:val="15"/>
          <w:color w:val="auto"/>
        </w:rPr>
      </w:pPr>
    </w:p>
    <w:p>
      <w:pPr>
        <w:ind w:left="176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investments made by the Wafer Partners in connection with a rights offering, see Note 13F.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113" w:name="page114"/>
    <w:bookmarkEnd w:id="11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INVESTOR AGREEMENTS</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2004, The Israel Corporation ("TIC"), the principal shareholder of the Company, and Challenge Fund-Edgar II LP, a Delaware limited partnership ("Challenge") (all together, "Equity Investors") invested in the Company, an aggregate of $55,000 for the purchase of an aggregate of 7,419,835 Ordinary Shares of the Company at an average price per share of $7.41, which was determined based on the average closing sale price of the Company's Ordinary Shares for the 15-30 trading days prior to making any investment. Said amount includes $3,227 the Equity Investors made in December 2003 as their final committed investment. The $3,227 amount is presented on the face of the balance sheet as of December 31, 2003 as proceeds on account of share capital. For the classification of that amount under U.S. GAAP, see Note 19F. The investments of TIC and Challenge were made in accordance with share purchase agreements the Company entered into with them in December 2000 and February 2001, respectively.</w:t>
      </w:r>
    </w:p>
    <w:p>
      <w:pPr>
        <w:spacing w:after="0" w:line="331"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2002, Ontario Teachers' Pension Plan ("OTPP") invested in the Company's equity $15,000 in consideration for 3,000,000 Ordinary Shares of the Company for $5.00 per share, and a warrant to purchase an additional 1,350,000 Ordinary Shares of the Company. The warrant is exercisable for a four-year period ending in October 2006, at an exercise price of $7.50 per share (subject to customary adjustments).</w:t>
      </w:r>
    </w:p>
    <w:p>
      <w:pPr>
        <w:spacing w:after="0" w:line="166" w:lineRule="exact"/>
        <w:rPr>
          <w:rFonts w:ascii="Courier New" w:cs="Courier New" w:eastAsia="Courier New" w:hAnsi="Courier New"/>
          <w:sz w:val="15"/>
          <w:szCs w:val="15"/>
          <w:color w:val="auto"/>
        </w:rPr>
      </w:pPr>
    </w:p>
    <w:p>
      <w:pPr>
        <w:ind w:left="1760" w:right="3319" w:hanging="438"/>
        <w:spacing w:after="0" w:line="234" w:lineRule="auto"/>
        <w:tabs>
          <w:tab w:leader="none" w:pos="17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3" w:lineRule="exact"/>
        <w:rPr>
          <w:rFonts w:ascii="Courier New" w:cs="Courier New" w:eastAsia="Courier New" w:hAnsi="Courier New"/>
          <w:sz w:val="15"/>
          <w:szCs w:val="15"/>
          <w:color w:val="auto"/>
        </w:rPr>
      </w:pPr>
    </w:p>
    <w:p>
      <w:pPr>
        <w:ind w:left="17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primary Wafer Partner Agreements, as amended, the primary Wafer Partners are entitled to convert an aggregate of up to $13,201 of the unutilized long-term customers' advances, which they may have as of December 31, 2005, into fully-paid Ordinary Shares of the Company. The number of shares to be issued shall be determined based on the average closing sale price of the Company's Ordinary Shares for the 15 trading days prior to December 31, 2005.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114" w:name="page115"/>
    <w:bookmarkEnd w:id="1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2" w:lineRule="exact"/>
        <w:rPr>
          <w:rFonts w:ascii="Courier New" w:cs="Courier New" w:eastAsia="Courier New" w:hAnsi="Courier New"/>
          <w:sz w:val="15"/>
          <w:szCs w:val="15"/>
          <w:color w:val="auto"/>
        </w:rPr>
      </w:pPr>
    </w:p>
    <w:p>
      <w:pPr>
        <w:ind w:left="1760" w:right="3319" w:hanging="438"/>
        <w:spacing w:after="0" w:line="234" w:lineRule="auto"/>
        <w:tabs>
          <w:tab w:leader="none" w:pos="176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3"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the primary Wafer Partner Agreements, as amended, each of the primary Wafer Partners has an option to convert, at the end of each calendar quarter in 2004-2006, that portion of the long-term customers' advances which it is entitled to utilize, based upon purchases made by such primary Wafer Partner during that quarter, into fully-paid Ordinary Shares of the Company. The number of shares is to be determined based on the average closing sale price of the Company's Ordinary Shares for the 15 trading days preceding the end of each quarter. Accordingly, during 2004, one of the primary Wafer Partners converted an aggregate of $539 of long-term customer advances into 117,163 fully paid Ordinary Shares of the Company, at an average share price of $4.59 per share. Any quarterly amount, which the primary Wafer Partners have elected not to so convert, will not be utilizable against purchases made subsequent to that quarter, and shall bear interest, payable at the end of each quarter, at an annual rate equal to the three-month LIBOR plus 2.5% through December 31, 2007. The aggregate principal of the unconverted long-term customers' advances, which could have been utilized against purchases and which the primary Wafer Partners elected not to convert into fully-paid Ordinary Shares of the Company, shall be fully repaid on December 31, 2007. Other than as described above in this paragraph and the preceding paragraph, each of the primary Wafer Partners agreed that long-term customer's advances could not be utilized before December 31, 2006. Following December 31, 2006, the remaining long-term customer advances may be utilized as credits against purchases to be made.</w:t>
      </w:r>
    </w:p>
    <w:p>
      <w:pPr>
        <w:spacing w:after="0" w:line="339"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2"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Of that amount, as of December 31, 2004, the Company withdrew an aggregate of $497,000. The loans bear interest at a rate of Libor plus</w:t>
      </w:r>
    </w:p>
    <w:p>
      <w:pPr>
        <w:spacing w:after="0" w:line="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2.5% per annum payable at the end of each quarter (prior to the November 2003 amendment, described below, the loans bore interest at a rate of Libor plus 1.55% per annum). The loans are subject to certain prepayment provisions. Unused amounts under the Facility Agreement were subject to a quarterly commitment fee of 0.25% per annum. In accordance with the terms of the Facility Agreement, as of December 31, 2004 the Company may no longer borrow thereunder.</w:t>
      </w:r>
    </w:p>
    <w:p>
      <w:pPr>
        <w:spacing w:after="0" w:line="165" w:lineRule="exact"/>
        <w:rPr>
          <w:rFonts w:ascii="Courier New" w:cs="Courier New" w:eastAsia="Courier New" w:hAnsi="Courier New"/>
          <w:sz w:val="15"/>
          <w:szCs w:val="15"/>
          <w:color w:val="auto"/>
        </w:rPr>
      </w:pPr>
    </w:p>
    <w:p>
      <w:pPr>
        <w:ind w:left="17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Loans in the amount of $431,000 received by the Company through December 31, 2003, were repaid on December 31, 2003 and, concurrently, an equivalent amount was drawn down on such date at an equivalent amount to be repaid in 12 equal consecutive quarterly installments commencing on March 31, 2007 (the net amount of long-term loans the Company received in 2003 in connection with the abovementioned re-borrowing was $187,000). Loans in the amount of $66,000 drawn down during 2004 are repayable in 12 equal consecutive quarterly installments, commencing three years from the draw down date of each loan, which in no case shall be after the maturity date of the Facility Agreement. For further details regarding loans drawn down under the Facility Agreement, see Note 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17" w:right="1440" w:bottom="1440" w:gutter="0" w:footer="0" w:header="0"/>
        </w:sectPr>
      </w:pPr>
    </w:p>
    <w:bookmarkStart w:id="115" w:name="page116"/>
    <w:bookmarkEnd w:id="1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Facility Agreement and the terms of the Company's long-term loans as of December 31, 2004,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plus penalties, and the Banks would be entitled to exercise the remedies available to them under the Facility Agreement, including enforcement of the liens against the Company's assets.</w:t>
      </w:r>
    </w:p>
    <w:p>
      <w:pPr>
        <w:spacing w:after="0" w:line="180" w:lineRule="exact"/>
        <w:rPr>
          <w:rFonts w:ascii="Courier New" w:cs="Courier New" w:eastAsia="Courier New" w:hAnsi="Courier New"/>
          <w:sz w:val="15"/>
          <w:szCs w:val="15"/>
          <w:color w:val="auto"/>
        </w:rPr>
      </w:pPr>
    </w:p>
    <w:p>
      <w:pPr>
        <w:ind w:left="17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 further revised and updated the covenants under the Facility Agreement according to which the Company is obligated to comply with certain operational and financial ratios, primarily total shareholders' equity to total assets, quarterly and annual EBITDA, sales and production capacity milestones.</w:t>
      </w:r>
    </w:p>
    <w:p>
      <w:pPr>
        <w:spacing w:after="0" w:line="17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2004, due mainly to the recent and current slow-down in the semiconductor markets, the Company was not in compliance with certain of the financial ratios and covenants stipulated in the Facility Agreement. The Company has recently prepared an updated working-plan for 2005 for Fab 2, which is based on prevailing and the Company's forecast of market conditions and requested its Banks to agree to amend the financial ratios and covenants in order to align them with the updated Fab 2 working-plan for 2005. Prior to the approval date of the financial statements, the Company and its Banks signed a waiver letter agreement according to which the Banks waived the Company's non-compliance with certain financial ratios and covenants for the fourth quarter of 2004. The agreement signed also amended certain of the financial ratios and covenants the Company is to comply with during 2005.</w:t>
      </w:r>
    </w:p>
    <w:p>
      <w:pPr>
        <w:spacing w:after="0" w:line="331"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amended Facility Agreement with the Banks, the Company is to raise from specified financial sources an aggregate of $79,000 by December 2004, an aggregate of $115,500 by June 2005 and an aggregate of $152,000 by December 2005. As of December 31, 2004, the Company fully satisfied the December 2004 and June 2005 fund raising milestones. Accordingly, as of such date, the Company's remaining obligation to raise financings from specified financial sources is $28,300 to be raised by December 31, 2005.</w:t>
      </w:r>
    </w:p>
    <w:p>
      <w:pPr>
        <w:spacing w:after="0" w:line="179"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Facility Agreement provides that should the Company fail to meet the above fundraising obligations towards the remaining $28,300 by December 31, 2005,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Facility Agreement.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116" w:name="page117"/>
    <w:bookmarkEnd w:id="1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7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Israel Corporation Ltd. ("TIC"), the current major shareholder of the Company, has undertaken to the Banks to exercise all of the rights it receives in the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less any amounts actually invested in the rights offering by TIC in connection with the exercise of its own rights. As a result of the Company satisfying certain of its fund raising milestones, TIC's undertaking to the Banks as of December 31, 2004 is limited to an aggregate of $15,215. If certain of the Company's shareholders participate in the above investment, then their investment will be deemed to be investments made by TIC towards the $15,215 commitment. In the event that the rights offering cannot be completed, TIC has undertaken to purchase from the Company in a private placement 50/93 of the amount the Company was to raise in the rights offering.</w:t>
      </w:r>
    </w:p>
    <w:p>
      <w:pPr>
        <w:spacing w:after="0" w:line="176"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TIC's undertaking and the Company's obligation to consummate a rights offering expires on the earlier of: (i) such time that the Company will fulfill the fundraising obligation to raise an aggregate of $28,300 as described above; (ii) such time as TIC has invested an aggregate amount of $15,215 as described above; or (iii) June 30, 2006.</w:t>
      </w:r>
    </w:p>
    <w:p>
      <w:pPr>
        <w:spacing w:after="0" w:line="166"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the receipt of the above described investments from TIC, the Banks will permit the Company to draw additional funds under the Facility Agreement at a ratio of $43 for every $50 invested, up to $13,085 in the aggregate. Any drawn loan will be repayable by December 2007. Should the Company draw down loans from this additional amount, the Banks will be issued 30% warrant coverage of the amount drawn down, based on the average closing price of the Company's Ordinary Shares during the 15 consecutive trading days prior to the time the Company draws down such loans.</w:t>
      </w:r>
    </w:p>
    <w:p>
      <w:pPr>
        <w:spacing w:after="0" w:line="165" w:lineRule="exact"/>
        <w:rPr>
          <w:rFonts w:ascii="Courier New" w:cs="Courier New" w:eastAsia="Courier New" w:hAnsi="Courier New"/>
          <w:sz w:val="15"/>
          <w:szCs w:val="15"/>
          <w:color w:val="auto"/>
        </w:rPr>
      </w:pPr>
    </w:p>
    <w:p>
      <w:pPr>
        <w:ind w:left="17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1,296,596 warrants issued to the Banks in connection with the Facility Agreement, see Note 13B(5)(a).</w:t>
      </w:r>
    </w:p>
    <w:p>
      <w:pPr>
        <w:spacing w:after="0" w:line="173" w:lineRule="exact"/>
        <w:rPr>
          <w:rFonts w:ascii="Courier New" w:cs="Courier New" w:eastAsia="Courier New" w:hAnsi="Courier New"/>
          <w:sz w:val="15"/>
          <w:szCs w:val="15"/>
          <w:color w:val="auto"/>
        </w:rPr>
      </w:pPr>
    </w:p>
    <w:p>
      <w:pPr>
        <w:ind w:left="17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58,906 warrants issued to TIC in connection with its undertaking described above, and additional warrants issuable to TIC in the event the undertaking is realized, see Note 13B(5)(b).</w:t>
      </w:r>
    </w:p>
    <w:p>
      <w:pPr>
        <w:spacing w:after="0" w:line="175"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TIC for any liabilities it incurs with respect to these arrangements, subject to making any investment under its undertaking, up to a maximum of $100,000 as follows: up to $25,000 in cash and any amount exceeding such $25,000 limit will earn interest at LIBOR plus 2.5% and will be paid on the same terms that the Company repays its loans to the Banks.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17" w:right="1440" w:bottom="1440" w:gutter="0" w:footer="0" w:header="0"/>
        </w:sectPr>
      </w:pPr>
    </w:p>
    <w:bookmarkStart w:id="117" w:name="page118"/>
    <w:bookmarkEnd w:id="1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certain bankruptcy related events, the Banks will be able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intends to purchase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157"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CONSTRUCTION AGREEMENT</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2000, the Company entered into a fixed price turn-key agreement with a contractor for the design and construction of Fab 2 in consideration of approximately $200,000 to be paid according to certain performance milestones stipulated in the agreement. As of December 31, 2004, approximately $190,000 of that amount had already been paid by the Company.</w:t>
      </w:r>
    </w:p>
    <w:p>
      <w:pPr>
        <w:spacing w:after="0" w:line="169"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7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or an aggregate of up to $250,000, of which as of the balance sheet date, an aggregate of $150,647 has been already received from the Investment Center. The remaining grants are to be made in accordance with a timetable set forth in the approval certificate for the program and are subject to the described below.</w:t>
      </w:r>
    </w:p>
    <w:p>
      <w:pPr>
        <w:spacing w:after="0" w:line="173" w:lineRule="exact"/>
        <w:rPr>
          <w:rFonts w:ascii="Courier New" w:cs="Courier New" w:eastAsia="Courier New" w:hAnsi="Courier New"/>
          <w:sz w:val="15"/>
          <w:szCs w:val="15"/>
          <w:color w:val="auto"/>
        </w:rPr>
      </w:pPr>
    </w:p>
    <w:p>
      <w:pPr>
        <w:ind w:left="176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Fab 2 approved enterprise program, investments in respect of Fab 2 may be completed by December 31, 2005, five years from the date the approval certificate was obtained. Due to the later than planned commencement of construction of Fab 2, prevailing market conditions and slower than planned ramp-up, as of December 31, 2004, the Company completed approximately 70% of the investments under the approved enterprise program. According to the original terms of the program, had the Company completed as of December 31, 2004 80% of the total investments under the approved enterprise program, then the overall investment period would have been automatically expanded through December 31, 2005. Currently, the Company does not expect to complete Fab 2 investments by the end of 2005. Accordingly, and as a result of the Company's actual investments lagging behind the original terms of the program, the Company notified the Investment Center of its revised investment schedule contemplated in an updated plan for the construction and equipping Fab 2. Such plan includes, among other matters, a reduced rate of annual investments and lower than projected expectations for Fab 2 sales. In July 2004, the Company received from the Investment Center an approval to the revised investment schedule. As of December 31, 2004, the Company was in compliance with the revised investment schedule.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17" w:right="1440" w:bottom="1440" w:gutter="0" w:footer="0" w:header="0"/>
        </w:sectPr>
      </w:pPr>
    </w:p>
    <w:bookmarkStart w:id="118" w:name="page119"/>
    <w:bookmarkEnd w:id="1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72" w:lineRule="exact"/>
        <w:rPr>
          <w:rFonts w:ascii="Courier New" w:cs="Courier New" w:eastAsia="Courier New" w:hAnsi="Courier New"/>
          <w:sz w:val="15"/>
          <w:szCs w:val="15"/>
          <w:color w:val="auto"/>
        </w:rPr>
      </w:pPr>
    </w:p>
    <w:p>
      <w:pPr>
        <w:ind w:left="17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While Israeli law currently limits the investment period to five years (that is, through December 31, 2005), the Company's management estimates, based on discussions held with the Investment Center, that it is probable that satisfactory arrangements will be made with the Investment Center to allow for the extension of the investment period beyond the five-year period (see also Note 16A).</w:t>
      </w:r>
    </w:p>
    <w:p>
      <w:pPr>
        <w:spacing w:after="0" w:line="159"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 ILA</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70"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76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hedging transactions and agreements the Company has entered into, see Note 17C.</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2" w:lineRule="exact"/>
        <w:rPr>
          <w:rFonts w:ascii="Courier New" w:cs="Courier New" w:eastAsia="Courier New" w:hAnsi="Courier New"/>
          <w:sz w:val="15"/>
          <w:szCs w:val="15"/>
          <w:color w:val="auto"/>
        </w:rPr>
      </w:pPr>
    </w:p>
    <w:p>
      <w:pPr>
        <w:ind w:left="17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2004 the Company had entered into several additional agreements related mainly to the construction, equipping and transfer of technology for Fab 2. The Company's aggregate commitment in connection with these agreements which were not supplied or rendered as of such date, including the Fab 2 construction agreement described in paragraph (7) above, amounted to $32,797.</w:t>
      </w:r>
    </w:p>
    <w:p>
      <w:pPr>
        <w:spacing w:after="0" w:line="159"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w:t>
      </w:r>
    </w:p>
    <w:p>
      <w:pPr>
        <w:spacing w:after="0" w:line="172"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2000, the Company entered into a cross license agreement with a major technology company. According to the agreement, each party acquired a non-exclusive license under the other's patents. The Company agreed to pay an annual royalty through July 2005. The licenses terminate on December 31, 2005.</w:t>
      </w:r>
    </w:p>
    <w:p>
      <w:pPr>
        <w:spacing w:after="0" w:line="174" w:lineRule="exact"/>
        <w:rPr>
          <w:rFonts w:ascii="Courier New" w:cs="Courier New" w:eastAsia="Courier New" w:hAnsi="Courier New"/>
          <w:sz w:val="15"/>
          <w:szCs w:val="15"/>
          <w:color w:val="auto"/>
        </w:rPr>
      </w:pPr>
    </w:p>
    <w:p>
      <w:pPr>
        <w:ind w:left="1760" w:right="3319" w:hanging="438"/>
        <w:spacing w:after="0" w:line="255" w:lineRule="auto"/>
        <w:tabs>
          <w:tab w:leader="none" w:pos="17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119" w:name="page120"/>
    <w:bookmarkEnd w:id="1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 (cont.)</w:t>
      </w:r>
    </w:p>
    <w:p>
      <w:pPr>
        <w:spacing w:after="0" w:line="172"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utilized against future purchases made by the Japanese manufacturer through 2007. Sales for 2004 and 2002 included $1,944 and $8,056 revenues in relation to this agreement, respectively. See also Note 11A.</w:t>
      </w:r>
    </w:p>
    <w:p>
      <w:pPr>
        <w:spacing w:after="0" w:line="331" w:lineRule="exact"/>
        <w:rPr>
          <w:rFonts w:ascii="Courier New" w:cs="Courier New" w:eastAsia="Courier New" w:hAnsi="Courier New"/>
          <w:sz w:val="14"/>
          <w:szCs w:val="14"/>
          <w:color w:val="auto"/>
        </w:rPr>
      </w:pPr>
    </w:p>
    <w:p>
      <w:pPr>
        <w:ind w:left="1760" w:right="3399" w:hanging="438"/>
        <w:spacing w:after="0" w:line="255" w:lineRule="auto"/>
        <w:tabs>
          <w:tab w:leader="none" w:pos="176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paragraph F(2) below.</w:t>
      </w:r>
    </w:p>
    <w:p>
      <w:pPr>
        <w:spacing w:after="0" w:line="159"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2" w:lineRule="exact"/>
        <w:rPr>
          <w:rFonts w:ascii="Courier New" w:cs="Courier New" w:eastAsia="Courier New" w:hAnsi="Courier New"/>
          <w:sz w:val="15"/>
          <w:szCs w:val="15"/>
          <w:color w:val="auto"/>
        </w:rPr>
      </w:pPr>
    </w:p>
    <w:p>
      <w:pPr>
        <w:ind w:left="1760" w:right="3319" w:hanging="438"/>
        <w:spacing w:after="0" w:line="255" w:lineRule="auto"/>
        <w:tabs>
          <w:tab w:leader="none" w:pos="176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66" w:lineRule="exact"/>
        <w:rPr>
          <w:rFonts w:ascii="Courier New" w:cs="Courier New" w:eastAsia="Courier New" w:hAnsi="Courier New"/>
          <w:sz w:val="14"/>
          <w:szCs w:val="14"/>
          <w:color w:val="auto"/>
        </w:rPr>
      </w:pPr>
    </w:p>
    <w:p>
      <w:pPr>
        <w:ind w:left="1760" w:right="3239" w:hanging="438"/>
        <w:spacing w:after="0" w:line="234" w:lineRule="auto"/>
        <w:tabs>
          <w:tab w:leader="none" w:pos="176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long-term lease agreement of land on which Fab 2 was constructed, see paragraph A(9) above.</w:t>
      </w:r>
    </w:p>
    <w:p>
      <w:pPr>
        <w:spacing w:after="0" w:line="173" w:lineRule="exact"/>
        <w:rPr>
          <w:rFonts w:ascii="Courier New" w:cs="Courier New" w:eastAsia="Courier New" w:hAnsi="Courier New"/>
          <w:sz w:val="15"/>
          <w:szCs w:val="15"/>
          <w:color w:val="auto"/>
        </w:rPr>
      </w:pPr>
    </w:p>
    <w:p>
      <w:pPr>
        <w:ind w:left="1760" w:right="3239" w:hanging="438"/>
        <w:spacing w:after="0" w:line="235" w:lineRule="auto"/>
        <w:tabs>
          <w:tab w:leader="none" w:pos="176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certain other premises under various operating leases. The obligations under such leases were not material as of December 31, 2004.</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2004, a substantial portion of the Company's production has been sold under such agreements. For purchase agreements with related parties, see paragraph A(3) above.</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PLAN</w:t>
      </w:r>
    </w:p>
    <w:p>
      <w:pPr>
        <w:spacing w:after="0" w:line="172" w:lineRule="exact"/>
        <w:rPr>
          <w:rFonts w:ascii="Courier New" w:cs="Courier New" w:eastAsia="Courier New" w:hAnsi="Courier New"/>
          <w:sz w:val="15"/>
          <w:szCs w:val="15"/>
          <w:color w:val="auto"/>
        </w:rPr>
      </w:pPr>
    </w:p>
    <w:p>
      <w:pPr>
        <w:ind w:left="132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an employee profit sharing plan. No amounts were provided for under this plan for periods presented in these financial statements, since the Company did not record profits for these periods.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1440" w:gutter="0" w:footer="0" w:header="0"/>
        </w:sectPr>
      </w:pPr>
    </w:p>
    <w:bookmarkStart w:id="120" w:name="page121"/>
    <w:bookmarkEnd w:id="1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PRINCIPAL AGREEMENTS</w:t>
      </w:r>
    </w:p>
    <w:p>
      <w:pPr>
        <w:spacing w:after="0" w:line="172" w:lineRule="exact"/>
        <w:rPr>
          <w:rFonts w:ascii="Courier New" w:cs="Courier New" w:eastAsia="Courier New" w:hAnsi="Courier New"/>
          <w:sz w:val="15"/>
          <w:szCs w:val="15"/>
          <w:color w:val="auto"/>
        </w:rPr>
      </w:pPr>
    </w:p>
    <w:p>
      <w:pPr>
        <w:ind w:left="1760" w:right="3319" w:hanging="438"/>
        <w:spacing w:after="0" w:line="256" w:lineRule="auto"/>
        <w:tabs>
          <w:tab w:leader="none" w:pos="17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MACRONIX - In December 2000, the Company and Macronix entered into an agreement according to which the Company waived in favor of Macronix certain exclusive semiconductor manufacturing rights it received from Saifun.</w:t>
      </w:r>
    </w:p>
    <w:p>
      <w:pPr>
        <w:spacing w:after="0" w:line="164" w:lineRule="exact"/>
        <w:rPr>
          <w:rFonts w:ascii="Courier New" w:cs="Courier New" w:eastAsia="Courier New" w:hAnsi="Courier New"/>
          <w:sz w:val="14"/>
          <w:szCs w:val="14"/>
          <w:color w:val="auto"/>
        </w:rPr>
      </w:pPr>
    </w:p>
    <w:p>
      <w:pPr>
        <w:ind w:left="1760" w:right="3319" w:hanging="438"/>
        <w:spacing w:after="0" w:line="255" w:lineRule="auto"/>
        <w:tabs>
          <w:tab w:leader="none" w:pos="17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18B. The agreement terminates in October 2007, unless terminated earlier for cause.</w:t>
      </w:r>
    </w:p>
    <w:p>
      <w:pPr>
        <w:spacing w:after="0" w:line="164" w:lineRule="exact"/>
        <w:rPr>
          <w:rFonts w:ascii="Courier New" w:cs="Courier New" w:eastAsia="Courier New" w:hAnsi="Courier New"/>
          <w:sz w:val="14"/>
          <w:szCs w:val="14"/>
          <w:color w:val="auto"/>
        </w:rPr>
      </w:pPr>
    </w:p>
    <w:p>
      <w:pPr>
        <w:ind w:left="1760" w:right="3239" w:hanging="438"/>
        <w:spacing w:after="0" w:line="254" w:lineRule="auto"/>
        <w:tabs>
          <w:tab w:leader="none" w:pos="1760"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SILICONIX - In May 2004, the Company and chip maker Siliconix incorporated ("Siliconix"), an 80% 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after the completion of the transfer of Siliconix's technology to Fab 1, which is expected to be completed during the first half of 2005. According to the agreement, in August 2004 Siliconix advanced the Company $20,000 to be used primarily for the purchase of additional equipment required to satisfy Siliconix's orders. The advanced amount will be credited towards the purchase price of wafers. The unused remaining balance of the $20,000 ($14,068 as of December 31, 2004) is included in designated cash and short-term interest-bearing deposits in the balance sheet. The Company registered liens in favor of Siliconix on equipment purchased in connection with the transaction.</w:t>
      </w:r>
    </w:p>
    <w:p>
      <w:pPr>
        <w:spacing w:after="0" w:line="343" w:lineRule="exact"/>
        <w:rPr>
          <w:rFonts w:ascii="Courier New" w:cs="Courier New" w:eastAsia="Courier New" w:hAnsi="Courier New"/>
          <w:sz w:val="14"/>
          <w:szCs w:val="14"/>
          <w:color w:val="auto"/>
        </w:rPr>
      </w:pPr>
    </w:p>
    <w:p>
      <w:pPr>
        <w:ind w:left="1760" w:right="3239" w:hanging="438"/>
        <w:spacing w:after="0" w:line="236" w:lineRule="auto"/>
        <w:tabs>
          <w:tab w:leader="none" w:pos="17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 The Company, from time to time in the normal course of business, enters into long-term agreements with various entities for the joint development of products and processes utilizing technologies owned by both the other entities and the Company.</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AFFAIRS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The Company's current business license requires that its manufacturing facilities achieve a maximum fluoride level of 6 parts per million (PPM) in their wastewater. Under the terms of the license, Fab 1 is permitted to achieve a maximum fluoride level of 8 PPM, subject to the submission of certain documents to the environmental authorities. The Company filed with the authorities the required documents and accordingly Fab 1's current fluoride level is in compliance with the terms of the license.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1440" w:gutter="0" w:footer="0" w:header="0"/>
        </w:sectPr>
      </w:pPr>
    </w:p>
    <w:bookmarkStart w:id="121" w:name="page122"/>
    <w:bookmarkEnd w:id="1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 (cont.)</w:t>
      </w:r>
    </w:p>
    <w:p>
      <w:pPr>
        <w:spacing w:after="0" w:line="166" w:lineRule="exact"/>
        <w:rPr>
          <w:sz w:val="20"/>
          <w:szCs w:val="20"/>
          <w:color w:val="auto"/>
        </w:rPr>
      </w:pPr>
    </w:p>
    <w:p>
      <w:pPr>
        <w:ind w:left="1320" w:hanging="436"/>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ISRAELI BANKING REGULATIONS</w:t>
      </w:r>
    </w:p>
    <w:p>
      <w:pPr>
        <w:spacing w:after="0" w:line="172"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a amendment to a directive published by the Israel Supervisor of Banks, which became effective on March 31, 2004, the Company may be deemed part of a group of borrowers comprised of the Ofer Brothers Group, The Israel Corporation (the latter being currently the major shareholder of the Company),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that bank amounts to 150% of such bank's capital (gradually reduced to 135% between April 2005 and June 2006). The directive also provides that a bank cannot extend debt financing to any single borrower in amounts that exceed 15% of such bank's capital. If any of the Company's Banks exceed these limitations, it may require that the Company return some or all of the Company's outstanding borrowings ($497,000 as of December 31, 2004) and may limit the Company's ability to borrow additional funds in the future.</w:t>
      </w:r>
    </w:p>
    <w:p>
      <w:pPr>
        <w:spacing w:after="0" w:line="169"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STAMP DUTY</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2004, the Company has been approached by Israeli Tax Authorities with a request to provide certain information relating the stamping of commercial documents in Israel. This request was also sent to other Israeli public companies and other entities, which oppose such request by arguing it contradicts the common practice in Israel. Management estimates that the Company's exposure, if any, in connection with this request is not expected to have a material effect on the Company's financial position and results of operations.</w:t>
      </w:r>
    </w:p>
    <w:p>
      <w:pPr>
        <w:spacing w:after="0" w:line="171"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COMMITMENTS</w:t>
      </w:r>
    </w:p>
    <w:p>
      <w:pPr>
        <w:spacing w:after="0" w:line="172" w:lineRule="exact"/>
        <w:rPr>
          <w:rFonts w:ascii="Courier New" w:cs="Courier New" w:eastAsia="Courier New" w:hAnsi="Courier New"/>
          <w:sz w:val="15"/>
          <w:szCs w:val="15"/>
          <w:color w:val="auto"/>
        </w:rPr>
      </w:pPr>
    </w:p>
    <w:p>
      <w:pPr>
        <w:ind w:left="13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2004.</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617" w:right="1440" w:bottom="1440" w:gutter="0" w:footer="0" w:header="0"/>
        </w:sectPr>
      </w:pPr>
    </w:p>
    <w:bookmarkStart w:id="122" w:name="page123"/>
    <w:bookmarkEnd w:id="1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w:t>
      </w:r>
    </w:p>
    <w:p>
      <w:pPr>
        <w:spacing w:after="0" w:line="166" w:lineRule="exact"/>
        <w:rPr>
          <w:sz w:val="20"/>
          <w:szCs w:val="20"/>
          <w:color w:val="auto"/>
        </w:rPr>
      </w:pPr>
    </w:p>
    <w:p>
      <w:pPr>
        <w:ind w:left="1320" w:hanging="436"/>
        <w:spacing w:after="0"/>
        <w:tabs>
          <w:tab w:leader="none" w:pos="13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ORDINARY SHARES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2004 and 2003, the Company had 250,000,000 and 150,000,000 authorized par value NIS 1.00 Ordinary Shares, respectively, of which 65,699,796 and 51,696,097, respectively, were issued and outstanding (net of 1,300,000 Ordinary Shares held by the Company as of such dates). As of December 31, 2004, there were 9,858,236 Ordinary Shares of the Company contingently issuable. This amount includes Ordinary Shares to be issued under various agreements according to their provisions as of December 31, 2004 related to Fab 2 Wafer Partners and Equity Investors warrants, the exercise of all options granted and issued to non-employees and the conversion of all the convertible debentures.</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w:t>
      </w:r>
    </w:p>
    <w:p>
      <w:pPr>
        <w:spacing w:after="0" w:line="172" w:lineRule="exact"/>
        <w:rPr>
          <w:rFonts w:ascii="Courier New" w:cs="Courier New" w:eastAsia="Courier New" w:hAnsi="Courier New"/>
          <w:sz w:val="15"/>
          <w:szCs w:val="15"/>
          <w:color w:val="auto"/>
        </w:rPr>
      </w:pPr>
    </w:p>
    <w:p>
      <w:pPr>
        <w:ind w:left="2200" w:right="3239" w:hanging="441"/>
        <w:spacing w:after="0" w:line="237" w:lineRule="auto"/>
        <w:tabs>
          <w:tab w:leader="none" w:pos="220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 The Company has granted to its employees options to purchase its Ordinary Shares under several option plans adopted by the Company since 1994. The particular provisions of each plan and grant vary as to vesting period, exercise price, exercise period and other terms. Generally, the options are granted at an exercise price which equals to not less than 85% of the market value of the Ordinary Shares at the date of grant (in mostly all cases, at an exercise price equal to the market value of the underlying shares at the date of grant); vest over a three to four-year period according to various vesting schedules; and are not exercisable beyond ten years from the grant date under each plan.</w:t>
      </w:r>
    </w:p>
    <w:p>
      <w:pPr>
        <w:spacing w:after="0" w:line="173" w:lineRule="exact"/>
        <w:rPr>
          <w:rFonts w:ascii="Courier New" w:cs="Courier New" w:eastAsia="Courier New" w:hAnsi="Courier New"/>
          <w:sz w:val="15"/>
          <w:szCs w:val="15"/>
          <w:color w:val="auto"/>
        </w:rPr>
      </w:pPr>
    </w:p>
    <w:p>
      <w:pPr>
        <w:ind w:left="2200" w:right="3239" w:hanging="441"/>
        <w:spacing w:after="0" w:line="254" w:lineRule="auto"/>
        <w:tabs>
          <w:tab w:leader="none" w:pos="2200"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CHAIRMAN OF THE BOARD OF DIRECTORS - 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 trading days preceding the date of board approval of the amendment to the Fab 2 investment agreements described in Note 12A(5)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617" w:right="1440" w:bottom="1440" w:gutter="0" w:footer="0" w:header="0"/>
        </w:sectPr>
      </w:pPr>
    </w:p>
    <w:bookmarkStart w:id="123" w:name="page124"/>
    <w:bookmarkEnd w:id="1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 (cont.)</w:t>
      </w:r>
    </w:p>
    <w:p>
      <w:pPr>
        <w:spacing w:after="0" w:line="172" w:lineRule="exact"/>
        <w:rPr>
          <w:rFonts w:ascii="Courier New" w:cs="Courier New" w:eastAsia="Courier New" w:hAnsi="Courier New"/>
          <w:sz w:val="15"/>
          <w:szCs w:val="15"/>
          <w:color w:val="auto"/>
        </w:rPr>
      </w:pPr>
    </w:p>
    <w:p>
      <w:pPr>
        <w:ind w:left="2200" w:right="3239" w:hanging="441"/>
        <w:spacing w:after="0" w:line="255" w:lineRule="auto"/>
        <w:tabs>
          <w:tab w:leader="none" w:pos="2200"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As of December 31, 2004 and 2003, 240,000 and 280,000 options were outstanding under the plan, respectively, with weighted average exercise price of $8.41 and $8.48, respectively. Options granted under the plan vest over a four-year period according to various vesting schedules, and generally may not be exercised beyond five years from the date they first become exercisable.</w:t>
      </w:r>
    </w:p>
    <w:p>
      <w:pPr>
        <w:spacing w:after="0" w:line="163" w:lineRule="exact"/>
        <w:rPr>
          <w:rFonts w:ascii="Courier New" w:cs="Courier New" w:eastAsia="Courier New" w:hAnsi="Courier New"/>
          <w:sz w:val="14"/>
          <w:szCs w:val="14"/>
          <w:color w:val="auto"/>
        </w:rPr>
      </w:pPr>
    </w:p>
    <w:p>
      <w:pPr>
        <w:ind w:left="22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2004, all the options are vested.</w:t>
      </w:r>
    </w:p>
    <w:p>
      <w:pPr>
        <w:spacing w:after="0" w:line="164" w:lineRule="exact"/>
        <w:rPr>
          <w:rFonts w:ascii="Courier New" w:cs="Courier New" w:eastAsia="Courier New" w:hAnsi="Courier New"/>
          <w:sz w:val="14"/>
          <w:szCs w:val="14"/>
          <w:color w:val="auto"/>
        </w:rPr>
      </w:pPr>
    </w:p>
    <w:p>
      <w:pPr>
        <w:ind w:left="2200" w:right="3239" w:hanging="441"/>
        <w:spacing w:after="0" w:line="237" w:lineRule="auto"/>
        <w:tabs>
          <w:tab w:leader="none" w:pos="2200"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FORMER CO-CEOS IN OCTOBER 1998 AND MAY 2001 - In October 1998 and May 2001, the Board of Directors of the Company approved share option plans pursuant to which each of the Company's two former Co-Chief Executive Officers was granted the right to purchase up to 300,000 and 100,000, respectively, Ordinary Shares of the Company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 As of December 31, 2004, there were 705,000 options exercisable by the former Co-Chief Executive Officers.</w:t>
      </w:r>
    </w:p>
    <w:p>
      <w:pPr>
        <w:spacing w:after="0" w:line="174" w:lineRule="exact"/>
        <w:rPr>
          <w:rFonts w:ascii="Courier New" w:cs="Courier New" w:eastAsia="Courier New" w:hAnsi="Courier New"/>
          <w:sz w:val="15"/>
          <w:szCs w:val="15"/>
          <w:color w:val="auto"/>
        </w:rPr>
      </w:pPr>
    </w:p>
    <w:p>
      <w:pPr>
        <w:ind w:left="2200" w:right="3239" w:hanging="441"/>
        <w:spacing w:after="0" w:line="237" w:lineRule="auto"/>
        <w:tabs>
          <w:tab w:leader="none" w:pos="2200"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for the years 2004 and 2005 - 3.6%. Accordingly, as of December 31, 2004, an aggregate of 2,365,193 options were added to the Company's share option plans. An aggregate of 811,675 options had not yet been designated for identified employees, and are accordingly available for grant under the general terms described in paragraph (a) above.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17" w:right="1440" w:bottom="1440" w:gutter="0" w:footer="0" w:header="0"/>
        </w:sectPr>
      </w:pPr>
    </w:p>
    <w:bookmarkStart w:id="124" w:name="page125"/>
    <w:bookmarkEnd w:id="1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760" w:right="3679" w:hanging="438"/>
        <w:spacing w:after="0" w:line="234" w:lineRule="auto"/>
        <w:tabs>
          <w:tab w:leader="none" w:pos="176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ALL THE COMPANY'S EMPLOYEE AND DIRECTOR SHARE OPTIONS</w:t>
      </w:r>
    </w:p>
    <w:p>
      <w:pPr>
        <w:spacing w:after="0" w:line="173" w:lineRule="exact"/>
        <w:rPr>
          <w:rFonts w:ascii="Courier New" w:cs="Courier New" w:eastAsia="Courier New" w:hAnsi="Courier New"/>
          <w:sz w:val="15"/>
          <w:szCs w:val="15"/>
          <w:color w:val="auto"/>
        </w:rPr>
      </w:pPr>
    </w:p>
    <w:p>
      <w:pPr>
        <w:ind w:left="1760"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summary of the status of all the Company's employee and director share option plans as of December 31, 2004, 2003 and 2002, as well as changes during each of the years then ended, is presented below (for options granted to the Banks, a related party and a consultant, see paragraph</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B(5)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8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Weighted</w:t>
            </w:r>
          </w:p>
        </w:tc>
        <w:tc>
          <w:tcPr>
            <w:tcW w:w="1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average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Number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 share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share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 share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6,842,442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$ 7.93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4,247,898</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$ 10.79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3,717,770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$ 11.94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4,364,954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3,118,742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905,724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(899,226)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(524,199)</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(375,596)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as of end of year</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10,212,920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6,842,441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4,247,898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Options exercisable as of end of year</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3,010,870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2,008,674</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11.60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1,299,531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68"/>
        </w:trPr>
        <w:tc>
          <w:tcPr>
            <w:tcW w:w="33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bl>
    <w:p>
      <w:pPr>
        <w:spacing w:after="0" w:line="341" w:lineRule="exact"/>
        <w:rPr>
          <w:sz w:val="20"/>
          <w:szCs w:val="20"/>
          <w:color w:val="auto"/>
        </w:rPr>
      </w:pPr>
    </w:p>
    <w:p>
      <w:pPr>
        <w:ind w:left="1760" w:right="4019" w:hanging="438"/>
        <w:spacing w:after="0" w:line="234" w:lineRule="auto"/>
        <w:tabs>
          <w:tab w:leader="none" w:pos="17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INFORMATION ABOUT EMPLOYEE SHARE OPTIONS OUTSTANDING</w:t>
      </w:r>
    </w:p>
    <w:p>
      <w:pPr>
        <w:spacing w:after="0" w:line="173" w:lineRule="exact"/>
        <w:rPr>
          <w:rFonts w:ascii="Courier New" w:cs="Courier New" w:eastAsia="Courier New" w:hAnsi="Courier New"/>
          <w:sz w:val="15"/>
          <w:szCs w:val="15"/>
          <w:color w:val="auto"/>
        </w:rPr>
      </w:pPr>
    </w:p>
    <w:p>
      <w:pPr>
        <w:ind w:left="1760"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summarizes information about employee share options outstanding as of December 31, 2004:</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Exercisable as of</w:t>
            </w:r>
          </w:p>
        </w:tc>
      </w:tr>
      <w:tr>
        <w:trPr>
          <w:trHeight w:val="168"/>
        </w:trPr>
        <w:tc>
          <w:tcPr>
            <w:tcW w:w="1200" w:type="dxa"/>
            <w:vAlign w:val="bottom"/>
          </w:tcPr>
          <w:p>
            <w:pPr>
              <w:spacing w:after="0"/>
              <w:rPr>
                <w:sz w:val="14"/>
                <w:szCs w:val="14"/>
                <w:color w:val="auto"/>
              </w:rPr>
            </w:pPr>
          </w:p>
        </w:tc>
        <w:tc>
          <w:tcPr>
            <w:tcW w:w="436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Outstanding as of December 31, 2004</w:t>
            </w:r>
          </w:p>
        </w:tc>
        <w:tc>
          <w:tcPr>
            <w:tcW w:w="26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168"/>
        </w:trPr>
        <w:tc>
          <w:tcPr>
            <w:tcW w:w="1200" w:type="dxa"/>
            <w:vAlign w:val="bottom"/>
          </w:tcPr>
          <w:p>
            <w:pPr>
              <w:spacing w:after="0"/>
              <w:rPr>
                <w:sz w:val="14"/>
                <w:szCs w:val="14"/>
                <w:color w:val="auto"/>
              </w:rPr>
            </w:pPr>
          </w:p>
        </w:tc>
        <w:tc>
          <w:tcPr>
            <w:tcW w:w="43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Weighted</w:t>
            </w: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12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Range of</w:t>
            </w:r>
          </w:p>
        </w:tc>
        <w:tc>
          <w:tcPr>
            <w:tcW w:w="1220" w:type="dxa"/>
            <w:vAlign w:val="bottom"/>
          </w:tcPr>
          <w:p>
            <w:pPr>
              <w:spacing w:after="0"/>
              <w:rPr>
                <w:sz w:val="14"/>
                <w:szCs w:val="14"/>
                <w:color w:val="auto"/>
              </w:rPr>
            </w:pPr>
          </w:p>
        </w:tc>
        <w:tc>
          <w:tcPr>
            <w:tcW w:w="16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average</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4"/>
                <w:szCs w:val="14"/>
                <w:color w:val="auto"/>
              </w:rPr>
            </w:pPr>
          </w:p>
        </w:tc>
        <w:tc>
          <w:tcPr>
            <w:tcW w:w="14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2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remaining</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Number</w:t>
            </w:r>
          </w:p>
        </w:tc>
        <w:tc>
          <w:tcPr>
            <w:tcW w:w="14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2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prices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outstanding</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contractual life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exercise price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exercise price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2.05-3.96</w:t>
            </w:r>
          </w:p>
        </w:tc>
        <w:tc>
          <w:tcPr>
            <w:tcW w:w="1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5,234,304</w:t>
            </w: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9.20</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9,497</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4.42-4.92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1,290,237</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8.38</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349,856</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5.00-5.96</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148,700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8.06</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47,808</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6.00-6.99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853,856</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7.48</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271,613</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7.00-7.99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621,000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2.12</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7.04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615,541</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8.06-8.99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465,918</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3.39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8.56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413,250</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9.06-9.81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48,013</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0.54</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9.21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48,013</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10.00-10.89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725,887</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6.01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10.42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505,291</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10.42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11.81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200,000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6.41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11.81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133,332</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11.81</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12.13-13.00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52,125</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4.24</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43,789</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12.63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14.25-17.19</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30,750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5.29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15.79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30,750</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15.79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18.75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76,500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4.12</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18.75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76,500</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20.00-25.00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465,630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4.99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24.39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465,630</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24.39</w:t>
            </w:r>
          </w:p>
        </w:tc>
      </w:tr>
      <w:tr>
        <w:trPr>
          <w:trHeight w:val="168"/>
        </w:trPr>
        <w:tc>
          <w:tcPr>
            <w:tcW w:w="1200" w:type="dxa"/>
            <w:vAlign w:val="bottom"/>
          </w:tcPr>
          <w:p>
            <w:pPr>
              <w:spacing w:after="0"/>
              <w:rPr>
                <w:sz w:val="14"/>
                <w:szCs w:val="14"/>
                <w:color w:val="auto"/>
              </w:rPr>
            </w:pP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10,212,920</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7.65</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5.71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3,010,870</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10.78</w:t>
            </w:r>
          </w:p>
        </w:tc>
      </w:tr>
      <w:tr>
        <w:trPr>
          <w:trHeight w:val="168"/>
        </w:trPr>
        <w:tc>
          <w:tcPr>
            <w:tcW w:w="1200" w:type="dxa"/>
            <w:vAlign w:val="bottom"/>
          </w:tcPr>
          <w:p>
            <w:pPr>
              <w:spacing w:after="0"/>
              <w:rPr>
                <w:sz w:val="14"/>
                <w:szCs w:val="14"/>
                <w:color w:val="auto"/>
              </w:rPr>
            </w:pP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505"/>
        </w:trPr>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ind w:left="920"/>
              <w:spacing w:after="0"/>
              <w:rPr>
                <w:sz w:val="20"/>
                <w:szCs w:val="20"/>
                <w:color w:val="auto"/>
              </w:rPr>
            </w:pPr>
            <w:r>
              <w:rPr>
                <w:rFonts w:ascii="Courier New" w:cs="Courier New" w:eastAsia="Courier New" w:hAnsi="Courier New"/>
                <w:sz w:val="15"/>
                <w:szCs w:val="15"/>
                <w:color w:val="auto"/>
              </w:rPr>
              <w:t>F-32</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5" w:name="page126"/>
    <w:bookmarkEnd w:id="1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760" w:right="3239" w:hanging="438"/>
        <w:spacing w:after="0" w:line="234" w:lineRule="auto"/>
        <w:tabs>
          <w:tab w:leader="none" w:pos="17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GRANT-DATE FAIR VALUE OF OPTIONS GRANTED TO EMPLOYEES</w:t>
      </w:r>
    </w:p>
    <w:p>
      <w:pPr>
        <w:spacing w:after="0" w:line="173"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of the options granted during 2004, 2003 and 2002 to employees and directors amounted to $1.53, $2.18 and $2.83 per option, respectively. The Company utilized the Black-Scholes option-pricing model to estimate fair value, utilizing the following assumptions for the years 2004, 2003 and 2002 (all in weighted averages):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24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2.84%-3.88%</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2.88%-3.22%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 years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 years</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4.82 years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annual volatility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65%-82%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None</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None</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None</w:t>
            </w:r>
          </w:p>
        </w:tc>
      </w:tr>
    </w:tbl>
    <w:p>
      <w:pPr>
        <w:spacing w:after="0" w:line="335" w:lineRule="exact"/>
        <w:rPr>
          <w:sz w:val="20"/>
          <w:szCs w:val="20"/>
          <w:color w:val="auto"/>
        </w:rPr>
      </w:pPr>
    </w:p>
    <w:p>
      <w:pPr>
        <w:ind w:left="1320" w:hanging="436"/>
        <w:spacing w:after="0"/>
        <w:tabs>
          <w:tab w:leader="none" w:pos="13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WARRANTS</w:t>
      </w:r>
    </w:p>
    <w:p>
      <w:pPr>
        <w:spacing w:after="0" w:line="172"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 As of December 31, 2004, the Company granted the Banks an aggregate of 1,296,596 warrants to purchase Ordinary Shares of the Company, at an average exercise price of $6.18 per share, at terms described below, all of which were outstanding as of such date:</w:t>
      </w:r>
    </w:p>
    <w:p>
      <w:pPr>
        <w:spacing w:after="0" w:line="173"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IN JANUARY 2001 - In January 2001, as part of the Facility Agreement described in Note 12A(6), the Banks received an aggregate of 400,000 warrants to purchase Ordinary Shares of the Company (200,000 each) at an exercise price, as amended in December 2001, of $6.20 per share. As of December 31, 2004, all of these warrants were fully vested. The warrants are exercisable for a five-year period ending January 2006.</w:t>
      </w:r>
    </w:p>
    <w:p>
      <w:pPr>
        <w:spacing w:after="0" w:line="177"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paying the exercise price in cash as described below, the Banks are entitled to exercise the warrants on a "cashless" basis, i.e. by forfeiting all or part of the warrants in exchange for ordinary shares equal to the aggregate fair market value of the shares underlying the warrants forfeited less the aggregate exercise price.</w:t>
      </w:r>
    </w:p>
    <w:p>
      <w:pPr>
        <w:spacing w:after="0" w:line="174"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6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WARRANTS GRANTED IN DECEMBER 2003 - In December 2003, as part of the amendment to the Facility Agreement described in Note 12A(6), the Banks received an aggregate of 896,596 warrants to purchase Ordinary Shares of the Company (448,298 each) at an exercise price of $6.17 per share, the 15 day average closing price of the Company's Ordinary Shares prior to the date the amendment with the Banks described in Note 12A(6) was signed. As of December 31, 2004, all of the warrants are fully vested. The warrants are exercisable for a five-year period ending December 2008.</w:t>
      </w:r>
    </w:p>
    <w:p>
      <w:pPr>
        <w:spacing w:after="0" w:line="165"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617" w:right="1440" w:bottom="1440" w:gutter="0" w:footer="0" w:header="0"/>
        </w:sectPr>
      </w:pPr>
    </w:p>
    <w:bookmarkStart w:id="126" w:name="page127"/>
    <w:bookmarkEnd w:id="1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WARRANTS (cont.)</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(cont.)</w:t>
      </w:r>
    </w:p>
    <w:p>
      <w:pPr>
        <w:spacing w:after="0" w:line="172" w:lineRule="exact"/>
        <w:rPr>
          <w:rFonts w:ascii="Courier New" w:cs="Courier New" w:eastAsia="Courier New" w:hAnsi="Courier New"/>
          <w:sz w:val="15"/>
          <w:szCs w:val="15"/>
          <w:color w:val="auto"/>
        </w:rPr>
      </w:pPr>
    </w:p>
    <w:p>
      <w:pPr>
        <w:ind w:left="22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BE GRANTED TO THE BANKS - In the event the Banks increase the loans available to be drawn down by the Company under the Facility Agreement, as described in Note 12A(6), the Company will issue the Banks additional five-year warrants equivalent to 30% of the amount drawn down based on the average closing price of the Company's Ordinary Shares during the 15 trading days prior to the time the Company draws down such loans. As of December 31, 2004, no warrants were issued under this commitment.</w:t>
      </w:r>
    </w:p>
    <w:p>
      <w:pPr>
        <w:spacing w:after="0" w:line="179" w:lineRule="exact"/>
        <w:rPr>
          <w:rFonts w:ascii="Courier New" w:cs="Courier New" w:eastAsia="Courier New" w:hAnsi="Courier New"/>
          <w:sz w:val="15"/>
          <w:szCs w:val="15"/>
          <w:color w:val="auto"/>
        </w:rPr>
      </w:pPr>
    </w:p>
    <w:p>
      <w:pPr>
        <w:ind w:left="2200" w:right="3239" w:hanging="441"/>
        <w:spacing w:after="0" w:line="255" w:lineRule="auto"/>
        <w:tabs>
          <w:tab w:leader="none" w:pos="2200" w:val="left"/>
        </w:tabs>
        <w:numPr>
          <w:ilvl w:val="2"/>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GRANTED TO A RELATED PARTY - In consideration for TIC's undertaking described in Note 12A(6), the Company issued TIC warrants for the purchase of 58,906 of the Company's Ordinary Shares. The exercise price for the warrants is $6.17 per share, the 15-day average closing price of the Company's Ordinary Shares prior to the date the amendment with the Banks described in Note 12A(6) was signed. As of December 31, 2004, all of the warrants are fully vested and none of them was exercised. The warrants are exercisable for a five-year period ending December 2008.</w:t>
      </w:r>
    </w:p>
    <w:p>
      <w:pPr>
        <w:spacing w:after="0" w:line="332" w:lineRule="exact"/>
        <w:rPr>
          <w:rFonts w:ascii="Courier New" w:cs="Courier New" w:eastAsia="Courier New" w:hAnsi="Courier New"/>
          <w:sz w:val="14"/>
          <w:szCs w:val="14"/>
          <w:color w:val="auto"/>
        </w:rPr>
      </w:pPr>
    </w:p>
    <w:p>
      <w:pPr>
        <w:ind w:left="220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cost of the warrants award granted to TIC, determined based on the fair value at the grant date in accordance with SFAS 123, amounted to a total of $259. Such amount was allocated to other assets as deferred financing charges and is amortized as financing expense over the terms of the loans under the Facility Agreement with the Banks.</w:t>
      </w:r>
    </w:p>
    <w:p>
      <w:pPr>
        <w:spacing w:after="0" w:line="175" w:lineRule="exact"/>
        <w:rPr>
          <w:rFonts w:ascii="Courier New" w:cs="Courier New" w:eastAsia="Courier New" w:hAnsi="Courier New"/>
          <w:sz w:val="14"/>
          <w:szCs w:val="14"/>
          <w:color w:val="auto"/>
        </w:rPr>
      </w:pPr>
    </w:p>
    <w:p>
      <w:pPr>
        <w:ind w:left="2200"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 the framework of TIC's undertaking described in Note 12A(6), the Company undertook to issue additional warrants to TIC as a subscription fee which will be 5% of the total amount of money invested by TIC in case the TIC's undertaking is realized in consideration for all of the unsubscribed rights that it actually purchases. The exercise price of these warrants shall be the 15-day average closing price</w:t>
      </w:r>
    </w:p>
    <w:p>
      <w:pPr>
        <w:spacing w:after="0" w:line="2" w:lineRule="exact"/>
        <w:rPr>
          <w:rFonts w:ascii="Courier New" w:cs="Courier New" w:eastAsia="Courier New" w:hAnsi="Courier New"/>
          <w:sz w:val="14"/>
          <w:szCs w:val="14"/>
          <w:color w:val="auto"/>
        </w:rPr>
      </w:pPr>
    </w:p>
    <w:p>
      <w:pPr>
        <w:jc w:val="both"/>
        <w:ind w:left="220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Company's Ordinary Shares prior to the date of the rights offering prospectus, and they shall expire five years from their date of issuance.</w:t>
      </w:r>
    </w:p>
    <w:p>
      <w:pPr>
        <w:spacing w:after="0" w:line="167" w:lineRule="exact"/>
        <w:rPr>
          <w:rFonts w:ascii="Courier New" w:cs="Courier New" w:eastAsia="Courier New" w:hAnsi="Courier New"/>
          <w:sz w:val="14"/>
          <w:szCs w:val="14"/>
          <w:color w:val="auto"/>
        </w:rPr>
      </w:pPr>
    </w:p>
    <w:p>
      <w:pPr>
        <w:ind w:left="2200" w:hanging="441"/>
        <w:spacing w:after="0"/>
        <w:tabs>
          <w:tab w:leader="none" w:pos="2200"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TO OTPP - See Note 12A(4).</w:t>
      </w:r>
    </w:p>
    <w:p>
      <w:pPr>
        <w:spacing w:after="0" w:line="173" w:lineRule="exact"/>
        <w:rPr>
          <w:sz w:val="20"/>
          <w:szCs w:val="20"/>
          <w:color w:val="auto"/>
        </w:rPr>
      </w:pPr>
    </w:p>
    <w:p>
      <w:pPr>
        <w:ind w:left="1760" w:right="3319"/>
        <w:spacing w:after="0" w:line="235" w:lineRule="auto"/>
        <w:rPr>
          <w:sz w:val="20"/>
          <w:szCs w:val="20"/>
          <w:color w:val="auto"/>
        </w:rPr>
      </w:pPr>
      <w:r>
        <w:rPr>
          <w:rFonts w:ascii="Courier New" w:cs="Courier New" w:eastAsia="Courier New" w:hAnsi="Courier New"/>
          <w:sz w:val="15"/>
          <w:szCs w:val="15"/>
          <w:color w:val="auto"/>
        </w:rPr>
        <w:t>The Company utilized the Black-Scholes option pricing model to estimate fair values of options and warrants granted to non-employees, utilizing the assumptions similar to those presented in paragraph B(4) above.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617" w:right="1440" w:bottom="1440" w:gutter="0" w:footer="0" w:header="0"/>
        </w:sectPr>
      </w:pPr>
    </w:p>
    <w:bookmarkStart w:id="127" w:name="page128"/>
    <w:bookmarkEnd w:id="1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LOSS PER SHARE ACCORDING TO SFAS 123 AND SFAS 148</w:t>
      </w:r>
    </w:p>
    <w:p>
      <w:pPr>
        <w:spacing w:after="0" w:line="177" w:lineRule="exact"/>
        <w:rPr>
          <w:rFonts w:ascii="Courier New" w:cs="Courier New" w:eastAsia="Courier New" w:hAnsi="Courier New"/>
          <w:sz w:val="14"/>
          <w:szCs w:val="14"/>
          <w:color w:val="auto"/>
        </w:rPr>
      </w:pPr>
    </w:p>
    <w:p>
      <w:pPr>
        <w:ind w:left="17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all awards made through December 31, 2004 in accordance with SFAS 123, as amended by SFAS 148, the Company's pro forma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(8,437)</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(7,476)</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(122,671)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(58,736)</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320" w:hanging="436"/>
        <w:spacing w:after="0"/>
        <w:tabs>
          <w:tab w:leader="none" w:pos="13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w:t>
      </w:r>
    </w:p>
    <w:p>
      <w:pPr>
        <w:spacing w:after="0" w:line="172"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69"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DISTRIBUTIONS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as amended (Note 12A(6)), the Company undertook not to distribute any dividends prior to January 1, 2008. Any dividend distributions after that date shall be subject to provisions stipulated in such agreement, mainly the prior approval of the Banks.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17" w:right="1440" w:bottom="1440" w:gutter="0" w:footer="0" w:header="0"/>
        </w:sectPr>
      </w:pPr>
    </w:p>
    <w:bookmarkStart w:id="128" w:name="page129"/>
    <w:bookmarkEnd w:id="1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SHAREHOLDERS' EQUITY (cont.)</w:t>
      </w:r>
    </w:p>
    <w:p>
      <w:pPr>
        <w:spacing w:after="0" w:line="166" w:lineRule="exact"/>
        <w:rPr>
          <w:sz w:val="20"/>
          <w:szCs w:val="20"/>
          <w:color w:val="auto"/>
        </w:rPr>
      </w:pPr>
    </w:p>
    <w:p>
      <w:pPr>
        <w:ind w:left="1320" w:hanging="436"/>
        <w:spacing w:after="0"/>
        <w:tabs>
          <w:tab w:leader="none" w:pos="13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2002, the Company issued on the Tel Aviv Stock Exchange, Israel NIS 110,579,800 principal amount of convertible debentures, under terms described in Note 10. Together with the convertible debentures the Company issued for no consideration an aggregate of 552,899 options (all of which expired without being exercised) and 2,211,596 Options (Series 1) exercisable into one Ordinary Share of the Company until January 20, 2006 at an exercise price of NIS 39.00 (subject to customary adjustments), linked to the Israeli Consumer Price Index (as of December 31, 2004 - NIS 41.20, $9.56). The total initial proceeds raised were $23,200, and costs related to the issuance of the securities and the prospectus were approximately $1,750. See Note 19E for the disclosure of the accounting treatment of the sale of these securities under U.S. GAAP.</w:t>
      </w:r>
    </w:p>
    <w:p>
      <w:pPr>
        <w:spacing w:after="0" w:line="15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2002, the Company issued in connection with a rights offering done on the Nasdaq and on the Tel-Aviv Stock Exchange in Israel 4,097,964 Ordinary Shares of the Company and 1,844,070 warrants, all of which were outstanding as of December 31, 2004, to purchase Ordinary Shares of the Company, in consideration for an aggregate of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 were approximately $800.</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w:t>
      </w:r>
    </w:p>
    <w:p>
      <w:pPr>
        <w:spacing w:after="0" w:line="172" w:lineRule="exact"/>
        <w:rPr>
          <w:rFonts w:ascii="Courier New" w:cs="Courier New" w:eastAsia="Courier New" w:hAnsi="Courier New"/>
          <w:sz w:val="15"/>
          <w:szCs w:val="15"/>
          <w:color w:val="auto"/>
        </w:rPr>
      </w:pPr>
    </w:p>
    <w:p>
      <w:pPr>
        <w:ind w:left="132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first quarter of 2004, the Company completed a public offering of its Ordinary Shares at a price of $7.00 per share. Following the offering, and including the partial exercise of an over-allotment option the Company granted the underwriters, the Company issued 11,444,500 of its Ordinary Shares, in</w:t>
      </w:r>
    </w:p>
    <w:p>
      <w:pPr>
        <w:spacing w:after="0" w:line="2" w:lineRule="exact"/>
        <w:rPr>
          <w:sz w:val="20"/>
          <w:szCs w:val="20"/>
          <w:color w:val="auto"/>
        </w:rPr>
      </w:pPr>
    </w:p>
    <w:p>
      <w:pPr>
        <w:ind w:left="1320" w:right="3239"/>
        <w:spacing w:after="0" w:line="234" w:lineRule="auto"/>
        <w:rPr>
          <w:sz w:val="20"/>
          <w:szCs w:val="20"/>
          <w:color w:val="auto"/>
        </w:rPr>
      </w:pPr>
      <w:r>
        <w:rPr>
          <w:rFonts w:ascii="Courier New" w:cs="Courier New" w:eastAsia="Courier New" w:hAnsi="Courier New"/>
          <w:sz w:val="15"/>
          <w:szCs w:val="15"/>
          <w:color w:val="auto"/>
        </w:rPr>
        <w:t>consideration for gross proceeds of $80,112 (net of related costs - $75,086).</w:t>
      </w:r>
    </w:p>
    <w:p>
      <w:pPr>
        <w:ind w:left="3340"/>
        <w:spacing w:after="0" w:line="237" w:lineRule="auto"/>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440" w:gutter="0" w:footer="0" w:header="0"/>
        </w:sectPr>
      </w:pPr>
    </w:p>
    <w:bookmarkStart w:id="129" w:name="page130"/>
    <w:bookmarkEnd w:id="1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INFORMATION ON GEOGRAPHIC AREAS AND MAJOR CUSTOMERS</w:t>
      </w:r>
    </w:p>
    <w:p>
      <w:pPr>
        <w:spacing w:after="0" w:line="166" w:lineRule="exact"/>
        <w:rPr>
          <w:sz w:val="20"/>
          <w:szCs w:val="20"/>
          <w:color w:val="auto"/>
        </w:rPr>
      </w:pPr>
    </w:p>
    <w:p>
      <w:pPr>
        <w:ind w:left="1320" w:hanging="436"/>
        <w:spacing w:after="0"/>
        <w:tabs>
          <w:tab w:leader="none" w:pos="13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GEOGRAPHIC AREA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22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5"/>
              </w:rPr>
              <w:t>Year ended December 31,</w:t>
            </w:r>
          </w:p>
        </w:tc>
      </w:tr>
      <w:tr>
        <w:trPr>
          <w:trHeight w:val="168"/>
        </w:trPr>
        <w:tc>
          <w:tcPr>
            <w:tcW w:w="312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120" w:type="dxa"/>
            <w:vAlign w:val="bottom"/>
          </w:tcPr>
          <w:p>
            <w:pPr>
              <w:spacing w:after="0"/>
              <w:rPr>
                <w:sz w:val="14"/>
                <w:szCs w:val="14"/>
                <w:color w:val="auto"/>
              </w:rPr>
            </w:pP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Asia Pacific - in 2004, primarily</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Taiwan; in 2003, Taiwan; in</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2002, primarily Japan</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1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1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320" w:right="3399" w:hanging="436"/>
        <w:spacing w:after="0" w:line="234" w:lineRule="auto"/>
        <w:tabs>
          <w:tab w:leader="none" w:pos="13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BY GEOGRAPHIC AREA - Substantially all of the Company's long-lived assets are located in Israel.</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CUSTOMERS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5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5"/>
              </w:rPr>
              <w:t>Year ended December</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31,</w:t>
            </w:r>
          </w:p>
        </w:tc>
      </w:tr>
      <w:tr>
        <w:trPr>
          <w:trHeight w:val="168"/>
        </w:trPr>
        <w:tc>
          <w:tcPr>
            <w:tcW w:w="2500" w:type="dxa"/>
            <w:vAlign w:val="bottom"/>
          </w:tcPr>
          <w:p>
            <w:pPr>
              <w:spacing w:after="0"/>
              <w:rPr>
                <w:sz w:val="14"/>
                <w:szCs w:val="14"/>
                <w:color w:val="auto"/>
              </w:rPr>
            </w:pPr>
          </w:p>
        </w:tc>
        <w:tc>
          <w:tcPr>
            <w:tcW w:w="2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4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2500" w:type="dxa"/>
            <w:vAlign w:val="bottom"/>
          </w:tcPr>
          <w:p>
            <w:pPr>
              <w:spacing w:after="0"/>
              <w:rPr>
                <w:sz w:val="14"/>
                <w:szCs w:val="14"/>
                <w:color w:val="auto"/>
              </w:rPr>
            </w:pPr>
          </w:p>
        </w:tc>
        <w:tc>
          <w:tcPr>
            <w:tcW w:w="14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341" w:lineRule="exact"/>
        <w:rPr>
          <w:sz w:val="20"/>
          <w:szCs w:val="20"/>
          <w:color w:val="auto"/>
        </w:rPr>
      </w:pPr>
    </w:p>
    <w:p>
      <w:pPr>
        <w:ind w:left="440" w:right="3579" w:hanging="430"/>
        <w:spacing w:after="0" w:line="235" w:lineRule="auto"/>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sales to five different customers each of whom accounted for between 1% and 8% of sales during 2004; to six customers (0%-9%) during 2003; and to five customers (2%-7%) during 2002.</w:t>
      </w:r>
    </w:p>
    <w:p>
      <w:pPr>
        <w:spacing w:after="0" w:line="174" w:lineRule="exact"/>
        <w:rPr>
          <w:sz w:val="20"/>
          <w:szCs w:val="20"/>
          <w:color w:val="auto"/>
        </w:rPr>
      </w:pPr>
    </w:p>
    <w:p>
      <w:pPr>
        <w:ind w:left="1320" w:right="3759"/>
        <w:spacing w:after="0" w:line="235" w:lineRule="auto"/>
        <w:rPr>
          <w:sz w:val="20"/>
          <w:szCs w:val="20"/>
          <w:color w:val="auto"/>
        </w:rPr>
      </w:pPr>
      <w:r>
        <w:rPr>
          <w:rFonts w:ascii="Courier New" w:cs="Courier New" w:eastAsia="Courier New" w:hAnsi="Courier New"/>
          <w:sz w:val="15"/>
          <w:szCs w:val="15"/>
          <w:color w:val="auto"/>
        </w:rPr>
        <w:t>As of December 31, 2004 and 2003, the above major customers constituted the majority of the trade accounts receivable reflected on the balance sheets.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FINANCING EXPENSE, NET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Financing income expense, net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3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600" w:type="dxa"/>
            <w:vAlign w:val="bottom"/>
          </w:tcPr>
          <w:p>
            <w:pPr>
              <w:spacing w:after="0"/>
              <w:rPr>
                <w:sz w:val="14"/>
                <w:szCs w:val="14"/>
                <w:color w:val="auto"/>
              </w:rPr>
            </w:pPr>
          </w:p>
        </w:tc>
        <w:tc>
          <w:tcPr>
            <w:tcW w:w="3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Financial expenses (primarily bank loan interest)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(29,709)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(16,073)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(11,669)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expenses in relation</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convertible debentures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capitalized interest - Note 6A(3)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6,892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10,260</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(30,942)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(10,379)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(primarily bank deposit interest)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expense, net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(29,745)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(9,826)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(2,104)</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00" w:type="dxa"/>
            <w:vAlign w:val="bottom"/>
          </w:tcPr>
          <w:p>
            <w:pPr>
              <w:ind w:left="3340"/>
              <w:spacing w:after="0"/>
              <w:rPr>
                <w:sz w:val="20"/>
                <w:szCs w:val="20"/>
                <w:color w:val="auto"/>
              </w:rPr>
            </w:pPr>
            <w:r>
              <w:rPr>
                <w:rFonts w:ascii="Courier New" w:cs="Courier New" w:eastAsia="Courier New" w:hAnsi="Courier New"/>
                <w:sz w:val="15"/>
                <w:szCs w:val="15"/>
                <w:color w:val="auto"/>
              </w:rPr>
              <w:t>F-37</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0" w:name="page131"/>
    <w:bookmarkEnd w:id="13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INCOME TAXES</w:t>
      </w:r>
    </w:p>
    <w:p>
      <w:pPr>
        <w:spacing w:after="0" w:line="166" w:lineRule="exact"/>
        <w:rPr>
          <w:sz w:val="20"/>
          <w:szCs w:val="20"/>
          <w:color w:val="auto"/>
        </w:rPr>
      </w:pPr>
    </w:p>
    <w:p>
      <w:pPr>
        <w:ind w:left="1320" w:hanging="436"/>
        <w:spacing w:after="0"/>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32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Substantially all of the Company's existing facilities as of December 31, 2004 have been granted approved enterprise status, as provided by the Israeli Law for the Encouragement of Capital Investments - 1959 ("Investments Law") (see Note 6B).</w:t>
      </w:r>
    </w:p>
    <w:p>
      <w:pPr>
        <w:spacing w:after="0" w:line="164"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2012. Taxable income attributable to Fab 2 approved program shall be tax-exempt for the first two years it arises. The portion of the Company's taxable income that is not attributable to approved enterprise investments is taxed at a rate of 35% in 2004 (regular "Company Tax"). The regular Company Tax rate is to be gradually reduced to 30% until 2007 (34% in 2005, 32% in 2006 and 30% in 2007).</w:t>
      </w:r>
    </w:p>
    <w:p>
      <w:pPr>
        <w:spacing w:after="0" w:line="164"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6B and 12A(8).</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DEFERRED TAX ASSET/LIABILITY</w:t>
      </w:r>
    </w:p>
    <w:p>
      <w:pPr>
        <w:spacing w:after="0" w:line="172" w:lineRule="exact"/>
        <w:rPr>
          <w:rFonts w:ascii="Courier New" w:cs="Courier New" w:eastAsia="Courier New" w:hAnsi="Courier New"/>
          <w:sz w:val="15"/>
          <w:szCs w:val="15"/>
          <w:color w:val="auto"/>
        </w:rPr>
      </w:pPr>
    </w:p>
    <w:p>
      <w:pPr>
        <w:ind w:left="13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8"/>
              </w:rPr>
              <w:t>As of December 31,</w:t>
            </w:r>
          </w:p>
        </w:tc>
      </w:tr>
      <w:tr>
        <w:trPr>
          <w:trHeight w:val="168"/>
        </w:trPr>
        <w:tc>
          <w:tcPr>
            <w:tcW w:w="4900" w:type="dxa"/>
            <w:vAlign w:val="bottom"/>
          </w:tcPr>
          <w:p>
            <w:pPr>
              <w:spacing w:after="0"/>
              <w:rPr>
                <w:sz w:val="14"/>
                <w:szCs w:val="14"/>
                <w:color w:val="auto"/>
              </w:rPr>
            </w:pPr>
          </w:p>
        </w:tc>
        <w:tc>
          <w:tcPr>
            <w:tcW w:w="22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DEFERRED TAX BENEFIT - CURRENT</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 pay</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3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current deferred tax benefit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BENEFIT - LONG-TERM</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$ 112,147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58,048</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3,748</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Liability for employee rights upon severance</w:t>
            </w: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116,278</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62,683</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3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(75,613)</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(43,861)</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40,665</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18,822</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 - depreciation and amortization</w:t>
            </w:r>
          </w:p>
        </w:tc>
        <w:tc>
          <w:tcPr>
            <w:tcW w:w="3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(40,665)</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(18,822)</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net long-term deferred tax benefit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ind w:left="3340"/>
              <w:spacing w:after="0"/>
              <w:rPr>
                <w:sz w:val="20"/>
                <w:szCs w:val="20"/>
                <w:color w:val="auto"/>
              </w:rPr>
            </w:pPr>
            <w:r>
              <w:rPr>
                <w:rFonts w:ascii="Courier New" w:cs="Courier New" w:eastAsia="Courier New" w:hAnsi="Courier New"/>
                <w:sz w:val="15"/>
                <w:szCs w:val="15"/>
                <w:color w:val="auto"/>
              </w:rPr>
              <w:t>F-38</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1" w:name="page132"/>
    <w:bookmarkEnd w:id="1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INCOME TAXES (cont.)</w:t>
      </w:r>
    </w:p>
    <w:p>
      <w:pPr>
        <w:spacing w:after="0" w:line="166" w:lineRule="exact"/>
        <w:rPr>
          <w:sz w:val="20"/>
          <w:szCs w:val="20"/>
          <w:color w:val="auto"/>
        </w:rPr>
      </w:pPr>
    </w:p>
    <w:p>
      <w:pPr>
        <w:ind w:left="1320" w:hanging="436"/>
        <w:spacing w:after="0"/>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INCOME TAX RATES</w:t>
      </w:r>
    </w:p>
    <w:p>
      <w:pPr>
        <w:spacing w:after="0" w:line="172" w:lineRule="exact"/>
        <w:rPr>
          <w:rFonts w:ascii="Courier New" w:cs="Courier New" w:eastAsia="Courier New" w:hAnsi="Courier New"/>
          <w:sz w:val="15"/>
          <w:szCs w:val="15"/>
          <w:color w:val="auto"/>
        </w:rPr>
      </w:pPr>
    </w:p>
    <w:p>
      <w:pPr>
        <w:ind w:left="132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reconciliation of the statutory tax rate to the Company's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4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820" w:type="dxa"/>
            <w:vAlign w:val="bottom"/>
          </w:tcPr>
          <w:p>
            <w:pPr>
              <w:spacing w:after="0"/>
              <w:rPr>
                <w:sz w:val="14"/>
                <w:szCs w:val="14"/>
                <w:color w:val="auto"/>
              </w:rPr>
            </w:pPr>
          </w:p>
        </w:tc>
        <w:tc>
          <w:tcPr>
            <w:tcW w:w="24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Israeli statutory rate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Reduced tax rate for approved enterprise</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benefits for which deferred taxes</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were not recorded</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differences and other, net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320" w:hanging="436"/>
        <w:spacing w:after="0"/>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CARRYFORWARD</w:t>
      </w:r>
    </w:p>
    <w:p>
      <w:pPr>
        <w:spacing w:after="0" w:line="172"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2004, the Company had net operating loss carryforwards for tax purposes of approximately $560,000, which may be carried forward for an unlimited period of time.</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TAX ASSESSMENTS</w:t>
      </w:r>
    </w:p>
    <w:p>
      <w:pPr>
        <w:spacing w:after="0" w:line="173" w:lineRule="exact"/>
        <w:rPr>
          <w:sz w:val="20"/>
          <w:szCs w:val="20"/>
          <w:color w:val="auto"/>
        </w:rPr>
      </w:pPr>
    </w:p>
    <w:p>
      <w:pPr>
        <w:ind w:left="1320" w:right="3399"/>
        <w:spacing w:after="0" w:line="235" w:lineRule="auto"/>
        <w:rPr>
          <w:sz w:val="20"/>
          <w:szCs w:val="20"/>
          <w:color w:val="auto"/>
        </w:rPr>
      </w:pPr>
      <w:r>
        <w:rPr>
          <w:rFonts w:ascii="Courier New" w:cs="Courier New" w:eastAsia="Courier New" w:hAnsi="Courier New"/>
          <w:sz w:val="15"/>
          <w:szCs w:val="15"/>
          <w:color w:val="auto"/>
        </w:rPr>
        <w:t>The Company possesses final tax assessments under agreement through the year 1998. In addition, the tax assessments for the years 1999 and 2000 are deemed final.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FINANCIAL INSTRUMENTS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76" w:lineRule="exact"/>
        <w:rPr>
          <w:sz w:val="20"/>
          <w:szCs w:val="20"/>
          <w:color w:val="auto"/>
        </w:rPr>
      </w:pPr>
    </w:p>
    <w:p>
      <w:pPr>
        <w:ind w:left="880" w:right="3399"/>
        <w:spacing w:after="0" w:line="256" w:lineRule="auto"/>
        <w:rPr>
          <w:sz w:val="20"/>
          <w:szCs w:val="20"/>
          <w:color w:val="auto"/>
        </w:rPr>
      </w:pPr>
      <w:r>
        <w:rPr>
          <w:rFonts w:ascii="Courier New" w:cs="Courier New" w:eastAsia="Courier New" w:hAnsi="Courier New"/>
          <w:sz w:val="14"/>
          <w:szCs w:val="14"/>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3" w:lineRule="exact"/>
        <w:rPr>
          <w:sz w:val="20"/>
          <w:szCs w:val="20"/>
          <w:color w:val="auto"/>
        </w:rPr>
      </w:pPr>
    </w:p>
    <w:p>
      <w:pPr>
        <w:ind w:left="880" w:right="3759"/>
        <w:spacing w:after="0" w:line="261" w:lineRule="auto"/>
        <w:rPr>
          <w:sz w:val="20"/>
          <w:szCs w:val="20"/>
          <w:color w:val="auto"/>
        </w:rPr>
      </w:pPr>
      <w:r>
        <w:rPr>
          <w:rFonts w:ascii="Courier New" w:cs="Courier New" w:eastAsia="Courier New" w:hAnsi="Courier New"/>
          <w:sz w:val="14"/>
          <w:szCs w:val="14"/>
          <w:color w:val="auto"/>
        </w:rPr>
        <w:t>See Note 19C for disclosure related to the Company's derivatives financial instruments in accordance with U.S. GAAP.</w:t>
      </w:r>
    </w:p>
    <w:p>
      <w:pPr>
        <w:spacing w:after="0" w:line="153" w:lineRule="exact"/>
        <w:rPr>
          <w:sz w:val="20"/>
          <w:szCs w:val="20"/>
          <w:color w:val="auto"/>
        </w:rPr>
      </w:pPr>
    </w:p>
    <w:p>
      <w:pPr>
        <w:ind w:left="1320" w:hanging="436"/>
        <w:spacing w:after="0"/>
        <w:tabs>
          <w:tab w:leader="none" w:pos="13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617" w:right="1440" w:bottom="1440" w:gutter="0" w:footer="0" w:header="0"/>
        </w:sectPr>
      </w:pPr>
    </w:p>
    <w:bookmarkStart w:id="132" w:name="page133"/>
    <w:bookmarkEnd w:id="13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FINANCIAL INSTRUMENTS (cont.)</w:t>
      </w:r>
    </w:p>
    <w:p>
      <w:pPr>
        <w:spacing w:after="0" w:line="166" w:lineRule="exact"/>
        <w:rPr>
          <w:sz w:val="20"/>
          <w:szCs w:val="20"/>
          <w:color w:val="auto"/>
        </w:rPr>
      </w:pPr>
    </w:p>
    <w:p>
      <w:pPr>
        <w:ind w:left="1320" w:hanging="436"/>
        <w:spacing w:after="0"/>
        <w:tabs>
          <w:tab w:leader="none" w:pos="13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the Company, from time to time, enters into agreements to hedge variable interest rate exposure on long-term loans (see Note 9).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64" w:lineRule="exact"/>
        <w:rPr>
          <w:rFonts w:ascii="Courier New" w:cs="Courier New" w:eastAsia="Courier New" w:hAnsi="Courier New"/>
          <w:sz w:val="15"/>
          <w:szCs w:val="15"/>
          <w:color w:val="auto"/>
        </w:rPr>
      </w:pPr>
    </w:p>
    <w:p>
      <w:pPr>
        <w:ind w:left="132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hold or issue derivative financial instruments for non-hedging purposes.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 OF FINANCIAL INSTRUMENTS, INCLUDING DERIVATIVES</w:t>
      </w:r>
    </w:p>
    <w:p>
      <w:pPr>
        <w:spacing w:after="0" w:line="172" w:lineRule="exact"/>
        <w:rPr>
          <w:rFonts w:ascii="Courier New" w:cs="Courier New" w:eastAsia="Courier New" w:hAnsi="Courier New"/>
          <w:sz w:val="15"/>
          <w:szCs w:val="15"/>
          <w:color w:val="auto"/>
        </w:rPr>
      </w:pPr>
    </w:p>
    <w:p>
      <w:pPr>
        <w:ind w:left="1320"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face or contract amounts of derivatives do not represent amounts exchanged by the parties and, accordingly, are not a measure of the exposure of the Company through its use of derivatives.</w:t>
      </w:r>
    </w:p>
    <w:p>
      <w:pPr>
        <w:spacing w:after="0" w:line="175"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HEDGING ACTIVITIES IN THE FINANCIAL STATEMENTS</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2004 and 2003, there were no outstanding foreign exchange agreements (options) to hedge exposure related to the purchase of machinery and equipment.</w:t>
      </w:r>
    </w:p>
    <w:p>
      <w:pPr>
        <w:spacing w:after="0" w:line="1" w:lineRule="exact"/>
        <w:rPr>
          <w:rFonts w:ascii="Courier New" w:cs="Courier New" w:eastAsia="Courier New" w:hAnsi="Courier New"/>
          <w:sz w:val="14"/>
          <w:szCs w:val="14"/>
          <w:color w:val="auto"/>
        </w:rPr>
      </w:pPr>
    </w:p>
    <w:p>
      <w:pPr>
        <w:ind w:left="1760" w:right="40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loss resulted from these agreements in 2004 was immaterial.</w:t>
      </w:r>
    </w:p>
    <w:p>
      <w:pPr>
        <w:spacing w:after="0" w:line="5" w:lineRule="exact"/>
        <w:rPr>
          <w:rFonts w:ascii="Courier New" w:cs="Courier New" w:eastAsia="Courier New" w:hAnsi="Courier New"/>
          <w:sz w:val="14"/>
          <w:szCs w:val="14"/>
          <w:color w:val="auto"/>
        </w:rPr>
      </w:pPr>
    </w:p>
    <w:p>
      <w:pPr>
        <w:jc w:val="both"/>
        <w:ind w:left="176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agreements resulted in 2003 in a gain of $2,357 of which $1,663 was capitalized to fixed assets (in 2002 - $3,062 and $2,770, respectively).</w:t>
      </w:r>
    </w:p>
    <w:p>
      <w:pPr>
        <w:spacing w:after="0" w:line="173" w:lineRule="exact"/>
        <w:rPr>
          <w:rFonts w:ascii="Courier New" w:cs="Courier New" w:eastAsia="Courier New" w:hAnsi="Courier New"/>
          <w:sz w:val="14"/>
          <w:szCs w:val="14"/>
          <w:color w:val="auto"/>
        </w:rPr>
      </w:pPr>
    </w:p>
    <w:p>
      <w:pPr>
        <w:ind w:left="1760" w:right="3239" w:hanging="438"/>
        <w:spacing w:after="0" w:line="236" w:lineRule="auto"/>
        <w:tabs>
          <w:tab w:leader="none" w:pos="176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2004 and 2003, the Company had outstanding agreements to hedge interest rate exposure on loans to be withdrawn under the Facility Agreement, the aggregate amount of which was $292,000 and $212,000 respectively all of which is attributable to Fab 2. These agreements resulted in 2004 in a loss of $5,629, of which $0 was capitalized to property and equipment; in 2003 - $5,335 and $2,547, respectively; in 2002 - $3,707 and $3,593, respectively.</w:t>
      </w:r>
    </w:p>
    <w:p>
      <w:pPr>
        <w:spacing w:after="0" w:line="171"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The estimated fair values of the Company's financial instruments, excluding the Company's agreements to hedge interest rate exposure on long-term loans, did not materially differ from their respective carrying amounts as of December 31, 2004 and 2003. The fair value of the interest rate hedging transactions as of December 31, 2004 would have resulted in an unrealized capitalizable loss of $2,406 (as of December 31, 2003 - $9,920).</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617"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540" w:type="dxa"/>
            <w:vAlign w:val="bottom"/>
            <w:gridSpan w:val="5"/>
          </w:tcPr>
          <w:p>
            <w:pPr>
              <w:jc w:val="right"/>
              <w:ind w:right="527"/>
              <w:spacing w:after="0"/>
              <w:rPr>
                <w:sz w:val="20"/>
                <w:szCs w:val="20"/>
                <w:color w:val="auto"/>
              </w:rPr>
            </w:pPr>
            <w:r>
              <w:rPr>
                <w:rFonts w:ascii="Courier New" w:cs="Courier New" w:eastAsia="Courier New" w:hAnsi="Courier New"/>
                <w:sz w:val="15"/>
                <w:szCs w:val="15"/>
                <w:color w:val="auto"/>
              </w:rPr>
              <w:t>TOWER SEMICONDUCTOR LTD. AND SUBSIDIARY</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454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1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600" w:type="dxa"/>
            <w:vAlign w:val="bottom"/>
          </w:tcPr>
          <w:p>
            <w:pPr>
              <w:spacing w:after="0"/>
              <w:rPr>
                <w:sz w:val="14"/>
                <w:szCs w:val="14"/>
                <w:color w:val="auto"/>
              </w:rPr>
            </w:pPr>
          </w:p>
        </w:tc>
      </w:tr>
      <w:tr>
        <w:trPr>
          <w:trHeight w:val="336"/>
        </w:trPr>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NOTE 18 - RELATED PARTIES BALANCES AND TRANSACTIONS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A.</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3"/>
        </w:trPr>
        <w:tc>
          <w:tcPr>
            <w:tcW w:w="1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2003</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Trade accounts receivable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5,286</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B.</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TRANSACTIONS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73"/>
        </w:trPr>
        <w:tc>
          <w:tcPr>
            <w:tcW w:w="1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c>
          <w:tcPr>
            <w:tcW w:w="28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400" w:type="dxa"/>
            <w:vAlign w:val="bottom"/>
          </w:tcPr>
          <w:p>
            <w:pPr>
              <w:spacing w:after="0"/>
              <w:rPr>
                <w:sz w:val="24"/>
                <w:szCs w:val="24"/>
                <w:color w:val="auto"/>
              </w:rPr>
            </w:pP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$ 37,521</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$ 13,282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3,836</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Management fees</w:t>
            </w:r>
          </w:p>
        </w:tc>
        <w:tc>
          <w:tcPr>
            <w:tcW w:w="24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Expense reimbursements paid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Royalties received - Note 12F(2)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Application of customer advances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towards purchases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conversion of customer advances -</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 12A(5)</w:t>
            </w:r>
          </w:p>
        </w:tc>
        <w:tc>
          <w:tcPr>
            <w:tcW w:w="24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Purchases of raw materials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Development costs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Expense reimbursements received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320" w:right="3239" w:hanging="436"/>
        <w:spacing w:after="0" w:line="235" w:lineRule="auto"/>
        <w:tabs>
          <w:tab w:leader="none" w:pos="13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commitments, contingencies and other transactions relating to Fab 2 Wafer Partner and Equity Investor agreements - see Note 12A.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w:t>
      </w:r>
    </w:p>
    <w:p>
      <w:pPr>
        <w:spacing w:after="0" w:line="173" w:lineRule="exact"/>
        <w:rPr>
          <w:sz w:val="20"/>
          <w:szCs w:val="20"/>
          <w:color w:val="auto"/>
        </w:rPr>
      </w:pPr>
    </w:p>
    <w:p>
      <w:pPr>
        <w:ind w:left="880" w:right="3319"/>
        <w:spacing w:after="0" w:line="256" w:lineRule="auto"/>
        <w:rPr>
          <w:sz w:val="20"/>
          <w:szCs w:val="20"/>
          <w:color w:val="auto"/>
        </w:rPr>
      </w:pPr>
      <w:r>
        <w:rPr>
          <w:rFonts w:ascii="Courier New" w:cs="Courier New" w:eastAsia="Courier New" w:hAnsi="Courier New"/>
          <w:sz w:val="14"/>
          <w:szCs w:val="14"/>
          <w:color w:val="auto"/>
        </w:rPr>
        <w:t>With regard to the Company's financial statements, the material differences between GAAP in Israel and in the U.S. relate to the following. See G below for the presentation of the Company's balance sheets as of December 31, 2004 and 2003 in accordance with U.S. GAAP.</w:t>
      </w:r>
    </w:p>
    <w:p>
      <w:pPr>
        <w:spacing w:after="0" w:line="164" w:lineRule="exact"/>
        <w:rPr>
          <w:sz w:val="20"/>
          <w:szCs w:val="20"/>
          <w:color w:val="auto"/>
        </w:rPr>
      </w:pPr>
    </w:p>
    <w:p>
      <w:pPr>
        <w:ind w:left="1320" w:right="3679" w:hanging="436"/>
        <w:spacing w:after="0" w:line="234" w:lineRule="auto"/>
        <w:tabs>
          <w:tab w:leader="none" w:pos="13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3"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the Company's designated cash, short-term and long-term interest-bearing deposits should be excluded from current assets and long-term investments and presented separately as a non-current asset. Accordingly, as of December 31, 2004, $53,793 and $5,134 were reclassified, respectively, from current assets and long-term investments to a long-term asset (as of December 31, 2003 - $44,042 and $4,848, respectively).</w:t>
      </w:r>
    </w:p>
    <w:p>
      <w:pPr>
        <w:spacing w:after="0" w:line="17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PRESENTATION OF NET LONG-TERM LIABILITIES IN RESPECT OF EMPLOYEES</w:t>
      </w:r>
    </w:p>
    <w:p>
      <w:pPr>
        <w:spacing w:after="0" w:line="177" w:lineRule="exact"/>
        <w:rPr>
          <w:rFonts w:ascii="Courier New" w:cs="Courier New" w:eastAsia="Courier New" w:hAnsi="Courier New"/>
          <w:sz w:val="14"/>
          <w:szCs w:val="14"/>
          <w:color w:val="auto"/>
        </w:rPr>
      </w:pPr>
    </w:p>
    <w:p>
      <w:pPr>
        <w:ind w:left="1320" w:right="35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U.S. GAAP, assets and liabilities relating to severance arrangements are to be presented separately and are not to be offset, while according to Israeli GAAP such an offset is required. Accordingly, as of December 31, 2004 an amount of $16,350 was reclassified from other long-term liabilities to long-term investments (as of December 31, 2003-$14,607).</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617" w:right="1440" w:bottom="853" w:gutter="0" w:footer="0" w:header="0"/>
        </w:sectPr>
      </w:pPr>
    </w:p>
    <w:bookmarkStart w:id="134" w:name="page135"/>
    <w:bookmarkEnd w:id="13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66" w:lineRule="exact"/>
        <w:rPr>
          <w:sz w:val="20"/>
          <w:szCs w:val="20"/>
          <w:color w:val="auto"/>
        </w:rPr>
      </w:pPr>
    </w:p>
    <w:p>
      <w:pPr>
        <w:ind w:left="1320" w:hanging="436"/>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77"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77" w:lineRule="exact"/>
        <w:rPr>
          <w:rFonts w:ascii="Courier New" w:cs="Courier New" w:eastAsia="Courier New" w:hAnsi="Courier New"/>
          <w:sz w:val="15"/>
          <w:szCs w:val="15"/>
          <w:color w:val="auto"/>
        </w:rPr>
      </w:pPr>
    </w:p>
    <w:p>
      <w:pPr>
        <w:ind w:left="1760" w:right="3319" w:hanging="438"/>
        <w:spacing w:after="0" w:line="255" w:lineRule="auto"/>
        <w:tabs>
          <w:tab w:leader="none" w:pos="17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2004 and 2003, there were not any outstanding foreign exchange agreements.</w:t>
      </w:r>
    </w:p>
    <w:p>
      <w:pPr>
        <w:spacing w:after="0" w:line="163" w:lineRule="exact"/>
        <w:rPr>
          <w:rFonts w:ascii="Courier New" w:cs="Courier New" w:eastAsia="Courier New" w:hAnsi="Courier New"/>
          <w:sz w:val="14"/>
          <w:szCs w:val="14"/>
          <w:color w:val="auto"/>
        </w:rPr>
      </w:pPr>
    </w:p>
    <w:p>
      <w:pPr>
        <w:ind w:left="176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uses interest rate collars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2M), as interest payment become due. For outstanding contracts as of December 31, 2004 and 2003, see Note 17C(2).</w:t>
      </w:r>
    </w:p>
    <w:p>
      <w:pPr>
        <w:spacing w:after="0" w:line="174" w:lineRule="exact"/>
        <w:rPr>
          <w:rFonts w:ascii="Courier New" w:cs="Courier New" w:eastAsia="Courier New" w:hAnsi="Courier New"/>
          <w:sz w:val="14"/>
          <w:szCs w:val="14"/>
          <w:color w:val="auto"/>
        </w:rPr>
      </w:pPr>
    </w:p>
    <w:p>
      <w:pPr>
        <w:ind w:left="1760" w:right="3239" w:hanging="438"/>
        <w:spacing w:after="0" w:line="236" w:lineRule="auto"/>
        <w:tabs>
          <w:tab w:leader="none" w:pos="176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corresponding to the economic useful lives of the machinery and equipment.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617" w:right="1440" w:bottom="1440" w:gutter="0" w:footer="0" w:header="0"/>
        </w:sectPr>
      </w:pPr>
    </w:p>
    <w:bookmarkStart w:id="135" w:name="page136"/>
    <w:bookmarkEnd w:id="13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73" w:lineRule="exact"/>
        <w:rPr>
          <w:sz w:val="20"/>
          <w:szCs w:val="20"/>
          <w:color w:val="auto"/>
        </w:rPr>
      </w:pPr>
    </w:p>
    <w:p>
      <w:pPr>
        <w:ind w:left="1320" w:right="3839" w:hanging="436"/>
        <w:spacing w:after="0" w:line="234" w:lineRule="auto"/>
        <w:tabs>
          <w:tab w:leader="none" w:pos="13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 (cont.)</w:t>
      </w:r>
    </w:p>
    <w:p>
      <w:pPr>
        <w:spacing w:after="0" w:line="173"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2004 would have resulted in: an increase in other long-term liabilities in the amount of $2,406; a decrease in other comprehensive loss for the year ended December 31, 2004 in the net amount of $8,842; an accumulated other comprehensive loss component of equity balance as of such date in the amount of $7,055; and in a decrease of $4,619 in property and equipment, net as of December 31, 2004.</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through December 31, 2004 in accordance with SFAS 123, as amended by SFAS 148, the Company's pro forma loss and loss per share would have been as follows (for further information with regard to the Company's share option plans and the assumptions for utilizing the Black-Scholes pricing model, see Note 13B(4)):</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3860" w:type="dxa"/>
            <w:vAlign w:val="bottom"/>
          </w:tcPr>
          <w:p>
            <w:pPr>
              <w:spacing w:after="0"/>
              <w:rPr>
                <w:sz w:val="14"/>
                <w:szCs w:val="14"/>
                <w:color w:val="auto"/>
              </w:rPr>
            </w:pPr>
          </w:p>
        </w:tc>
        <w:tc>
          <w:tcPr>
            <w:tcW w:w="35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 according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U.S. GAAP (see H below)</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(137,768)</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(114,261)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(3,980)</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(8,437)</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(7,476)</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(141,748)</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(122,671)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(58,736)</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GAAP (see J below)</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68"/>
        </w:trPr>
        <w:tc>
          <w:tcPr>
            <w:tcW w:w="386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3860" w:type="dxa"/>
            <w:vAlign w:val="bottom"/>
          </w:tcPr>
          <w:p>
            <w:pPr>
              <w:ind w:left="3340"/>
              <w:spacing w:after="0"/>
              <w:rPr>
                <w:sz w:val="20"/>
                <w:szCs w:val="20"/>
                <w:color w:val="auto"/>
              </w:rPr>
            </w:pPr>
            <w:r>
              <w:rPr>
                <w:rFonts w:ascii="Courier New" w:cs="Courier New" w:eastAsia="Courier New" w:hAnsi="Courier New"/>
                <w:sz w:val="15"/>
                <w:szCs w:val="15"/>
                <w:color w:val="auto"/>
              </w:rPr>
              <w:t>F-43</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6" w:name="page137"/>
    <w:bookmarkEnd w:id="13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66" w:lineRule="exact"/>
        <w:rPr>
          <w:sz w:val="20"/>
          <w:szCs w:val="20"/>
          <w:color w:val="auto"/>
        </w:rPr>
      </w:pPr>
    </w:p>
    <w:p>
      <w:pPr>
        <w:ind w:left="1320" w:hanging="436"/>
        <w:spacing w:after="0"/>
        <w:tabs>
          <w:tab w:leader="none" w:pos="13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described in Notes 10 and 13E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each of the years ended December 31, 2004, 2003 and 2002 would have been immaterial.</w:t>
      </w:r>
    </w:p>
    <w:p>
      <w:pPr>
        <w:spacing w:after="0" w:line="173"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3"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 matters, a fixed monetary amount known at inception. Accordingly, the $13,201 and $3,227 amounts which are described in detail in Notes 12A(3) and (4), respectively, and which according to Israeli GAAP are presented as of December 31, 2003 as "Proceeds on account of share capital", were reclassified as of December 31, 2003 under SFAS 150 as "Liability in respect of variable number of shares to be issued". Such presentation for U.S. GAAP purposes was required since as of December 31, 2003, the amount of shares the Company was to issue in consideration of the aggregate of $16,428 was not determined as of such date, and was actually based on mechanisms that embody a variable number of shares. Following the issuance of shares, as described in Note 12A(3) and (4), the aggregate of $16,428 is presented for U.S. GAAP purposes as well as paid in equity.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617" w:right="1440" w:bottom="1440" w:gutter="0" w:footer="0" w:header="0"/>
        </w:sectPr>
      </w:pPr>
    </w:p>
    <w:bookmarkStart w:id="137" w:name="page138"/>
    <w:bookmarkEnd w:id="137"/>
    <w:p>
      <w:pPr>
        <w:ind w:left="176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3" w:lineRule="exact"/>
        <w:rPr>
          <w:sz w:val="20"/>
          <w:szCs w:val="20"/>
          <w:color w:val="auto"/>
        </w:rPr>
      </w:pPr>
    </w:p>
    <w:p>
      <w:pPr>
        <w:jc w:val="center"/>
        <w:ind w:right="5580"/>
        <w:spacing w:after="0"/>
        <w:rPr>
          <w:sz w:val="20"/>
          <w:szCs w:val="20"/>
          <w:color w:val="auto"/>
        </w:rPr>
      </w:pPr>
      <w:r>
        <w:rPr>
          <w:rFonts w:ascii="Courier New" w:cs="Courier New" w:eastAsia="Courier New" w:hAnsi="Courier New"/>
          <w:sz w:val="14"/>
          <w:szCs w:val="14"/>
          <w:color w:val="auto"/>
        </w:rPr>
        <w:t>NOTE 19 - MATERIAL DIFFERENCES BETWEEN ISRAELI AND U.S. GAAP (cont.)</w:t>
      </w:r>
    </w:p>
    <w:p>
      <w:pPr>
        <w:spacing w:after="0" w:line="171"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right"/>
              <w:ind w:right="487"/>
              <w:spacing w:after="0"/>
              <w:rPr>
                <w:sz w:val="20"/>
                <w:szCs w:val="20"/>
                <w:color w:val="auto"/>
              </w:rPr>
            </w:pPr>
            <w:r>
              <w:rPr>
                <w:rFonts w:ascii="Courier New" w:cs="Courier New" w:eastAsia="Courier New" w:hAnsi="Courier New"/>
                <w:sz w:val="15"/>
                <w:szCs w:val="15"/>
                <w:color w:val="auto"/>
              </w:rPr>
              <w:t>AS OF DECEMBER 31, 2004</w:t>
            </w:r>
          </w:p>
        </w:tc>
        <w:tc>
          <w:tcPr>
            <w:tcW w:w="180" w:type="dxa"/>
            <w:vAlign w:val="bottom"/>
          </w:tcPr>
          <w:p>
            <w:pPr>
              <w:spacing w:after="0"/>
              <w:rPr>
                <w:sz w:val="14"/>
                <w:szCs w:val="14"/>
                <w:color w:val="auto"/>
              </w:rPr>
            </w:pPr>
          </w:p>
        </w:tc>
        <w:tc>
          <w:tcPr>
            <w:tcW w:w="2920" w:type="dxa"/>
            <w:vAlign w:val="bottom"/>
            <w:gridSpan w:val="5"/>
          </w:tcPr>
          <w:p>
            <w:pPr>
              <w:jc w:val="right"/>
              <w:ind w:right="427"/>
              <w:spacing w:after="0"/>
              <w:rPr>
                <w:sz w:val="20"/>
                <w:szCs w:val="20"/>
                <w:color w:val="auto"/>
              </w:rPr>
            </w:pPr>
            <w:r>
              <w:rPr>
                <w:rFonts w:ascii="Courier New" w:cs="Courier New" w:eastAsia="Courier New" w:hAnsi="Courier New"/>
                <w:sz w:val="15"/>
                <w:szCs w:val="15"/>
                <w:color w:val="auto"/>
              </w:rPr>
              <w:t>AS OF DECEMBER 31, 2003</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6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U.S.</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AS PER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AS PER</w:t>
            </w:r>
          </w:p>
        </w:tc>
        <w:tc>
          <w:tcPr>
            <w:tcW w:w="18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PER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456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GAAP</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ISRAELI</w:t>
            </w:r>
          </w:p>
        </w:tc>
        <w:tc>
          <w:tcPr>
            <w:tcW w:w="1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U.S.</w:t>
            </w:r>
          </w:p>
        </w:tc>
        <w:tc>
          <w:tcPr>
            <w:tcW w:w="18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ISRAELI</w:t>
            </w:r>
          </w:p>
        </w:tc>
        <w:tc>
          <w:tcPr>
            <w:tcW w:w="1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ADJUST-</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56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REMARK</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GAAP</w:t>
            </w:r>
          </w:p>
        </w:tc>
        <w:tc>
          <w:tcPr>
            <w:tcW w:w="1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GAAP</w:t>
            </w:r>
          </w:p>
        </w:tc>
        <w:tc>
          <w:tcPr>
            <w:tcW w:w="1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56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27,664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12,448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CASH AND SHORT-TERM INTEREST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-BEARING DEPOSITS</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53,793</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44,042</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19,286</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19,286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11,631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11,365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11,365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11,073</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25,669</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25,669</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19,382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1,818</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1,729</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139,595</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85,802</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100,305</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56,263</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5,134</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4,848</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16,350</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16,350</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6,000</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14,607</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5,134</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11,216</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16,350</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10,848</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609,296</w:t>
            </w:r>
          </w:p>
        </w:tc>
        <w:tc>
          <w:tcPr>
            <w:tcW w:w="1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(4,619)</w:t>
            </w: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604,677</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568,412</w:t>
            </w:r>
          </w:p>
        </w:tc>
        <w:tc>
          <w:tcPr>
            <w:tcW w:w="1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(5,947)</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562,465</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DESIGNATED CASH AND SHORT-TERM AND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58,927</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58,927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48,890</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48,890</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OTHER ASSETS, NET</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93,483</w:t>
            </w:r>
          </w:p>
        </w:tc>
        <w:tc>
          <w:tcPr>
            <w:tcW w:w="1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93,287</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108,770</w:t>
            </w:r>
          </w:p>
        </w:tc>
        <w:tc>
          <w:tcPr>
            <w:tcW w:w="1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108,574</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847,508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859,043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788,335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796,799</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65,326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65,326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10,678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10,678</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9,564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76,004</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76,004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49,813</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49,813</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497,000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497,000</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431,000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431,000</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26,651</w:t>
            </w:r>
          </w:p>
        </w:tc>
        <w:tc>
          <w:tcPr>
            <w:tcW w:w="1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24,092</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25,783</w:t>
            </w:r>
          </w:p>
        </w:tc>
        <w:tc>
          <w:tcPr>
            <w:tcW w:w="1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23,224</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LIABILITY IN RESPECT OF A VARIABLE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NUMBER OF SHARES TO BE ISSUED</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64,428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64,428</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46,347</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46,347</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B, C</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15,445</w:t>
            </w:r>
          </w:p>
        </w:tc>
        <w:tc>
          <w:tcPr>
            <w:tcW w:w="1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18,756</w:t>
            </w: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34,201</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5,935</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24,527</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30,462</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679,528</w:t>
            </w:r>
          </w:p>
        </w:tc>
        <w:tc>
          <w:tcPr>
            <w:tcW w:w="1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16,197</w:t>
            </w:r>
          </w:p>
        </w:tc>
        <w:tc>
          <w:tcPr>
            <w:tcW w:w="2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695,725</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558,878</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38,396</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597,274</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ORDINARY SHARES, NIS 1.00 PAR VALUE -</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AUTHORIZED 250,000,000 AND 150,000,000</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SHARES, RESPECTIVELY; ISSUED 66,999,796</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52,996,097 SHARES, RESPECTIVELY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16,274</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16,274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13,150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517,476</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519,839</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427,881</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430,244</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16,428</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(7,055)</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(15,897)</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(15,897)</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(356,672)</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(356,642)</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(218,904)</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(218,874)</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177,052</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172,390</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238,529</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(29,932)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208,597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167,980</w:t>
            </w:r>
          </w:p>
        </w:tc>
        <w:tc>
          <w:tcPr>
            <w:tcW w:w="1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163,318</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229,457</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(29,932)</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199,525</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TOTAL LIABILITIES AND SHAREHOLDERS' EQUITY</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847,508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859,043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788,335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796,799</w:t>
            </w:r>
          </w:p>
        </w:tc>
      </w:tr>
      <w:tr>
        <w:trPr>
          <w:trHeight w:val="168"/>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785" w:right="139" w:bottom="0" w:gutter="0" w:footer="0" w:header="0"/>
        </w:sectPr>
      </w:pPr>
    </w:p>
    <w:bookmarkStart w:id="138" w:name="page139"/>
    <w:bookmarkEnd w:id="138"/>
    <w:p>
      <w:pPr>
        <w:ind w:left="212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9019"/>
          </w:cols>
          <w:pgMar w:left="1440" w:top="309" w:right="1440" w:bottom="1440" w:gutter="0" w:footer="0" w:header="0"/>
        </w:sectPr>
      </w:pPr>
    </w:p>
    <w:bookmarkStart w:id="139" w:name="page140"/>
    <w:bookmarkEnd w:id="13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66" w:lineRule="exact"/>
        <w:rPr>
          <w:sz w:val="20"/>
          <w:szCs w:val="20"/>
          <w:color w:val="auto"/>
        </w:rPr>
      </w:pPr>
    </w:p>
    <w:p>
      <w:pPr>
        <w:ind w:left="1320" w:hanging="436"/>
        <w:spacing w:after="0"/>
        <w:tabs>
          <w:tab w:leader="none" w:pos="13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132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years ended December 31, 2004, 2003 and 2002.</w:t>
      </w:r>
    </w:p>
    <w:p>
      <w:pPr>
        <w:spacing w:after="0" w:line="161" w:lineRule="exact"/>
        <w:rPr>
          <w:rFonts w:ascii="Courier New" w:cs="Courier New" w:eastAsia="Courier New" w:hAnsi="Courier New"/>
          <w:sz w:val="15"/>
          <w:szCs w:val="15"/>
          <w:color w:val="auto"/>
        </w:rPr>
      </w:pPr>
    </w:p>
    <w:p>
      <w:pPr>
        <w:ind w:left="1320" w:right="3499" w:hanging="436"/>
        <w:spacing w:after="0" w:line="234" w:lineRule="auto"/>
        <w:tabs>
          <w:tab w:leader="none" w:pos="13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IN ACCORDANCE WITH U.S. GAAP (SFAS 130)</w:t>
      </w:r>
    </w:p>
    <w:p>
      <w:pPr>
        <w:spacing w:after="0" w:line="173"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Year ended December 31,</w:t>
            </w:r>
          </w:p>
        </w:tc>
        <w:tc>
          <w:tcPr>
            <w:tcW w:w="10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45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22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0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Loss for the year according to</w:t>
            </w:r>
          </w:p>
        </w:tc>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GAAP</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$(137,768)</w:t>
            </w:r>
          </w:p>
        </w:tc>
        <w:tc>
          <w:tcPr>
            <w:tcW w:w="2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$(114,261)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unrealized</w:t>
            </w:r>
          </w:p>
        </w:tc>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losses on derivatives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1,328</w:t>
            </w:r>
          </w:p>
        </w:tc>
        <w:tc>
          <w:tcPr>
            <w:tcW w:w="2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664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(losses) on</w:t>
            </w: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7,514</w:t>
            </w:r>
          </w:p>
        </w:tc>
        <w:tc>
          <w:tcPr>
            <w:tcW w:w="2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1,276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(9,638)</w:t>
            </w:r>
          </w:p>
        </w:tc>
      </w:tr>
      <w:tr>
        <w:trPr>
          <w:trHeight w:val="168"/>
        </w:trPr>
        <w:tc>
          <w:tcPr>
            <w:tcW w:w="30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comprehensive loss for the</w:t>
            </w: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$(128,926)</w:t>
            </w:r>
          </w:p>
        </w:tc>
        <w:tc>
          <w:tcPr>
            <w:tcW w:w="2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$(112,321)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$(61,040)</w:t>
            </w:r>
          </w:p>
        </w:tc>
      </w:tr>
      <w:tr>
        <w:trPr>
          <w:trHeight w:val="168"/>
        </w:trPr>
        <w:tc>
          <w:tcPr>
            <w:tcW w:w="30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4"/>
                <w:szCs w:val="2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F-46</w:t>
            </w: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0" w:name="page141"/>
    <w:bookmarkEnd w:id="14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66" w:lineRule="exact"/>
        <w:rPr>
          <w:sz w:val="20"/>
          <w:szCs w:val="20"/>
          <w:color w:val="auto"/>
        </w:rPr>
      </w:pPr>
    </w:p>
    <w:p>
      <w:pPr>
        <w:ind w:left="1320" w:hanging="436"/>
        <w:spacing w:after="0"/>
        <w:tabs>
          <w:tab w:leader="none" w:pos="13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w:t>
      </w:r>
    </w:p>
    <w:p>
      <w:pPr>
        <w:spacing w:after="0" w:line="172" w:lineRule="exact"/>
        <w:rPr>
          <w:rFonts w:ascii="Courier New" w:cs="Courier New" w:eastAsia="Courier New" w:hAnsi="Courier New"/>
          <w:sz w:val="15"/>
          <w:szCs w:val="15"/>
          <w:color w:val="auto"/>
        </w:rPr>
      </w:pPr>
    </w:p>
    <w:p>
      <w:pPr>
        <w:ind w:left="132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above), the basic and diluted loss per share would be: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45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2004</w:t>
            </w:r>
          </w:p>
        </w:tc>
        <w:tc>
          <w:tcPr>
            <w:tcW w:w="78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2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68"/>
        </w:trPr>
        <w:tc>
          <w:tcPr>
            <w:tcW w:w="22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per share</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228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320" w:right="3239"/>
        <w:spacing w:after="0" w:line="254" w:lineRule="auto"/>
        <w:rPr>
          <w:sz w:val="20"/>
          <w:szCs w:val="20"/>
          <w:color w:val="auto"/>
        </w:rPr>
      </w:pPr>
      <w:r>
        <w:rPr>
          <w:rFonts w:ascii="Courier New" w:cs="Courier New" w:eastAsia="Courier New" w:hAnsi="Courier New"/>
          <w:sz w:val="14"/>
          <w:szCs w:val="14"/>
          <w:color w:val="auto"/>
        </w:rPr>
        <w:t>The following tables provide a reconciliation of the numerators and denominators of the basic and diluted per share computations for 2004, 2003 and 2002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Israeli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warrants and convertible debentures is accounted for according to the treasury method, regardless of the probability of the exercise of the options and warrants or the conversion into shares of the convertible debentures. According to Israeli GAAP, the loss to compute loss per share may include imputed interest income on the exercise price of options and warrants exercised during the year and of probable Exercise and probable Conversion, an inclusion which is not required by U.S. GAAP.</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617" w:right="1440" w:bottom="1440" w:gutter="0" w:footer="0" w:header="0"/>
        </w:sectPr>
      </w:pPr>
    </w:p>
    <w:bookmarkStart w:id="141" w:name="page142"/>
    <w:bookmarkEnd w:id="14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73" w:lineRule="exact"/>
        <w:rPr>
          <w:sz w:val="20"/>
          <w:szCs w:val="20"/>
          <w:color w:val="auto"/>
        </w:rPr>
      </w:pPr>
    </w:p>
    <w:p>
      <w:pPr>
        <w:ind w:left="1320" w:right="3759" w:hanging="436"/>
        <w:spacing w:after="0" w:line="234" w:lineRule="auto"/>
        <w:tabs>
          <w:tab w:leader="none" w:pos="13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FOR 2004:</w:t>
      </w: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Year ended December 31, 2004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Shares</w:t>
      </w:r>
    </w:p>
    <w:p>
      <w:pPr>
        <w:ind w:left="3680"/>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3340"/>
        <w:spacing w:after="0"/>
        <w:tabs>
          <w:tab w:leader="none" w:pos="4800" w:val="left"/>
          <w:tab w:leader="none" w:pos="66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4"/>
          <w:szCs w:val="14"/>
          <w:color w:val="auto"/>
        </w:rPr>
        <w:t>amount</w:t>
      </w:r>
    </w:p>
    <w:p>
      <w:pPr>
        <w:ind w:left="3340"/>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237" w:lineRule="auto"/>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64,633</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4">
            <w:col w:w="2700" w:space="720"/>
            <w:col w:w="1200" w:space="720"/>
            <w:col w:w="520" w:space="700"/>
            <w:col w:w="3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right="760"/>
        <w:spacing w:after="0" w:line="261" w:lineRule="auto"/>
        <w:rPr>
          <w:sz w:val="20"/>
          <w:szCs w:val="20"/>
          <w:color w:val="auto"/>
        </w:rPr>
      </w:pPr>
      <w:r>
        <w:rPr>
          <w:rFonts w:ascii="Courier New" w:cs="Courier New" w:eastAsia="Courier New" w:hAnsi="Courier New"/>
          <w:sz w:val="14"/>
          <w:szCs w:val="14"/>
          <w:color w:val="auto"/>
        </w:rPr>
        <w:t>Convertible debentures Options and warrants</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5"/>
          <w:szCs w:val="15"/>
          <w:color w:val="auto"/>
        </w:rPr>
        <w:t>--</w:t>
      </w:r>
    </w:p>
    <w:p>
      <w:pPr>
        <w:jc w:val="right"/>
        <w:ind w:righ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379"/>
        <w:spacing w:after="0"/>
        <w:rPr>
          <w:sz w:val="20"/>
          <w:szCs w:val="20"/>
          <w:color w:val="auto"/>
        </w:rPr>
      </w:pPr>
      <w:r>
        <w:rPr>
          <w:rFonts w:ascii="Courier New" w:cs="Courier New" w:eastAsia="Courier New" w:hAnsi="Courier New"/>
          <w:sz w:val="15"/>
          <w:szCs w:val="15"/>
          <w:color w:val="auto"/>
        </w:rPr>
        <w:t>--</w:t>
      </w:r>
    </w:p>
    <w:p>
      <w:pPr>
        <w:jc w:val="right"/>
        <w:ind w:right="43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700" w:space="720"/>
            <w:col w:w="1040" w:space="720"/>
            <w:col w:w="50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237" w:lineRule="auto"/>
        <w:rPr>
          <w:sz w:val="20"/>
          <w:szCs w:val="20"/>
          <w:color w:val="auto"/>
        </w:rPr>
      </w:pPr>
      <w:r>
        <w:rPr>
          <w:rFonts w:ascii="Courier New" w:cs="Courier New" w:eastAsia="Courier New" w:hAnsi="Courier New"/>
          <w:sz w:val="15"/>
          <w:szCs w:val="15"/>
          <w:color w:val="auto"/>
        </w:rPr>
        <w:t>Loss available to ordinary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 after assumed</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$(137,768)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64,633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700" w:space="720"/>
            <w:col w:w="1040" w:space="720"/>
            <w:col w:w="680" w:space="700"/>
            <w:col w:w="3679"/>
          </w:cols>
          <w:pgMar w:left="220" w:top="617" w:right="1440" w:bottom="1440" w:gutter="0" w:footer="0" w:header="0"/>
          <w:type w:val="continuous"/>
        </w:sectPr>
      </w:pPr>
    </w:p>
    <w:p>
      <w:pPr>
        <w:spacing w:after="0" w:line="141" w:lineRule="exact"/>
        <w:rPr>
          <w:sz w:val="20"/>
          <w:szCs w:val="20"/>
          <w:color w:val="auto"/>
        </w:rPr>
      </w:pPr>
    </w:p>
    <w:p>
      <w:pPr>
        <w:ind w:left="1320" w:right="3239"/>
        <w:spacing w:after="0" w:line="237" w:lineRule="auto"/>
        <w:rPr>
          <w:sz w:val="20"/>
          <w:szCs w:val="20"/>
          <w:color w:val="auto"/>
        </w:rPr>
      </w:pPr>
      <w:r>
        <w:rPr>
          <w:rFonts w:ascii="Courier New" w:cs="Courier New" w:eastAsia="Courier New" w:hAnsi="Courier New"/>
          <w:sz w:val="15"/>
          <w:szCs w:val="15"/>
          <w:color w:val="auto"/>
        </w:rPr>
        <w:t>Options and warrants to purchase 17,374,088 Ordinary Shares at an average exercise price of $6.61 per share were outstanding as of December 31, 2004 but were not included in the computation of diluted loss per share because their effect was anti-dilutive. The options and warrants, which as of December 31, 2004 expire between January 2005 and December 2014 (weighted average remaining contractual life of 5.26 years), were still outstanding as of such date. Convertible debentures, convertible into 2,697,068 Ordinary Shares, were outstanding as of December 31, 2004 but were not included in the computation of diluted loss per share since their effect is anti-dilutive. The convertible debentures may be converted until December 31, 2008 into Ordinary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617" w:right="1440" w:bottom="1440" w:gutter="0" w:footer="0" w:header="0"/>
          <w:type w:val="continuous"/>
        </w:sectPr>
      </w:pPr>
    </w:p>
    <w:bookmarkStart w:id="142" w:name="page143"/>
    <w:bookmarkEnd w:id="14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MATERIAL DIFFERENCES BETWEEN ISRAEL AND U.S. GAAP (cont.)</w:t>
      </w:r>
    </w:p>
    <w:p>
      <w:pPr>
        <w:spacing w:after="0" w:line="173" w:lineRule="exact"/>
        <w:rPr>
          <w:sz w:val="20"/>
          <w:szCs w:val="20"/>
          <w:color w:val="auto"/>
        </w:rPr>
      </w:pPr>
    </w:p>
    <w:p>
      <w:pPr>
        <w:ind w:left="1320" w:right="3759" w:hanging="436"/>
        <w:spacing w:after="0" w:line="234" w:lineRule="auto"/>
        <w:tabs>
          <w:tab w:leader="none" w:pos="13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FOR 2003:</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Year ended December 31, 2003</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Shares</w:t>
      </w:r>
    </w:p>
    <w:p>
      <w:pPr>
        <w:ind w:left="3680"/>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3340"/>
        <w:spacing w:after="0"/>
        <w:tabs>
          <w:tab w:leader="none" w:pos="4800" w:val="left"/>
          <w:tab w:leader="none" w:pos="66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4"/>
          <w:szCs w:val="14"/>
          <w:color w:val="auto"/>
        </w:rPr>
        <w:t>amount</w:t>
      </w:r>
    </w:p>
    <w:p>
      <w:pPr>
        <w:ind w:left="3340"/>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237" w:lineRule="auto"/>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239"/>
          </w:cols>
          <w:pgMar w:left="220" w:top="617" w:right="1440" w:bottom="181" w:gutter="0" w:footer="0" w:header="0"/>
        </w:sectPr>
      </w:pP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46,710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4">
            <w:col w:w="2700" w:space="720"/>
            <w:col w:w="1200" w:space="720"/>
            <w:col w:w="520" w:space="700"/>
            <w:col w:w="3679"/>
          </w:cols>
          <w:pgMar w:left="220" w:top="617" w:right="1440" w:bottom="181"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81" w:gutter="0" w:footer="0" w:header="0"/>
          <w:type w:val="continuous"/>
        </w:sectPr>
      </w:pPr>
    </w:p>
    <w:p>
      <w:pPr>
        <w:spacing w:after="0" w:line="10" w:lineRule="exact"/>
        <w:rPr>
          <w:sz w:val="20"/>
          <w:szCs w:val="20"/>
          <w:color w:val="auto"/>
        </w:rPr>
      </w:pPr>
    </w:p>
    <w:p>
      <w:pPr>
        <w:ind w:right="760"/>
        <w:spacing w:after="0" w:line="261" w:lineRule="auto"/>
        <w:rPr>
          <w:sz w:val="20"/>
          <w:szCs w:val="20"/>
          <w:color w:val="auto"/>
        </w:rPr>
      </w:pPr>
      <w:r>
        <w:rPr>
          <w:rFonts w:ascii="Courier New" w:cs="Courier New" w:eastAsia="Courier New" w:hAnsi="Courier New"/>
          <w:sz w:val="14"/>
          <w:szCs w:val="14"/>
          <w:color w:val="auto"/>
        </w:rPr>
        <w:t>Convertible debentures Options and warrants</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5"/>
          <w:szCs w:val="15"/>
          <w:color w:val="auto"/>
        </w:rPr>
        <w:t>--</w:t>
      </w:r>
    </w:p>
    <w:p>
      <w:pPr>
        <w:jc w:val="right"/>
        <w:ind w:righ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379"/>
        <w:spacing w:after="0"/>
        <w:rPr>
          <w:sz w:val="20"/>
          <w:szCs w:val="20"/>
          <w:color w:val="auto"/>
        </w:rPr>
      </w:pPr>
      <w:r>
        <w:rPr>
          <w:rFonts w:ascii="Courier New" w:cs="Courier New" w:eastAsia="Courier New" w:hAnsi="Courier New"/>
          <w:sz w:val="15"/>
          <w:szCs w:val="15"/>
          <w:color w:val="auto"/>
        </w:rPr>
        <w:t>--</w:t>
      </w:r>
    </w:p>
    <w:p>
      <w:pPr>
        <w:jc w:val="right"/>
        <w:ind w:right="43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700" w:space="720"/>
            <w:col w:w="1040" w:space="720"/>
            <w:col w:w="5059"/>
          </w:cols>
          <w:pgMar w:left="220" w:top="617" w:right="1440" w:bottom="181"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after assumed</w:t>
      </w:r>
    </w:p>
    <w:p>
      <w:pPr>
        <w:sectPr>
          <w:pgSz w:w="11900" w:h="16838" w:orient="portrait"/>
          <w:cols w:equalWidth="0" w:num="1">
            <w:col w:w="10239"/>
          </w:cols>
          <w:pgMar w:left="220" w:top="617" w:right="1440" w:bottom="181"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46,710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700" w:space="720"/>
            <w:col w:w="1040" w:space="720"/>
            <w:col w:w="680" w:space="700"/>
            <w:col w:w="3679"/>
          </w:cols>
          <w:pgMar w:left="220" w:top="617" w:right="1440" w:bottom="181" w:gutter="0" w:footer="0" w:header="0"/>
          <w:type w:val="continuous"/>
        </w:sectPr>
      </w:pPr>
    </w:p>
    <w:p>
      <w:pPr>
        <w:spacing w:after="0" w:line="141"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Options and warrants to purchase 14,003,621 Ordinary Shares at an average exercise price of $7.87 per share were outstanding as of December 31, 2003 but were not included in the computation of diluted loss per share because their effect was anti-dilutive. The options and warrants, which as of December 31, 2003 expire between April 2005 and December 2013 (weighted average remaining contractual life of 5.02 years), were still outstanding as of such date. Convertible debentures, convertible into 2,697,068 Ordinary Shares, were outstanding as of December 31, 2003 but were not included in the computation of diluted loss per share since their effect is anti-dilutive. The convertible debentures may be converted until December 31, 2008 into Ordinary Shares.</w:t>
      </w:r>
    </w:p>
    <w:p>
      <w:pPr>
        <w:spacing w:after="0" w:line="15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RECONCILIATION FOR 2002:</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Year ended December 31, 2002</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Shares</w:t>
      </w:r>
    </w:p>
    <w:p>
      <w:pPr>
        <w:ind w:left="3680"/>
        <w:spacing w:after="0"/>
        <w:tabs>
          <w:tab w:leader="none" w:pos="4720" w:val="left"/>
          <w:tab w:leader="none" w:pos="64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3420"/>
        <w:spacing w:after="0"/>
        <w:tabs>
          <w:tab w:leader="none" w:pos="4800" w:val="left"/>
          <w:tab w:leader="none" w:pos="66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4"/>
          <w:szCs w:val="14"/>
          <w:color w:val="auto"/>
        </w:rPr>
        <w:t>amount</w:t>
      </w:r>
    </w:p>
    <w:p>
      <w:pPr>
        <w:ind w:left="3420"/>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237" w:lineRule="auto"/>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239"/>
          </w:cols>
          <w:pgMar w:left="220" w:top="617" w:right="1440" w:bottom="181" w:gutter="0" w:footer="0" w:header="0"/>
          <w:type w:val="continuous"/>
        </w:sectPr>
      </w:pP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31,523</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4">
            <w:col w:w="2700" w:space="720"/>
            <w:col w:w="1200" w:space="720"/>
            <w:col w:w="520" w:space="700"/>
            <w:col w:w="3679"/>
          </w:cols>
          <w:pgMar w:left="220" w:top="617" w:right="1440" w:bottom="181"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81" w:gutter="0" w:footer="0" w:header="0"/>
          <w:type w:val="continuous"/>
        </w:sectPr>
      </w:pPr>
    </w:p>
    <w:p>
      <w:pPr>
        <w:spacing w:after="0" w:line="10" w:lineRule="exact"/>
        <w:rPr>
          <w:sz w:val="20"/>
          <w:szCs w:val="20"/>
          <w:color w:val="auto"/>
        </w:rPr>
      </w:pPr>
    </w:p>
    <w:p>
      <w:pPr>
        <w:ind w:right="760"/>
        <w:spacing w:after="0" w:line="261" w:lineRule="auto"/>
        <w:rPr>
          <w:sz w:val="20"/>
          <w:szCs w:val="20"/>
          <w:color w:val="auto"/>
        </w:rPr>
      </w:pPr>
      <w:r>
        <w:rPr>
          <w:rFonts w:ascii="Courier New" w:cs="Courier New" w:eastAsia="Courier New" w:hAnsi="Courier New"/>
          <w:sz w:val="14"/>
          <w:szCs w:val="14"/>
          <w:color w:val="auto"/>
        </w:rPr>
        <w:t>Convertible debentures Options and warrants</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5"/>
          <w:szCs w:val="15"/>
          <w:color w:val="auto"/>
        </w:rPr>
        <w:t>--</w:t>
      </w:r>
    </w:p>
    <w:p>
      <w:pPr>
        <w:jc w:val="right"/>
        <w:ind w:righ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379"/>
        <w:spacing w:after="0"/>
        <w:rPr>
          <w:sz w:val="20"/>
          <w:szCs w:val="20"/>
          <w:color w:val="auto"/>
        </w:rPr>
      </w:pPr>
      <w:r>
        <w:rPr>
          <w:rFonts w:ascii="Courier New" w:cs="Courier New" w:eastAsia="Courier New" w:hAnsi="Courier New"/>
          <w:sz w:val="15"/>
          <w:szCs w:val="15"/>
          <w:color w:val="auto"/>
        </w:rPr>
        <w:t>--</w:t>
      </w:r>
    </w:p>
    <w:p>
      <w:pPr>
        <w:jc w:val="right"/>
        <w:ind w:right="43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700" w:space="720"/>
            <w:col w:w="1040" w:space="720"/>
            <w:col w:w="5059"/>
          </w:cols>
          <w:pgMar w:left="220" w:top="617" w:right="1440" w:bottom="181"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after assumed</w:t>
      </w:r>
    </w:p>
    <w:p>
      <w:pPr>
        <w:sectPr>
          <w:pgSz w:w="11900" w:h="16838" w:orient="portrait"/>
          <w:cols w:equalWidth="0" w:num="1">
            <w:col w:w="10239"/>
          </w:cols>
          <w:pgMar w:left="220" w:top="617" w:right="1440" w:bottom="181"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(51,402)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31,523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700" w:space="720"/>
            <w:col w:w="1040" w:space="720"/>
            <w:col w:w="680" w:space="700"/>
            <w:col w:w="3679"/>
          </w:cols>
          <w:pgMar w:left="220" w:top="617" w:right="1440" w:bottom="181" w:gutter="0" w:footer="0" w:header="0"/>
          <w:type w:val="continuous"/>
        </w:sectPr>
      </w:pPr>
    </w:p>
    <w:p>
      <w:pPr>
        <w:spacing w:after="0" w:line="141"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Options and warrants to purchase 10,053,578 Ordinary Shares at an average exercise price of $9.12 per share were outstanding as of December 31, 2002 but were not included in the computation of diluted loss per share because their effect was anti-dilutive. The options and warrants, which as of December 31, 2002 expire between April 2005 and December 2012 (weighted average remaining contractual life of 4.9 years), were still outstanding as of such date. Convertible debentures, convertible into 2,697,068 Ordinary Shares, were outstanding as of December 31, 2002 but were not included in the computation of diluted loss per share since their effect is anti-dilutive. The convertible debentures may be converted until December 31, 2008 into Ordinary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39"/>
          </w:cols>
          <w:pgMar w:left="220" w:top="617" w:right="1440" w:bottom="181" w:gutter="0" w:footer="0" w:header="0"/>
          <w:type w:val="continuous"/>
        </w:sectPr>
      </w:pPr>
    </w:p>
    <w:bookmarkStart w:id="143" w:name="page144"/>
    <w:bookmarkEnd w:id="14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SUBSEQUENT EVENTS</w:t>
      </w:r>
    </w:p>
    <w:p>
      <w:pPr>
        <w:spacing w:after="0" w:line="166" w:lineRule="exact"/>
        <w:rPr>
          <w:sz w:val="20"/>
          <w:szCs w:val="20"/>
          <w:color w:val="auto"/>
        </w:rPr>
      </w:pPr>
    </w:p>
    <w:p>
      <w:pPr>
        <w:ind w:left="1320" w:hanging="436"/>
        <w:spacing w:after="0"/>
        <w:tabs>
          <w:tab w:leader="none" w:pos="13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2" w:lineRule="exact"/>
        <w:rPr>
          <w:rFonts w:ascii="Courier New" w:cs="Courier New" w:eastAsia="Courier New" w:hAnsi="Courier New"/>
          <w:sz w:val="15"/>
          <w:szCs w:val="15"/>
          <w:color w:val="auto"/>
        </w:rPr>
      </w:pPr>
    </w:p>
    <w:p>
      <w:pPr>
        <w:ind w:left="132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recent years, the Company has experienced significant recurring losses from operations and recurring negative cash flows from operating activities and an increasing accumulated deficit. According to the Company's recently approved short-term working plan and based on the current prevailing semiconductor market conditions, assuming no funds are raised based on the Letter of Intent ("LOI") described below or otherwise, the Company foresees to be in a cash shortage. In addition, and in continuation to the disclosure in Note 12A(6) above, as of May 30, 2005, management's estimates that the Company may not comply with certain of the financial ratios and covenants for the third quarter of 2005 and thereafter, as contemplated in the letter agreement signed between the Company and the Banks in January 2005, which is described in Note 12A(6) above.</w:t>
      </w:r>
    </w:p>
    <w:p>
      <w:pPr>
        <w:spacing w:after="0" w:line="4"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light of the above described, the Company has been taking comprehensive measures to obtain the needed funds for its ongoing operations in the near future, as well as measures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certain of its Equity Investors, Wafer Partners, and its Banks are holding discussions for additional funding for the Company in the amount of approximately $60,000. Accordingly, in May 2005, an LOI was signed between the Company and its Banks which states that financing in the amount of up to $30,000 will be provided by the Banks to the Company, subject to a similar amount being raised by the Company from investors. As of May 30, 2005, certain of the Company's Equity Investors and Wafer Partners have informed the Company of their willingness to invest $23,500 towards such funding by investors. The LOI is further subject to reaching a definitive amendment to the Facility Agreement, which management is currently negotiating. The execution of a definitive amendment to the Facility Agreement is subject, among other matters, to all required internal approvals by the Banks, including the approval of their boards of directors. The Company's management estimates based on the discussions held with the banks and the potential investors that it is probable that the LOI will materialize into a definitive amendment to the Facility Agreement and that the Equity Investors and Wafer Partners will invest the funds as described above.</w:t>
      </w:r>
    </w:p>
    <w:p>
      <w:pPr>
        <w:spacing w:after="0" w:line="339"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continuation to the disclosure in Note 12A(8) above, since the approved investment period of five years ends on December 31, 2005, the Company has been holding discussions with the Investment Center to approve a new expansion program that shall commence on January 1, 2006. During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May 30, 2005, the process of reviewing the revised business plan is in its early stages, and the Company's management cannot estimate the outcome of the Company's efforts to obtain approval for its expansion program to its Fab 2 approved current enterprise program.</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617" w:right="1440" w:bottom="1440" w:gutter="0" w:footer="0" w:header="0"/>
        </w:sectPr>
      </w:pPr>
    </w:p>
    <w:bookmarkStart w:id="144" w:name="page145"/>
    <w:bookmarkEnd w:id="14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19" w:firstLine="525"/>
        <w:spacing w:after="0" w:line="256"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29 day of June, 2005.</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Russell C. Ellwanger</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Russell C. Ellwanger</w:t>
      </w:r>
    </w:p>
    <w:p>
      <w:pPr>
        <w:ind w:left="350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785" w:right="1440" w:bottom="1440" w:gutter="0" w:footer="0" w:header="0"/>
        </w:sectPr>
      </w:pPr>
    </w:p>
    <w:bookmarkStart w:id="145" w:name="page146"/>
    <w:bookmarkEnd w:id="145"/>
    <w:p>
      <w:pPr>
        <w:ind w:left="5960"/>
        <w:spacing w:after="0"/>
        <w:rPr>
          <w:sz w:val="20"/>
          <w:szCs w:val="20"/>
          <w:color w:val="auto"/>
        </w:rPr>
      </w:pPr>
      <w:r>
        <w:rPr>
          <w:rFonts w:ascii="Courier New" w:cs="Courier New" w:eastAsia="Courier New" w:hAnsi="Courier New"/>
          <w:sz w:val="14"/>
          <w:szCs w:val="14"/>
          <w:color w:val="auto"/>
        </w:rPr>
        <w:t>EXHIBIT 4.42</w:t>
      </w:r>
    </w:p>
    <w:p>
      <w:pPr>
        <w:spacing w:after="0" w:line="178"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This Foundry Agreement (the "Agreement") is entered into this 12 day of May, 2004 (the "Execution Date") among Siliconix incorporated, a Delaware, USA corporation having its principal place of business at 2201 Laurelwood Road, Santa Clara, CA 95054 USA ("Siliconix"), Siliconix Technology C.V., a Netherlands limited partnership, having an office at 25 Tampines Street 92, #02-00, Keppel Building, Singapore 528877 ("STCV"), and Tower Semiconductor Limited, an Israeli company, having its principal place of business at Ramat Gavriel Industrial Zone, PO Box 619, Midgal Haemek 23105, Israel ("Tower").</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WHEREAS, Siliconix desires to license, on a non-exclusive basis, to Tower the know-how for certain of its manufacturing processes and have certain products it has designed manufactured by Tower solely for sale to STCV; and</w:t>
      </w:r>
    </w:p>
    <w:p>
      <w:pPr>
        <w:spacing w:after="0" w:line="161"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WHEREAS, upon the license of Siliconix's know-how, and subject to the other terms of this Agreement, Tower will have the capability of manufacturing STCV's products and has agreed to supply to STCV certain fabricated silicon wafers;</w:t>
      </w:r>
    </w:p>
    <w:p>
      <w:pPr>
        <w:spacing w:after="0" w:line="161"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THEREFORE, in consideration of the foregoing and covenants contained below, the parties agree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Definitions</w:t>
      </w:r>
    </w:p>
    <w:p>
      <w:pPr>
        <w:spacing w:after="0" w:line="173"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1.1 "Acceptance Criteria" shall mean the specifications for the Products manufactured by Tower set forth in Exhibit 1.1 and to be performed by Tower.</w:t>
      </w:r>
    </w:p>
    <w:p>
      <w:pPr>
        <w:spacing w:after="0" w:line="174"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1.2 "Affiliate" means an entity Controlling, Controlled by, or under common Control with, a party. "Control" means owning more than 50% of the equity of the entity.</w:t>
      </w:r>
    </w:p>
    <w:p>
      <w:pPr>
        <w:spacing w:after="0" w:line="174" w:lineRule="exact"/>
        <w:rPr>
          <w:sz w:val="20"/>
          <w:szCs w:val="20"/>
          <w:color w:val="auto"/>
        </w:rPr>
      </w:pPr>
    </w:p>
    <w:p>
      <w:pPr>
        <w:ind w:left="440" w:right="3939" w:firstLine="437"/>
        <w:spacing w:after="0" w:line="234" w:lineRule="auto"/>
        <w:rPr>
          <w:sz w:val="20"/>
          <w:szCs w:val="20"/>
          <w:color w:val="auto"/>
        </w:rPr>
      </w:pPr>
      <w:r>
        <w:rPr>
          <w:rFonts w:ascii="Courier New" w:cs="Courier New" w:eastAsia="Courier New" w:hAnsi="Courier New"/>
          <w:sz w:val="15"/>
          <w:szCs w:val="15"/>
          <w:color w:val="auto"/>
        </w:rPr>
        <w:t>1.3 "Defect" shall mean a failure to conform to the Acceptance Criteria.</w:t>
      </w:r>
    </w:p>
    <w:p>
      <w:pPr>
        <w:spacing w:after="0" w:line="173"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1.4 "Die Yield" shall mean the percent of die on a Wafer which do not have Defects.</w:t>
      </w:r>
    </w:p>
    <w:p>
      <w:pPr>
        <w:spacing w:after="0" w:line="173"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1.5 "Epi Wafer" shall mean 150mm silicon "P" Channel or "N" Channel substrate with the appropriate epitaxial layer. Epitaxy is a process of producing a thin layer of single crystal material upon the surface of a single crystal substrate.</w:t>
      </w:r>
    </w:p>
    <w:p>
      <w:pPr>
        <w:spacing w:after="0" w:line="175" w:lineRule="exact"/>
        <w:rPr>
          <w:sz w:val="20"/>
          <w:szCs w:val="20"/>
          <w:color w:val="auto"/>
        </w:rPr>
      </w:pPr>
    </w:p>
    <w:p>
      <w:pPr>
        <w:ind w:left="440" w:right="3579" w:firstLine="437"/>
        <w:spacing w:after="0" w:line="236" w:lineRule="auto"/>
        <w:rPr>
          <w:sz w:val="20"/>
          <w:szCs w:val="20"/>
          <w:color w:val="auto"/>
        </w:rPr>
      </w:pPr>
      <w:r>
        <w:rPr>
          <w:rFonts w:ascii="Courier New" w:cs="Courier New" w:eastAsia="Courier New" w:hAnsi="Courier New"/>
          <w:sz w:val="15"/>
          <w:szCs w:val="15"/>
          <w:color w:val="auto"/>
        </w:rPr>
        <w:t>1.6 "Fab 1" shall mean Tower's six-inch wafer fabrication facility located at its corporate headquarters in Migdal Haemek, including the parcel of land as set forth on Exhibit 1.6, and all equipment and other assets used now or in the future for operation of the facility or production of Products and other products.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87"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8"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1.7 "Fab Yield" shall mean the percent of Wafers used initially in the production process which result in containing, at the end of the production process, a Die Yield of at least ****.</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1.8 "Historical Yield" shall be Die Yield or Fab Yield, as applicable, based upon Siliconix historical data (by Product) of the latest six-months for the production of at least 1,000 wafers. Yield data for each Product shall be provided to Tower by Siliconix prior to the commencement of manufacturing and shall be updated on a quarterly basis during the term of this Agreement.</w:t>
      </w:r>
    </w:p>
    <w:p>
      <w:pPr>
        <w:spacing w:after="0" w:line="175"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1.9 "Product(s)" shall mean STCV's ****, which it requests Tower to manufacture, utilizing "Siliconix Process," at Fab 1 and provide in Wafer form with an average of **** photo mask steps.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1.10 "Proprietary Information" shall mean information that the disclosing party considers to be proprietary and/or confidential, including but not limited to, trade secrets, discoveries, ideas, concepts, know-how, software, techniques, designs, specifications, drawings, diagrams, data, computer programs, business activities and operations, reports, studies, lists of customers, current and future business plans, financial information, other technical and business information, and Siliconix or STCV suppliers and vendors.</w:t>
      </w:r>
    </w:p>
    <w:p>
      <w:pPr>
        <w:spacing w:after="0" w:line="177" w:lineRule="exact"/>
        <w:rPr>
          <w:sz w:val="20"/>
          <w:szCs w:val="20"/>
          <w:color w:val="auto"/>
        </w:rPr>
      </w:pPr>
    </w:p>
    <w:p>
      <w:pPr>
        <w:jc w:val="both"/>
        <w:ind w:left="440" w:right="3319" w:firstLine="437"/>
        <w:spacing w:after="0" w:line="235" w:lineRule="auto"/>
        <w:rPr>
          <w:sz w:val="20"/>
          <w:szCs w:val="20"/>
          <w:color w:val="auto"/>
        </w:rPr>
      </w:pPr>
      <w:r>
        <w:rPr>
          <w:rFonts w:ascii="Courier New" w:cs="Courier New" w:eastAsia="Courier New" w:hAnsi="Courier New"/>
          <w:sz w:val="15"/>
          <w:szCs w:val="15"/>
          <w:color w:val="auto"/>
        </w:rPr>
        <w:t>1.11 "Qualification" shall mean the approval by Siliconix that Fab 1 is qualified to produce Products in accordance with the criteria set forth in Exhibit 1.1.</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1.12 "Ramp-Up Period" shall mean the period commencing at the start of manufacture of a particular Product at Siliconix, and ending when a steady state of Fab Yield and Die Yield has been established for such product, taking into account that the ramp-up period will in the typical case decrease for follow-on products with comparable characteristics.</w:t>
      </w:r>
    </w:p>
    <w:p>
      <w:pPr>
        <w:sectPr>
          <w:pgSz w:w="11900" w:h="16838" w:orient="portrait"/>
          <w:cols w:equalWidth="0" w:num="1">
            <w:col w:w="10239"/>
          </w:cols>
          <w:pgMar w:left="220" w:top="142" w:right="1440" w:bottom="0" w:gutter="0" w:footer="0" w:header="0"/>
        </w:sectPr>
      </w:pPr>
    </w:p>
    <w:bookmarkStart w:id="146" w:name="page147"/>
    <w:bookmarkEnd w:id="146"/>
    <w:p>
      <w:pPr>
        <w:ind w:right="3499" w:firstLine="437"/>
        <w:spacing w:after="0" w:line="234" w:lineRule="auto"/>
        <w:rPr>
          <w:sz w:val="20"/>
          <w:szCs w:val="20"/>
          <w:color w:val="auto"/>
        </w:rPr>
      </w:pPr>
      <w:r>
        <w:rPr>
          <w:rFonts w:ascii="Courier New" w:cs="Courier New" w:eastAsia="Courier New" w:hAnsi="Courier New"/>
          <w:sz w:val="15"/>
          <w:szCs w:val="15"/>
          <w:color w:val="auto"/>
        </w:rPr>
        <w:t>1.13 "Ramp-Up Yield" shall be the Historical Yield of Siliconix (by Product) during the Ramp-up Period.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1.14 "Release to Production" shall mean a written notice by Siliconix to Tower that the Product is production worthy using the applicable Siliconix Process and Tower Process.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1.15 "Secured Creditors" shall mean Bank Hapoalim B.M,. Bank Leumi Le-Israel B.M. and the Investment Center of the Israel Ministry of Industry and Trade and any other creditors of Tower, which receive a security interest or a pledge of, Fab 1 (or any assets thereof) in the future, other than by operation of law or with respect to the purchase of equipment or materials which has not been fully paid for by Tower.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1.16 "Siliconix Process" shall mean Siliconix's proprietary **** processes, all derivatives thereof and recipes, manufacturing, fabrication, test techniques, design rules and simulation models, and all related improvements and technical information required, in conjunction with the Tower Process, to manufacture a Product.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309" w:right="1440" w:bottom="1440" w:gutter="0" w:footer="0" w:header="0"/>
        </w:sectPr>
      </w:pPr>
    </w:p>
    <w:bookmarkStart w:id="147" w:name="page148"/>
    <w:bookmarkEnd w:id="147"/>
    <w:p>
      <w:pPr>
        <w:ind w:left="440" w:right="3399" w:firstLine="437"/>
        <w:spacing w:after="0" w:line="236" w:lineRule="auto"/>
        <w:rPr>
          <w:sz w:val="20"/>
          <w:szCs w:val="20"/>
          <w:color w:val="auto"/>
        </w:rPr>
      </w:pPr>
      <w:r>
        <w:rPr>
          <w:rFonts w:ascii="Courier New" w:cs="Courier New" w:eastAsia="Courier New" w:hAnsi="Courier New"/>
          <w:sz w:val="15"/>
          <w:szCs w:val="15"/>
          <w:color w:val="auto"/>
        </w:rPr>
        <w:t>1.17 "Tower Process" shall mean Tower's proprietary processes and recipes, manufacturing, fabrication, assembly and test techniques, design rules and simulation models, and all related improvements to Tower's Process used by Tower and required, in conjunction with the Siliconix Process, to manufacture a Product.</w:t>
      </w:r>
    </w:p>
    <w:p>
      <w:pPr>
        <w:spacing w:after="0" w:line="174" w:lineRule="exact"/>
        <w:rPr>
          <w:sz w:val="20"/>
          <w:szCs w:val="20"/>
          <w:color w:val="auto"/>
        </w:rPr>
      </w:pPr>
    </w:p>
    <w:p>
      <w:pPr>
        <w:ind w:left="440" w:right="3939" w:firstLine="437"/>
        <w:spacing w:after="0" w:line="234" w:lineRule="auto"/>
        <w:rPr>
          <w:sz w:val="20"/>
          <w:szCs w:val="20"/>
          <w:color w:val="auto"/>
        </w:rPr>
      </w:pPr>
      <w:r>
        <w:rPr>
          <w:rFonts w:ascii="Courier New" w:cs="Courier New" w:eastAsia="Courier New" w:hAnsi="Courier New"/>
          <w:sz w:val="15"/>
          <w:szCs w:val="15"/>
          <w:color w:val="auto"/>
        </w:rPr>
        <w:t>1.18 "Wafer(s)" shall mean 150mm single crystal silicon wafers containing the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Technology License.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parties shall license each other, but the licensee may not sublicense to third parties, with all technical information that the other party reasonably requires to develop Products based upon the Siliconix Process and the Tower Process, as applicable including but not be limited to: (a) process flow outline; (b) process parameter specifications; (c) electric parameter specifications; (d) quality control monitor flow; (e) technical information relating to improvements, enhancements and modifications made by such party which reduce the cost and/or maintain the compatibility of the Siliconix Process between Tower and Siliconix; and (f) other information as shall be mutually agreed upon by both parties. Both parties shall allocate a team of experienced professionals, as necessary, for the performance of their responsibilities pursuant to the terms of the Agreement and assist the other party to achieve process compatibility and reasonable expertise with respect to the Siliconix Process. Such professionals shall be located at Fab 1 as agreed by the parties.</w:t>
      </w:r>
    </w:p>
    <w:p>
      <w:pPr>
        <w:spacing w:after="0" w:line="157" w:lineRule="exact"/>
        <w:rPr>
          <w:sz w:val="20"/>
          <w:szCs w:val="20"/>
          <w:color w:val="auto"/>
        </w:rPr>
      </w:pPr>
    </w:p>
    <w:p>
      <w:pPr>
        <w:spacing w:after="0"/>
        <w:tabs>
          <w:tab w:leader="none" w:pos="1040" w:val="left"/>
          <w:tab w:leader="none" w:pos="2520" w:val="left"/>
        </w:tabs>
        <w:rPr>
          <w:sz w:val="20"/>
          <w:szCs w:val="20"/>
          <w:color w:val="auto"/>
        </w:rPr>
      </w:pPr>
      <w:r>
        <w:rPr>
          <w:rFonts w:ascii="Courier New" w:cs="Courier New" w:eastAsia="Courier New" w:hAnsi="Courier New"/>
          <w:sz w:val="15"/>
          <w:szCs w:val="15"/>
          <w:color w:val="auto"/>
        </w:rPr>
        <w:t>Section 3.</w:t>
        <w:tab/>
        <w:t>Wafer Capacity;</w:t>
      </w:r>
      <w:r>
        <w:rPr>
          <w:sz w:val="20"/>
          <w:szCs w:val="20"/>
          <w:color w:val="auto"/>
        </w:rPr>
        <w:tab/>
      </w:r>
      <w:r>
        <w:rPr>
          <w:rFonts w:ascii="Courier New" w:cs="Courier New" w:eastAsia="Courier New" w:hAnsi="Courier New"/>
          <w:sz w:val="14"/>
          <w:szCs w:val="14"/>
          <w:color w:val="auto"/>
        </w:rPr>
        <w:t>Manufacturing and Purchase Commitment.</w:t>
      </w:r>
    </w:p>
    <w:p>
      <w:pPr>
        <w:spacing w:after="0" w:line="173" w:lineRule="exact"/>
        <w:rPr>
          <w:sz w:val="20"/>
          <w:szCs w:val="20"/>
          <w:color w:val="auto"/>
        </w:rPr>
      </w:pPr>
    </w:p>
    <w:p>
      <w:pPr>
        <w:ind w:left="440" w:right="3399" w:firstLine="437"/>
        <w:spacing w:after="0" w:line="236" w:lineRule="auto"/>
        <w:rPr>
          <w:sz w:val="20"/>
          <w:szCs w:val="20"/>
          <w:color w:val="auto"/>
        </w:rPr>
      </w:pPr>
      <w:r>
        <w:rPr>
          <w:rFonts w:ascii="Courier New" w:cs="Courier New" w:eastAsia="Courier New" w:hAnsi="Courier New"/>
          <w:sz w:val="15"/>
          <w:szCs w:val="15"/>
          <w:color w:val="auto"/>
        </w:rPr>
        <w:t>3.1 Manufacturing. Upon receipt of STCV's purchase orders, and following Siliconix's notices to Tower that Qualification and Release to Production have been met, Tower agrees to manufacture and sell Products, and STCV agrees to purchase such Products from Tower, subject to the Products passing the Acceptance Criteria, on the terms and conditions set forth herein. Siliconix will provide Tower with Epi Wafers free of charge and in quantities sufficient for Qualification and for Tower to meet the Monthly Minimum Wafer Purchase Requirement.</w:t>
      </w:r>
    </w:p>
    <w:p>
      <w:pPr>
        <w:spacing w:after="0" w:line="177"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Tower undertakes that it will not sell, transfer or provide the Products or Wafers, or any Proprietary Information included therein, to any entity other than STCV. This obligation shall survive any termination of this Agreement for any reason.</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3.2 Capacity and Purchase Commitment. Tower shall reserve for, allocate to, and manufacture for STCV during the Term (as defined below) the aggregate number of Wafers agreed between the parties (the "Full Agreement Amount"), and STCV hereby agrees to purchase the Full Agreement Amount at the prices set forth in Section 4, subject to STCV's right, set forth in Section 3.3, to reduce the number of Wafers purchased in any month, and further provided that the Products contained on the Wafers pass the Acceptance Criteria. Tower is to manufacture the Wafers, and STCV is to purchase the Wafers, according to the following timetable: during each of the one year periods set forth below Tower shall reserve for, allocate to, and manufacture for, STCV, and STCV shall purchase, the following number of Wafers (the "Monthly Minimum Wafer Purchase Requirement"), subject to STCV's right, set forth Section 3.3, to reduce the number of Wafers purchased in any month (provided that in any case STCV shall be obligated to purchase the Full Agreement Amount) and further provided that the Products contained on the Wafers pass the Acceptance Criteria: (a) ****</w:t>
      </w:r>
    </w:p>
    <w:p>
      <w:pPr>
        <w:spacing w:after="0" w:line="16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Wafer outs during the initial twelve (12) month period following Release to Production, (b) **** Wafer outs per month during the twelve (12) month period thereafter, and (c) **** Wafer outs per month thereafter.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148" w:name="page149"/>
    <w:bookmarkEnd w:id="148"/>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8"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3.3 At any time following the third anniversary of the Release to Production, STCV may reduce, on one or more occasions, the Monthly Minimum Wafer Purchase Requirement by providing Tower with ****advance written notice of such reduction (for clarity, the notice may be given by Siliconix</w:t>
      </w:r>
    </w:p>
    <w:p>
      <w:pPr>
        <w:spacing w:after="0" w:line="1"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 In such case, Tower shall only be required to reserve for and allocate the reduced Monthly Minimum Wafer Purchase Requirement to Siliconix (the "Monthly Reduced Level"), and further provided however, that Siliconix shall in any case be obligated to purchase the Full Agreement Amount. Tower shall use its best efforts to mitigate the effect of such reduction on Fab 1 manufacturing volume.</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Notwithstanding the foregoing, if Siliconix shall have reduced the Monthly Minimum Wafer Purchase Requirement to a Monthly Reduced Level, it shall be entitled to provide Tower with 90 days prior written notice of its desire to increase its level of purchase of Wafers from the Monthly Reduced Level (provided that such request shall not require Tower to produce more than ****</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wafer outs per month) (the "Monthly Increased Level Capacity"). Notwithstanding anything else in this Agreement (including statements that Siliconix is obligated to purchase the Full Agreement Amount), if Tower is unable or unwilling to provide such Monthly Increased Level Capacity at any time after the end of such 90 day period, Siliconix's obligation to purchase the Full Agreement Amount shall be reduced by the difference between the total Monthly Increased Level Capacity and the total number of wafer outs provided by Tower during the period which Tower is unable or unwilling to provide the Monthly Increased Level Capacity to STCV. To the extent the Full Agreement Amount was adjusted pursuant to this paragraph, Tower shall credit STCV with the Adjusted Prepayment Credit for each wafer delivered in the future such that the Prepayment shall be fully returned to STCV during the Term. The "Adjusted Prepayment Credit" shall be calculated as follows: the remainder of the Prepayment divided by a number equal to the Full Agreement Amount minus the sum of the total quantity of Wafers previously delivered and the cumulative quantity not reestablished.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Prices, Payments and Taxes.</w:t>
      </w:r>
    </w:p>
    <w:p>
      <w:pPr>
        <w:spacing w:after="0" w:line="17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4.1 PRICE. The price for Wafers is as agreed to between the parties (the "Per Wafer Price"); provided, however, that in the event the Monthly Minimum Wafer Purchase Requirement is reduced in accordance with the procedure set forth in Section 3.3, the price for Wafers shall thereafter be increased to cover Tower's costs relating to the decrease in the Monthly Minimum Wafer Purchase Requirement which, despite Tower's best efforts, cannot be reduced on a going forward basis as a result of such reduction. The determination of whether such costs, if any, can be reduced will be made on an objective basis by an independent third party agreeable to the parties. Such increased price shall be Tower's sole and exclusive damages for a reduction in the Monthly Minimum Wafer Purchase Requirement provided, however, that Siliconix shall still be obligated to purchase the Full Agreement Amount as may be reduced pursuant to the second paragraph of Section 3.3. Tower shall provide any documentation that STCV reasonably requests to support such increased costs and to demonstrate Tower's efforts to reduce costs as the result of the reduced demand.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149" w:name="page150"/>
    <w:bookmarkEnd w:id="149"/>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60" w:lineRule="exact"/>
        <w:rPr>
          <w:sz w:val="20"/>
          <w:szCs w:val="20"/>
          <w:color w:val="auto"/>
        </w:rPr>
      </w:pPr>
    </w:p>
    <w:p>
      <w:pPr>
        <w:ind w:left="440" w:right="3319" w:firstLine="437"/>
        <w:spacing w:after="0" w:line="254" w:lineRule="auto"/>
        <w:rPr>
          <w:sz w:val="20"/>
          <w:szCs w:val="20"/>
          <w:color w:val="auto"/>
        </w:rPr>
      </w:pPr>
      <w:r>
        <w:rPr>
          <w:rFonts w:ascii="Courier New" w:cs="Courier New" w:eastAsia="Courier New" w:hAnsi="Courier New"/>
          <w:sz w:val="14"/>
          <w:szCs w:val="14"/>
          <w:color w:val="auto"/>
        </w:rPr>
        <w:t>4.2 EPI WAFERS. The Per Wafer Price takes into account the fact that Siliconix will consign the necessary Epi Wafers to Tower, free of charge. Should Tower's Fab Yield be less than **** of the Historical Yield (or the Ramp Up Yield during the Ramp-up Period), then STCV shall supply the additional Epi Wafers required at a price of **** per Epi Wafer. Should Tower's Fab Yield exceed the Historical Yield (or the Ramp Up Yield during the Ramp-up Period), then STCV shall grant Tower a credit in the amount of</w:t>
      </w:r>
    </w:p>
    <w:p>
      <w:pPr>
        <w:spacing w:after="0" w:line="2" w:lineRule="exact"/>
        <w:rPr>
          <w:sz w:val="20"/>
          <w:szCs w:val="20"/>
          <w:color w:val="auto"/>
        </w:rPr>
      </w:pPr>
    </w:p>
    <w:p>
      <w:pPr>
        <w:ind w:left="440" w:right="3319" w:firstLine="7"/>
        <w:spacing w:after="0" w:line="235" w:lineRule="auto"/>
        <w:tabs>
          <w:tab w:leader="none" w:pos="87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Epi Wafer not required. Unless otherwise agreed in writing, the price for Wafers shall be as stated in this Agreement for the Products involved.</w:t>
      </w:r>
    </w:p>
    <w:p>
      <w:pPr>
        <w:spacing w:after="0" w:line="174"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4.3 DIE YIELD. Die Yield shall be based upon Historical Yield or Tower Yield by product. For mature products, the Die Yield shall be determined based upon Tower's average Die Yield for the previous twelve (12) months (the "Tower Yield") or the Historical Yield, whichever is greater. For pricing purposes during the Ramp-Up Period no price adjustment will be made for Wafers with Die Yield above ****. During the Ramp-Up period, Wafers with Die Yield below **** may be shipped and invoiced to Siliconix but only with Siliconix prior approval. After the Ramp-Up Period, in the event the Die Yield is within a **** deviation of the higher of Historical Yield or the Tower Yield (the "Base Yield"), the Price Per Wafer will remain unchanged. For Products with an average Die Yield above or below the Base Yield plus or minus ****, the price will be adjusted proportionally to the variation. For pricing purposes Wafer pricing adjustments for Die Yield shall be determined on a regular basis but not less than twice per year. In the event the price is adjusted, a new calculation will be made as aforesaid, no more than 3 months later. Siliconix will not accept wafers with less than **** Die Yield.</w:t>
      </w:r>
    </w:p>
    <w:p>
      <w:pPr>
        <w:spacing w:after="0" w:line="331"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4.4 PREPAYMENT. STCV agrees to prepay Tower twenty million United States dollars (US$20,000,000) (the "Prepayment"). This amount, shall be due and payable within 30 days from the Execution Date or upon receipt of consents of the Secured Creditors required by Section 5.1 hereunder, which ever is later. STCV shall only be obligated to pay the Prepayment amount when it has received copies of all consents of the Secured Creditors. Subject to receipt of consent from the Secured Creditors, Tower shall maintain the Prepayment in a separate bank account (the "Prepayment Bank Account"), may only use the Prepayment to purchase Equipment and pay for other expenses in connection with Tower's performance of this Agreement and Tower shall pledge that bank account to STCV to secure Tower's obligations to purchase the Equipment hereunder. This pledge shall be registered in accordance with the documents attached hereto in Exhibit 4.4 and shall terminate when Fab 1 reaches capacity to produce for STCV **** Wafer starts per month and any remaining amounts will belong to Tower and shall not be subject to any restrictions. In consideration of the Prepayment, Tower shall credit Siliconix the amount agreed to between the parties (the "Prepayment Credit") towards the payment of each of the Wafers of the Full Agreement Amount.</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50" w:name="page151"/>
    <w:bookmarkEnd w:id="150"/>
    <w:p>
      <w:pPr>
        <w:ind w:left="440" w:right="3239" w:firstLine="437"/>
        <w:spacing w:after="0" w:line="254" w:lineRule="auto"/>
        <w:rPr>
          <w:sz w:val="20"/>
          <w:szCs w:val="20"/>
          <w:color w:val="auto"/>
        </w:rPr>
      </w:pPr>
      <w:r>
        <w:rPr>
          <w:rFonts w:ascii="Courier New" w:cs="Courier New" w:eastAsia="Courier New" w:hAnsi="Courier New"/>
          <w:sz w:val="14"/>
          <w:szCs w:val="14"/>
          <w:color w:val="auto"/>
        </w:rPr>
        <w:t>4.5 PAYMENT TERMS. All payments shall be in United States dollars. Invoices shall be sent to STCV at the address shown above no earlier than delivery (Ex Works Fab 1 as set forth in Exhibit 8) of the Products. Payments are due in full within 30 days after the end of the month in which the invoice is issued. Payment does not constitute Wafer Acceptance. Invoices shall be sent to STCV for (i) payment for Products delivered and during the first 36 months of the Agreement, the difference between the applicable Monthly Minimum Wafer Requirement and the Products ordered by STCV for each month (as set forth in Exhibit 8), to the extent lower than the applicable Monthly Minimum Wafer Requirement, and (ii) if applicable, any additional amounts that STCV is required to pay Tower, inter alia, due to Tower's increased costs which Tower, despite its best efforts, cannot reduce, if STCV fails to purchase the greater of (a) the Monthly Minimum Wafer Purchase Requirement and (b) the number of Wafers which it has committed to for the following 3-month period pursuant to Section 2 of Exhibit 8. The above minimum quantities of Wafers to be purchased shall be reduced for any Products that fail to meet the Warranty, or during the period in which the defects are being investigated pursuant to Section 8 of Exhibit 8, and Tower was unable to supply adequate replacement Products that meet the Warranty.</w:t>
      </w:r>
    </w:p>
    <w:p>
      <w:pPr>
        <w:spacing w:after="0" w:line="34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4.6 TAXES. Any tax burden (except on a party's taxable income and as set forth below) with respect to the sale of the Products shall be split equally between the parties. STCV undertakes that all Products will be shipped outside of Israel and, upon request, will deliver all necessary documentation in connection therewith to Tower. To the extent that any Products are not shipped outside of Israel, the prices set forth herein are non-inclusive of Israeli Value Added Tax, and any applicable Value Added Tax will be borne solely by STCV.</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Order and No-Sale of Equipment.</w:t>
      </w:r>
    </w:p>
    <w:p>
      <w:pPr>
        <w:spacing w:after="0" w:line="173"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5.1 EQUIPMENT ORDER. Upon receipt of the Prepayment and in order to reach the Fab 1 wafer fabrication capacity required to meet the Monthly Minimum Wafer Purchase Requirement as set forth in Section 3.2, Tower shall place purchase orders for the equipment (the "Equipment") set forth in Exhibit 5.1 attached hereto as soon as reasonably practicable, shall prepare Fab 1 to accept and connect the Equipment to utilities and install it appropriately, and shall diligently follow up with Equipment vendors to receive and install the Equipment so that it may produce the Products according to the timetable specified herein. The Equipment shall be pledged to STCV as a first lien in accordance with the documents attached hereto as Exhibit 4.4 to secure Tower's obligations under this Agreement, shall be marked accordingly, and the Secured Creditors shall consent that the pledge in the Equipment and Prepayment Bank Account is superior to their charges which they now have or may in the future have on the Equipment and Prepayment Bank Account. Under no circumstances may Tower provide a pledge on the Equipment or Prepayment Bank Account that is superior or equal to the pledge to STCV. This Agreement shall become effective and STCV's obligations shall only commence when it has received written consents to the pledge and the rights of first refusal set forth in Section 7 below from all of Tower's Secured Creditors. Tower agrees to use its best efforts to obtain the consents within 10 business days of the Execution Date.</w:t>
      </w:r>
    </w:p>
    <w:p>
      <w:pPr>
        <w:spacing w:after="0" w:line="343" w:lineRule="exact"/>
        <w:rPr>
          <w:sz w:val="20"/>
          <w:szCs w:val="20"/>
          <w:color w:val="auto"/>
        </w:rPr>
      </w:pPr>
    </w:p>
    <w:p>
      <w:pPr>
        <w:jc w:val="both"/>
        <w:ind w:left="440" w:right="3399" w:firstLine="437"/>
        <w:spacing w:after="0" w:line="256" w:lineRule="auto"/>
        <w:rPr>
          <w:sz w:val="20"/>
          <w:szCs w:val="20"/>
          <w:color w:val="auto"/>
        </w:rPr>
      </w:pPr>
      <w:r>
        <w:rPr>
          <w:rFonts w:ascii="Courier New" w:cs="Courier New" w:eastAsia="Courier New" w:hAnsi="Courier New"/>
          <w:sz w:val="14"/>
          <w:szCs w:val="14"/>
          <w:color w:val="auto"/>
        </w:rPr>
        <w:t>5.2 EQUIPMENT NO-SALE. During the term of the Agreement, Tower shall not sell or rent the Equipment without the prior written consent of STCV, which may be given or withheld in STCV's sole discretion. No sale of the Equipment shall relieve Tower of any of its obligations hereunder.</w:t>
      </w:r>
    </w:p>
    <w:p>
      <w:pPr>
        <w:spacing w:after="0" w:line="164" w:lineRule="exact"/>
        <w:rPr>
          <w:sz w:val="20"/>
          <w:szCs w:val="20"/>
          <w:color w:val="auto"/>
        </w:rPr>
      </w:pPr>
    </w:p>
    <w:p>
      <w:pPr>
        <w:jc w:val="both"/>
        <w:ind w:left="440" w:right="3399" w:firstLine="437"/>
        <w:spacing w:after="0" w:line="234" w:lineRule="auto"/>
        <w:rPr>
          <w:sz w:val="20"/>
          <w:szCs w:val="20"/>
          <w:color w:val="auto"/>
        </w:rPr>
      </w:pPr>
      <w:r>
        <w:rPr>
          <w:rFonts w:ascii="Courier New" w:cs="Courier New" w:eastAsia="Courier New" w:hAnsi="Courier New"/>
          <w:sz w:val="15"/>
          <w:szCs w:val="15"/>
          <w:color w:val="auto"/>
        </w:rPr>
        <w:t>5.3 MAINTENANCE. Tower agrees that it will maintain the Equipment in good working order, in accordance with manufacturer instructions.</w:t>
      </w:r>
    </w:p>
    <w:p>
      <w:pPr>
        <w:spacing w:after="0" w:line="173" w:lineRule="exact"/>
        <w:rPr>
          <w:sz w:val="20"/>
          <w:szCs w:val="20"/>
          <w:color w:val="auto"/>
        </w:rPr>
      </w:pPr>
    </w:p>
    <w:p>
      <w:pPr>
        <w:ind w:left="440" w:right="3319" w:firstLine="437"/>
        <w:spacing w:after="0" w:line="234" w:lineRule="auto"/>
        <w:rPr>
          <w:sz w:val="20"/>
          <w:szCs w:val="20"/>
          <w:color w:val="auto"/>
        </w:rPr>
      </w:pPr>
      <w:r>
        <w:rPr>
          <w:rFonts w:ascii="Courier New" w:cs="Courier New" w:eastAsia="Courier New" w:hAnsi="Courier New"/>
          <w:sz w:val="15"/>
          <w:szCs w:val="15"/>
          <w:color w:val="auto"/>
        </w:rPr>
        <w:t>5.4 INSURANCE. Tower agrees that it will insure the Equipment for its full replacement value throughout the Term of the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Section 6. Term and Termination.</w:t>
      </w:r>
    </w:p>
    <w:p>
      <w:pPr>
        <w:spacing w:after="0" w:line="173" w:lineRule="exact"/>
        <w:rPr>
          <w:sz w:val="20"/>
          <w:szCs w:val="20"/>
          <w:color w:val="auto"/>
        </w:rPr>
      </w:pPr>
    </w:p>
    <w:p>
      <w:pPr>
        <w:ind w:left="440" w:right="3399" w:firstLine="437"/>
        <w:spacing w:after="0" w:line="236" w:lineRule="auto"/>
        <w:rPr>
          <w:sz w:val="20"/>
          <w:szCs w:val="20"/>
          <w:color w:val="auto"/>
        </w:rPr>
      </w:pPr>
      <w:r>
        <w:rPr>
          <w:rFonts w:ascii="Courier New" w:cs="Courier New" w:eastAsia="Courier New" w:hAnsi="Courier New"/>
          <w:sz w:val="15"/>
          <w:szCs w:val="15"/>
          <w:color w:val="auto"/>
        </w:rPr>
        <w:t>6.1 TERM. This Agreement shall remain in full force and effect until the first to occur of (i) ten (10) years from Release to Production (the "Term") or (ii) STCV has received and paid for the Full Agreement Amount, unless earlier terminated in accordance with this Section 6. During the final year of the initial term of this Agreement, if not terminated previously and assuming no material breach by either party, the parties shall negotiate in good faith an agreement for the purchase of additional Wafers which shall be based on the principles set forth in this Agreement (the "Follow-On Agreement").</w:t>
      </w:r>
    </w:p>
    <w:p>
      <w:pPr>
        <w:spacing w:after="0" w:line="178"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6.2 TERMINATION FOR BREACH. If either party breaches any material term or condition of this Agreement and following receipt of written notice of the breach from the other party fails to cure such breach within thirty</w:t>
      </w:r>
    </w:p>
    <w:p>
      <w:pPr>
        <w:spacing w:after="0" w:line="1" w:lineRule="exact"/>
        <w:rPr>
          <w:sz w:val="20"/>
          <w:szCs w:val="20"/>
          <w:color w:val="auto"/>
        </w:rPr>
      </w:pPr>
    </w:p>
    <w:p>
      <w:pPr>
        <w:ind w:left="440" w:right="3319" w:firstLine="7"/>
        <w:spacing w:after="0" w:line="255" w:lineRule="auto"/>
        <w:tabs>
          <w:tab w:leader="none" w:pos="87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sixty (60) days in the event such breach reasonably requires more than (30) days to correct (specifically excluding any breach of an obligation to pay money), provided the breaching party begins substantial corrective action to remedy such breach and diligently pursues such action after receiving notice of the breach, in addition to any other remedy available to it by law, the other party shall have the right to terminate this Agreement, on a written notice, at any time after the end of such thirty (30) or sixty (60) day period, as applicable.</w:t>
      </w:r>
    </w:p>
    <w:p>
      <w:pPr>
        <w:spacing w:after="0" w:line="166"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6.3 TERMINATION FOR INSOLVENCY. If either party becomes the subject of a voluntary or involuntary petition in bankruptcy or of any proceeding relating to insolvency, receivership, liquidation, or assignment for the benefit of creditors, if that petition or proceeding is not dismissed with prejudice within thirty (30) days after filing, the other party may terminate this Agreement on thirty (30) days' written notice.</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6.4 TERMINATION FOR CONVENIENCE.</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6.4.1 Tower may in its sole and absolute discretion, at any time after the second anniversary of the Release to Production, give notice of termination of this Agreement for convenience (the "Termination Notice"). The termination date shall be twelve (12) months from the date of the Termination Notice (the "Termination Effective Date").</w:t>
      </w:r>
    </w:p>
    <w:p>
      <w:pPr>
        <w:spacing w:after="0" w:line="174"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6.4.2 If Tower terminates this Agreement for convenience, then concurrently with the Termination Notice described in sub-Section 6.4.1, Tower shall grant to Siliconix the right (which may be exercised by an Affiliate of Siliconix) to (a) sublease the land and attached buildings described on Exhibit 1.6 (collectively, the "LAND") for a period of up to 24 (twenty-four) years, but in any event only until October 29, 2032, at an annual rent, paid quarterly, which shall reflect the book value (according to the most recent balance sheet audited by the Sublessor's external auditors) and (b) purchase from Tower the assets of Fab 1 (described in Exhibit 6.4)) and all equipment and other assets used for the operation of Fab 1 or the production of Products (the Land and other assets set forth above shall be referred to herein as the "FAB 1 ASSETS") "as is", free and clear of all encumbrances, liabilities, contracts and obligations of any kind, for the then-current book value (excluding the Equipment, which is transferred to Siliconix automatically pursuant to Section 6.6). Siliconix shall have ninety (90) days from the date of the grant of the right to elect to purchase and sub-lease the Fab 1 Assets. In the event that Siliconix elects to exercise such right, Tower shall use its best efforts to obtain all necessary consents and approvals for the purchase and sub-lease of the Fab 1 Assets within 30 days from Siliconix's election to purchase and sub-lease the Fab 1 Assets, and such transaction will be consummated during the thirty (30) days immediately following the Termination Effective Date. Tower agrees to use its best efforts to obtain the consents of the Secured Creditors to this provision within 10 business days of the Execution Date, and the parties understand that Siliconix has no obligations under this Agreement until such consents are obtained. Tower may not grant future security interests in the Fab 1 Assets until Tower delivers to Siliconix the written consent of such future Secured Creditor to the provisions of this Section. Any sale, transfer, lease or other disposition of the Fab 1 Assets will be subject to Siliconix's rights therein. The provision is in addition to any rights of first refusal which Siliconix holds under Section 7 hereof.</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152" w:name="page153"/>
    <w:bookmarkEnd w:id="152"/>
    <w:p>
      <w:pPr>
        <w:ind w:right="3239" w:firstLine="437"/>
        <w:spacing w:after="0" w:line="254" w:lineRule="auto"/>
        <w:rPr>
          <w:sz w:val="20"/>
          <w:szCs w:val="20"/>
          <w:color w:val="auto"/>
        </w:rPr>
      </w:pPr>
      <w:r>
        <w:rPr>
          <w:rFonts w:ascii="Courier New" w:cs="Courier New" w:eastAsia="Courier New" w:hAnsi="Courier New"/>
          <w:sz w:val="14"/>
          <w:szCs w:val="14"/>
          <w:color w:val="auto"/>
        </w:rPr>
        <w:t>6.5 PLEDGE OF EQUIPMENT AND PREPAYMENT BANK ACCOUNT. Tower hereby represents and warrants to Siliconix and STCV that the Secured Creditors are its only secured creditors for Fab 1. In order to secure Tower's compliance with the terms of this Agreement, Tower hereby grants to STCV a specific lien security interest in all of the Equipment and the Prepayment Bank Account. The consents of the Secured Creditors will be attached hereto. The security interest in the Prepayment Bank Account will terminate pursuant to Section 4.4. Tower agrees to record the pledge on the Equipment and to send Siliconix and STCV a copy of the registration thereof at the Companies Registrar within 14 days of the first date which by law a pledge on the Equipment and Prepayment Bank Account may be registered. STCV may exercise its security interest in the event of its termination of this Agreement in accordance with the terms of Sections 6.2 or 6.3, and shall have priority over any other creditor, including without limitation the Secured Creditors. Upon the execution hereof, Tower shall provide an opinion of its Israeli counsel to this effect. For the purposes of clarity, Siliconix and STCV are aware that Tower has granted to Bank Hapoalim B.M. and Bank Leumi Le-Israel B.M. a first ranking floating charge and has granted the State of Israel a second ranking floating charge, inter alia, over the Equipment, as well as over the proceeds of any sale, realization or any other disposition of the Equipment, and Tower represents that such Secured Creditors are or will be, promptly following the Execution Date, fully aware of this Agreement and its terms. Tower may not grant future security interests in the Equipment until Tower delivers to Siliconix and STCV the written consent of such future Secured Creditor to the provisions of this Section.</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6.6 RETURN OF INFORMATION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6.6.1 Upon expiration or termination of this Agreement for any reason,</w:t>
      </w:r>
    </w:p>
    <w:p>
      <w:pPr>
        <w:spacing w:after="0" w:line="10" w:lineRule="exact"/>
        <w:rPr>
          <w:sz w:val="20"/>
          <w:szCs w:val="20"/>
          <w:color w:val="auto"/>
        </w:rPr>
      </w:pPr>
    </w:p>
    <w:p>
      <w:pPr>
        <w:ind w:right="3499" w:firstLine="7"/>
        <w:spacing w:after="0" w:line="261" w:lineRule="auto"/>
        <w:tabs>
          <w:tab w:leader="none" w:pos="35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immediately return all copies of Siliconix's Proprietary Information, as certified by Tower's Fab 1 management member.</w:t>
      </w:r>
    </w:p>
    <w:p>
      <w:pPr>
        <w:spacing w:after="0" w:line="16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6.6.2 Tower will transfer ownership of the Equipment to Siliconix, in the event:</w:t>
      </w:r>
    </w:p>
    <w:p>
      <w:pPr>
        <w:spacing w:after="0" w:line="167" w:lineRule="exact"/>
        <w:rPr>
          <w:sz w:val="20"/>
          <w:szCs w:val="20"/>
          <w:color w:val="auto"/>
        </w:rPr>
      </w:pPr>
    </w:p>
    <w:p>
      <w:pPr>
        <w:ind w:left="1240" w:hanging="358"/>
        <w:spacing w:after="0"/>
        <w:tabs>
          <w:tab w:leader="none" w:pos="12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 has purchased the Full Agreement Amount as such</w:t>
      </w:r>
    </w:p>
    <w:p>
      <w:pPr>
        <w:spacing w:after="0" w:line="4"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may be reduced pursuant to the second paragraph of Section 3.3., and, notwithstanding their good faith efforts to do so, the parties are not able to successfully negotiate the Follow-On Agreement;</w:t>
      </w:r>
    </w:p>
    <w:p>
      <w:pPr>
        <w:spacing w:after="0" w:line="175" w:lineRule="exact"/>
        <w:rPr>
          <w:rFonts w:ascii="Courier New" w:cs="Courier New" w:eastAsia="Courier New" w:hAnsi="Courier New"/>
          <w:sz w:val="15"/>
          <w:szCs w:val="15"/>
          <w:color w:val="auto"/>
        </w:rPr>
      </w:pPr>
    </w:p>
    <w:p>
      <w:pPr>
        <w:ind w:left="1240" w:hanging="358"/>
        <w:spacing w:after="0"/>
        <w:tabs>
          <w:tab w:leader="none" w:pos="12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terminates the Agreement for convenience under Section</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6.4;</w:t>
      </w:r>
    </w:p>
    <w:p>
      <w:pPr>
        <w:spacing w:after="0" w:line="173" w:lineRule="exact"/>
        <w:rPr>
          <w:rFonts w:ascii="Courier New" w:cs="Courier New" w:eastAsia="Courier New" w:hAnsi="Courier New"/>
          <w:sz w:val="14"/>
          <w:szCs w:val="14"/>
          <w:color w:val="auto"/>
        </w:rPr>
      </w:pPr>
    </w:p>
    <w:p>
      <w:pPr>
        <w:ind w:left="880" w:right="3679" w:firstLine="2"/>
        <w:spacing w:after="0" w:line="234" w:lineRule="auto"/>
        <w:tabs>
          <w:tab w:leader="none" w:pos="12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 terminates the Agreement due to Tower's breach pursuant to Section 6.2; or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792" w:right="1440" w:bottom="1440" w:gutter="0" w:footer="0" w:header="0"/>
        </w:sectPr>
      </w:pPr>
    </w:p>
    <w:bookmarkStart w:id="153" w:name="page154"/>
    <w:bookmarkEnd w:id="153"/>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(d) Siliconix terminates the Agreement under Section 6.3.</w:t>
      </w:r>
    </w:p>
    <w:p>
      <w:pPr>
        <w:spacing w:after="0" w:line="173"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6.6.3 Tower shall assist STCV in the de-installation and removal of the Equipment from Fab 1. STCV shall bear the costs of the de-installation and removal of the Equipment from Fab 1 upon expiration of this Agreement. If Tower terminates prematurely for breach by STCV, STCV shall be responsible for cost of de-installation and removal of equipment. Tower shall bear the costs of the de-installation and removal of the Equipment from Fab 1 if Tower terminates this Agreement prematurely for convenience or if Siliconix or STCV terminates prematurely for Tower's breach or insolvency.</w:t>
      </w:r>
    </w:p>
    <w:p>
      <w:pPr>
        <w:spacing w:after="0" w:line="178"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6.7 EFFECT OF TERMINATION. All amounts due under this Agreement prior to its termination or expiration shall be due, payable and paid in accordance with the terms and conditions of this Agreement, notwithstanding any termination or expiration of this Agreement. In addition, in the event that Siliconix or STCV terminates this Agreement, Siliconix shall also be required to pay for any Products ordered by STCV for which Tower has commenced production in accordance with an accepted purchase order prior to the termination of the Agreement, provided that Tower timely delivers such Products to STCV. In the event that Tower terminates this Agreement, then in addition to and without waiving any other remedy, Tower shall be entitled to payment in full upon timely delivery of all completed Products manufactured on behalf of STCV pursuant to its purchase orders.</w:t>
      </w:r>
    </w:p>
    <w:p>
      <w:pPr>
        <w:spacing w:after="0" w:line="164"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6.8 SURVIVAL OF PROVISIONS. The rights and obligations of the parties pursuant to Sections 4 (Prices, Payments and Taxes), 6.4 (Termination for Convenience), 6.5 (Pledge of Equipment and Prepayment Bank Account), 6.6 (Return of Equipment), 6.7 (Effect of Termination), 7 (Fab 1 Right of First Refusal), and 8 (Additional Terms and Conditions) of this Agreement and Sections 7 (Proprietary Information), 8 (Warranty), 9 (Limitation of Liability), 10.1 (Governing Law and Venue), and 10.8 (No Solicitation) of Exhibit 8 shall survive the termination of this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Fab 1 Right of First Refusal.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Subject to Section 5.2, in the event that Tower receives a bona fide proposal with respect to a sale, lease, sublease, transfer or other disposition of all or any of the assets (including without limitation the land or the rights therein, facility or equipment used for operation of the facility or production of products or portions thereof) of Fab 1 (a "Sale"), Tower will notify Siliconix of the fact that such proposal has been received, which notice shall be delivered to Siliconix within three days and will include a copy of the terms of the proposed Sale (the "Proposed Sale Notice"). Siliconix, or an Affiliate of Siliconix, will have a right of first refusal to execute the Sale on the same terms and conditions as contained in the Proposed Sale Notice (less amounts for the Equipment) and will have a period of the greater of (a) **** days following the date the Proposed Sale Notice was sent to Siliconix and (b) **** after the production by Tower of all documents reasonably requested under Siliconix's due diligence request in respect of said transaction, if said request is given by Siliconix to Tower within five (5) business days after receipt by Siliconix of the Proposed Sale Notice (such period to be referred to as the "Exercise Period"), to notify Tower that it elects to exercise the right of first refusal (the "Exercise Notice"). During the Exercise Period, Tower must provide Siliconix full access to all of its documents, facilities and personnel as requested, subject to standard confidentiality undertakings and during normal local business hours. Tower agrees not to enter into a binding agreement, or to have any discussions with any third party other than the party that made the proposal, during the Exercise Period. In the event Siliconix or an Affiliate provides Tower with an Exercise Notice during the Exercise Period, Tower will use its best effort to consummate the Sale in accordance with the terms of the Proposed Sale Notice (less amounts for the Equipment) within **** days from the date of the Exercise Notice, subject only to further governmental approvals and permits, which approvals and permits the parties shall use their good faith efforts to obtain. Tower shall give Siliconix its full cooperation in the due diligence process and in such other matters in respect of the Sale in order to allow Siliconix the full benefit of its First Refusal Right hereunder. In the event Siliconix does not provide Tower with an Exercise Notice during the Exercise Period, then Tower will thereafter be free to enter into a definitive agreement with the potential buyer at its sole discretion on the terms and conditions specified in the Proposed Sale Notice (the "Alternative Sale"), subject to any changes which are less advantageous to the third party. If the buyer is a bona fide competitor of Siliconix then in such event Siliconix may give notice of termination of this Agreement in its sole discretion without recourse or penalty on a date specified, no less than 30 days from the date of notice to Tower. Should no Alternative Sale be consummated within **** days after the end of the Exercise Period, the first refusal right under this Section shall be reinstated and the terms of this Section shall commence as if no Proposed Sale Notice shall have been given.</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54" w:name="page155"/>
    <w:bookmarkEnd w:id="154"/>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 change of ownership in Fab 1 shall be deemed to excuse Tower and its successor in interest to Fab 1 from supplying Wafers to STCV pursuant hereto and otherwise complying with the terms and conditions hereof.</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agrees that it will obtain and attach hereto, within **** days hereof, the consent of all current Secured Creditors in the form attached hereto as Exhibit 7 to honor the above right of first refusal in the event of any bankruptcy, insolvency, receivership or any other realization of their security interest and that it may not grant any future security interests unless it obtains the consent of such future potential secured creditors. The parties agree to make this right of first refusal known, as shall be reasonably requested by Siliconix.</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Additional Terms and Conditions.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Additional terms and conditions of this Agreement shall be as set forth in Exhibit 8 and the other Exhibits attached hereto.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Section 9. Guaranty.</w:t>
      </w:r>
    </w:p>
    <w:p>
      <w:pPr>
        <w:spacing w:after="0" w:line="173"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Siliconix hereby unconditionally and irrevocably guarantees STCV's performance of its obligations under this Agreement and any other agreement between Tower and STCV, in strict accordance with their respective terms.</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in duplicate on their behalf by their duly authorized officers and representatives on the date given above.</w:t>
      </w:r>
    </w:p>
    <w:p>
      <w:pPr>
        <w:sectPr>
          <w:pgSz w:w="11900" w:h="16838" w:orient="portrait"/>
          <w:cols w:equalWidth="0" w:num="1">
            <w:col w:w="10239"/>
          </w:cols>
          <w:pgMar w:left="220" w:top="785"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Siliconix incorporated</w:t>
      </w:r>
    </w:p>
    <w:p>
      <w:pPr>
        <w:spacing w:after="0" w:line="171" w:lineRule="exact"/>
        <w:rPr>
          <w:sz w:val="20"/>
          <w:szCs w:val="20"/>
          <w:color w:val="auto"/>
        </w:rPr>
      </w:pPr>
    </w:p>
    <w:p>
      <w:pPr>
        <w:sectPr>
          <w:pgSz w:w="11900" w:h="16838" w:orient="portrait"/>
          <w:cols w:equalWidth="0" w:num="2">
            <w:col w:w="2100" w:space="700"/>
            <w:col w:w="743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_____________________</w:t>
      </w:r>
    </w:p>
    <w:p>
      <w:pPr>
        <w:spacing w:after="0" w:line="237" w:lineRule="auto"/>
        <w:rPr>
          <w:sz w:val="20"/>
          <w:szCs w:val="20"/>
          <w:color w:val="auto"/>
        </w:rPr>
      </w:pPr>
      <w:r>
        <w:rPr>
          <w:rFonts w:ascii="Courier New" w:cs="Courier New" w:eastAsia="Courier New" w:hAnsi="Courier New"/>
          <w:sz w:val="15"/>
          <w:szCs w:val="15"/>
          <w:color w:val="auto"/>
        </w:rPr>
        <w:t>Title: 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approval by Siliconix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6" w:lineRule="exact"/>
        <w:rPr>
          <w:sz w:val="20"/>
          <w:szCs w:val="20"/>
          <w:color w:val="auto"/>
        </w:rPr>
      </w:pPr>
    </w:p>
    <w:p>
      <w:pPr>
        <w:sectPr>
          <w:pgSz w:w="11900" w:h="16838" w:orient="portrait"/>
          <w:cols w:equalWidth="0" w:num="2">
            <w:col w:w="2280" w:space="520"/>
            <w:col w:w="743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Siliconix Technology C.V.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Siliconix Semiconductor, Inc.,</w:t>
      </w:r>
    </w:p>
    <w:p>
      <w:pPr>
        <w:ind w:left="800"/>
        <w:spacing w:after="0" w:line="237" w:lineRule="auto"/>
        <w:rPr>
          <w:sz w:val="20"/>
          <w:szCs w:val="20"/>
          <w:color w:val="auto"/>
        </w:rPr>
      </w:pPr>
      <w:r>
        <w:rPr>
          <w:rFonts w:ascii="Courier New" w:cs="Courier New" w:eastAsia="Courier New" w:hAnsi="Courier New"/>
          <w:sz w:val="15"/>
          <w:szCs w:val="15"/>
          <w:color w:val="auto"/>
        </w:rPr>
        <w:t>General Partner</w:t>
      </w:r>
    </w:p>
    <w:p>
      <w:pPr>
        <w:ind w:left="620"/>
        <w:spacing w:after="0" w:line="238" w:lineRule="auto"/>
        <w:rPr>
          <w:sz w:val="20"/>
          <w:szCs w:val="20"/>
          <w:color w:val="auto"/>
        </w:rPr>
      </w:pPr>
      <w:r>
        <w:rPr>
          <w:rFonts w:ascii="Courier New" w:cs="Courier New" w:eastAsia="Courier New" w:hAnsi="Courier New"/>
          <w:sz w:val="15"/>
          <w:szCs w:val="15"/>
          <w:color w:val="auto"/>
        </w:rPr>
        <w:t>By: 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Title: ________________________</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11</w:t>
      </w:r>
    </w:p>
    <w:p>
      <w:pPr>
        <w:sectPr>
          <w:pgSz w:w="11900" w:h="16838" w:orient="portrait"/>
          <w:cols w:equalWidth="0" w:num="1">
            <w:col w:w="10239"/>
          </w:cols>
          <w:pgMar w:left="220" w:top="785" w:right="1440" w:bottom="1440" w:gutter="0" w:footer="0" w:header="0"/>
          <w:type w:val="continuous"/>
        </w:sectPr>
      </w:pPr>
    </w:p>
    <w:bookmarkStart w:id="156" w:name="page157"/>
    <w:bookmarkEnd w:id="156"/>
    <w:p>
      <w:pPr>
        <w:ind w:left="5960"/>
        <w:spacing w:after="0"/>
        <w:rPr>
          <w:sz w:val="20"/>
          <w:szCs w:val="20"/>
          <w:color w:val="auto"/>
        </w:rPr>
      </w:pPr>
      <w:r>
        <w:rPr>
          <w:rFonts w:ascii="Courier New" w:cs="Courier New" w:eastAsia="Courier New" w:hAnsi="Courier New"/>
          <w:sz w:val="14"/>
          <w:szCs w:val="14"/>
          <w:color w:val="auto"/>
        </w:rPr>
        <w:t>EXHIBIT 4.43</w:t>
      </w:r>
    </w:p>
    <w:p>
      <w:pPr>
        <w:spacing w:after="0" w:line="178"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SHARE PURCHASE AGREEMENT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 PURCHASE AGREEMENT, dated as of December 8, 2004 (this "AGREEMENT"), among Tower Semiconductor Ltd., a public company organized under the laws of the State of Israel (the "SELLER"), , a Bermuda limited partnership ("****"), , a Delaware limited liability company ("****"), , LLC, a Delaware limited liability company ("****"), , a Delaware limited liability company ("****"), and , a German limited partnership ("****" and, collectively, with ****, ****, **** and ****, the "PURCHASERS").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upon the terms and conditions set forth in this Agreement, the Seller proposes to sell to each Purchaser the aggregate number of Ordinary Shares and Preferred Shares (as each term is defined below) of Saifun Semiconductors Ltd., a private company organized under the laws of the State of Israel (the "COMPANY"), set forth opposite such Purchaser's name on SCHEDULE 2.1 hereto at the Price Per Share (as defined below).</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15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1.1 DEFINITIONS. As used in this Agreement, and unless the context requires a different meaning, the following terms have the meanings indicated:</w:t>
      </w:r>
    </w:p>
    <w:p>
      <w:pPr>
        <w:spacing w:after="0" w:line="160"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"AFFILIATE" means, with respect to a specified Person, a Person that directly or indirectly, through one or more intermediaries, controls, or is controlled by, or is under common control with, the Person specified.</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"AGGREGATE PURCHASE PRICE" means the Price Per Share multiplied by the Purchased Shares.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"AGREEMENT" means this Agreement as the same may be amended, supplemented or modified in accordance with the terms hereof.</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"ARTICLES OF ASSOCIATION" means the Articles of Association of the Company as in effect on the date hereof, as amended from time to time.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OF DIRECTORS" means the Board of Directors of the Company.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"BUSINESS DAY" means any day other than a Saturday, Sunday or other day on which commercial banks in the State of Israel or the State of New York are authorized or required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60"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"CLAIMS" means any actions, suits, proceedings, claims, complaints, disputes, arbitrations or investigations.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has the meaning set forth in Section 2.3 of this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DATE" has the meaning set forth in Section 2.3 of this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has the meaning set forth in the recitals to this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"CONTRACTUAL OBLIGATIONS" means, as to any Person, any provision of any security issued by such Person or of any agreement, undertaking, contract, indenture, mortgage, deed of trust or other instrument to which such Person is a party or by which it or any of its property is bound.</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means United States dollars.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has the meaning set forth in the preamble to this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has the meaning set forth in the preamble to this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has the meaning set forth in the preamble to this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has the meaning set forth in the preamble to this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has the meaning set forth in the preamble to this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"GOVERNMENTAL AUTHORITY" means the government of any nation, state, city, locality or other political subdivision thereof, any entity exercising executive, legislative, judicial, regulatory or administrative functions of or pertaining to government, and any corporation or other entity owned or controlled, through stock or capital ownership or otherwise, by any of the foregoing.</w:t>
      </w:r>
    </w:p>
    <w:p>
      <w:pPr>
        <w:sectPr>
          <w:pgSz w:w="11900" w:h="16838" w:orient="portrait"/>
          <w:cols w:equalWidth="0" w:num="1">
            <w:col w:w="10239"/>
          </w:cols>
          <w:pgMar w:left="220" w:top="142" w:right="1440" w:bottom="0" w:gutter="0" w:footer="0" w:header="0"/>
        </w:sectPr>
      </w:pPr>
    </w:p>
    <w:bookmarkStart w:id="157" w:name="page158"/>
    <w:bookmarkEnd w:id="157"/>
    <w:p>
      <w:pPr>
        <w:ind w:right="3579" w:firstLine="437"/>
        <w:spacing w:after="0" w:line="234" w:lineRule="auto"/>
        <w:rPr>
          <w:sz w:val="20"/>
          <w:szCs w:val="20"/>
          <w:color w:val="auto"/>
        </w:rPr>
      </w:pPr>
      <w:r>
        <w:rPr>
          <w:rFonts w:ascii="Courier New" w:cs="Courier New" w:eastAsia="Courier New" w:hAnsi="Courier New"/>
          <w:sz w:val="15"/>
          <w:szCs w:val="15"/>
          <w:color w:val="auto"/>
        </w:rPr>
        <w:t>"INDEMNIFIED PARTY" has the meaning set forth in Section 7.1(a) of this Agreement.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"INDEMNIFYING PARTY" has the meaning set forth in Section 7.1(a) of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"IPO" has the meaning set forth in Section 2.2 of this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"IPO PRICE" means the final price per share (net of underwriters' discounts and commissions) of the Ordinary Shares offered in the IPO as stated in the final prospectus relating to the IPO.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158" w:name="page159"/>
    <w:bookmarkEnd w:id="158"/>
    <w:p>
      <w:pPr>
        <w:ind w:right="3399" w:firstLine="437"/>
        <w:spacing w:after="0" w:line="235" w:lineRule="auto"/>
        <w:rPr>
          <w:sz w:val="20"/>
          <w:szCs w:val="20"/>
          <w:color w:val="auto"/>
        </w:rPr>
      </w:pPr>
      <w:r>
        <w:rPr>
          <w:rFonts w:ascii="Courier New" w:cs="Courier New" w:eastAsia="Courier New" w:hAnsi="Courier New"/>
          <w:sz w:val="15"/>
          <w:szCs w:val="15"/>
          <w:color w:val="auto"/>
        </w:rPr>
        <w:t>"LIEN" means any mortgage, deed of trust, pledge, hypothecation, assignment, encumbrance, voting restriction (statutory or other), lien (statutory or other) or preference, priority, right or other security interest or preferential arrangement of any kind or nature whatsoever.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"LOSSES" has the meaning set forth in Section 7.1 of this Agreement.</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"MAJOR SHAREHOLDERS" has the meaning set forth in the Articles of Association.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"NIS" means New Israeli Shekels.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"ORDERS" has the meaning set forth in Section 3.2 of this Agreement.</w:t>
      </w:r>
    </w:p>
    <w:p>
      <w:pPr>
        <w:spacing w:after="0" w:line="173"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"ORDINARY SHARES" means the Ordinary Shares of nominal value NIS 0.01 each of the Company.</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"PERSON" means any individual, firm, corporation, partnership, trust, incorporated or unincorporated association, joint venture, joint stock company, limited liability company, Governmental Authority or other entity of any kind, and shall include any successor (by merger or otherwise) of such entity.</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"PREFERRED SHARES" means the Series B Preferred Shares of nominal value NIS 0.01 each of 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"PRICE PER SHARE" means the higher of (i) $14.00; or (ii) the price per share at which any of the Purchasers and/or their Affiliates, prior to Closing, enter into a written agreement to purchase, or receive the right to purchase, securities of the Company (subject to adjustment for share splits, share combinations, share dividends, share bonus issuances, recapitalizations, reorganizations and the like).</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"PURCHASED SHARES" means an aggregate of 2,704,024 Ordinary Shares and 58,608 Preferred Shares.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"PURCHASERS" has the meaning set forth in the preamble to this Agreement.</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October 2, 2000 by and among the Company, Mr. Boaz Eitan and the Investors listed on Schedule A thereto.</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"REQUIREMENT OF LAW" means, as to any Person, any law, statute, treaty, rule, regulation, right or determination of an arbitrator or a court or other Governmental Authority or stock exchange (including, without limitation, the Companies Law, 5759-1999, of the State of Israel), in each case applicable or binding upon such Person or any of its property or to which such Person or any of its property is subject or pertaining to any or all of the transactions contemplated or referred to herein.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159" w:name="page160"/>
    <w:bookmarkEnd w:id="159"/>
    <w:p>
      <w:pPr>
        <w:ind w:right="3239" w:firstLine="437"/>
        <w:spacing w:after="0" w:line="235" w:lineRule="auto"/>
        <w:rPr>
          <w:sz w:val="20"/>
          <w:szCs w:val="20"/>
          <w:color w:val="auto"/>
        </w:rPr>
      </w:pPr>
      <w:r>
        <w:rPr>
          <w:rFonts w:ascii="Courier New" w:cs="Courier New" w:eastAsia="Courier New" w:hAnsi="Courier New"/>
          <w:sz w:val="15"/>
          <w:szCs w:val="15"/>
          <w:color w:val="auto"/>
        </w:rPr>
        <w:t>"RIGHTS OF FIRST REFUSAL" means the rights of first refusal in favor of the Major Shareholders as set forth in Articles 35 through 42 (inclusive) of the Articles of Association to purchase all of the Purchased Shares proposed to be sold to the Purchasers under this Agreement.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"SALE" means (a) (i) the merger, reorganization or consolidation of the Company into or with one or more Persons, (ii) the merger or consolidation of one or more Persons into or with the Company or (iii) a tender offer or other business combination or series of related business combinations, if, in the case of (i), (ii) or (iii), the shareholders of the Company prior to the transaction do not retain at least a majority of the voting power of the surviving Person or</w:t>
      </w:r>
    </w:p>
    <w:p>
      <w:pPr>
        <w:spacing w:after="0" w:line="2" w:lineRule="exact"/>
        <w:rPr>
          <w:sz w:val="20"/>
          <w:szCs w:val="20"/>
          <w:color w:val="auto"/>
        </w:rPr>
      </w:pPr>
    </w:p>
    <w:p>
      <w:pPr>
        <w:ind w:right="3239" w:firstLine="10"/>
        <w:spacing w:after="0" w:line="234" w:lineRule="auto"/>
        <w:tabs>
          <w:tab w:leader="none" w:pos="3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the Company to another Person of all or substantially all of the assets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 BY PURCHASER" means the sale of any or all of the Purchased Shares by any Purchaser or Purchasers to a third party, excluding (i) any such sale consummated in connection with a Sale and (ii) any sale, transfer or other disposition of any of the Purchased Shares to any Affiliate of such Purchaser or Purchasers, provided however that the sale by such Purchaser or Purchasers or any of its or their Affiliates of the first 2,762,632 shares of the Company sold after the Closing Date shall be deemed a sale of Purchased Shares for the purposes of this definition.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 BY PURCHASER PRICE" means, with respect to any Sale By Purchaser, the cash price paid in consideration of each Purchased Share in the Sale By Purchaser, PROVIDED that if any portion of the consideration paid in such Sale By Purchaser is other than cash, the calculation of the price per share of such non-cash consideration shall be mutually agreed upon by the parties or, in the event the parties are unable to reach agreement on a price per share, by a mutually agreed upon internationally recognized appraiser.</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 PRICE" means, with respect to any Sale, the cash price per share paid in consideration of each Purchased Share by the surviving Person; PROVIDED that if any portion of the consideration paid in such Sale is other than cash, the calculation of the cash price per share of such non-cash consideration shall be determined by (i) the internationally recognized investment banking firm retained by the Company to deliver a fairness opinion to the Board of Directors with respect to such Sale, if so retained, or (ii) the Company's Board of Directors, if the Company does not retain such investment banking firm.</w:t>
      </w:r>
    </w:p>
    <w:p>
      <w:pPr>
        <w:spacing w:after="0" w:line="166"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"SECURITIES ACT" means the United States Securities Act of 1933, as amended, and the rules and regulations of the United States Securities and Exchange Commission thereunder.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"SELLER" has the meaning set forth in the preamble to this Agreement.</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"SHARE DEEDS" has the meaning set forth in Section 2.4(a)(i) of this Agreement.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"SHAREHOLDERS RIGHTS AGREEMENT" means the Shareholders Rights Agreement, dated as of October 2, 2000, by and among the Company and the Shareholders listed on Schedule A thereto.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 DOCUMENTS" means this Agreement and the Share Deeds.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"TRIGGER EVENT" has the meaning set forth in Section 2.2.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"TRIGGER EVENT PRICE" has the meaning set forth in Section 2.2.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160" w:name="page161"/>
    <w:bookmarkEnd w:id="160"/>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PURCHASE AND SALE OF ORDINARY SHARES AND PREFERRED SHARES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2.1 PURCHASE AND SALE OF ORDINARY SHARES AND PREFERRED SHARES. Subject to the terms and conditions herein set forth, the Seller agrees to sell to each Purchaser, and each Purchaser, jointly and not severally, agrees to purchase from the Seller on the Closing Date the Purchased Shares at the Price Per Share (as the Purchased Shares and Aggregate Purchase Price are allocated among the Purchasers on SCHEDULE 2.1 and subject to adjustment for share splits, share combinations, share dividends, share bonus issuances, recapitalizations, reorganizations and the like).</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2.2 ADDITIONAL PAYMENT. Upon each occurrence of any of the following: (i) the pricing in the final prospectus relating to the Company's initial public offering of its Ordinary Shares (the "IPO") pursuant to an effective registration statement under the Securities Act, (ii) the Company's execution of a definitive and binding agreement relating to a Sale, or (iii) any Purchaser's execution of a definitive and binding agreement relating to a Sale By Purchaser (each of the foregoing clauses (i), (ii), and (iii)), a "TRIGGER EVENT"), the Purchasers will pay the Seller on the closing date of the IPO, Sale or Sale By Purchaser, as the case may be, by wire transfer of immediately available funds to a United States dollar account designated by the Seller, an amount equal to the excess of (A) the product of (I) the product of 10% multiplied by the number of Purchased Shares (subject to anti-dilution adjustment after the date hereof for share splits, share combinations and similar events) multiplied by (II) the difference between (x) either the IPO Price, the Sale Price, or the Sale By Purchaser Price, as the case may be (the price in such Trigger Event is referred to as the "TRIGGER EVENT PRICE"), minus (y) the Price Per Share (subject to anti-dilution adjustment after the date hereof for share splits, share combinations and similar events) minus (B) any previous payments made by the Purchasers to the Seller pursuant to this Section 2.2 as a result of a Trigger Event (subject to anti-dilution adjustment after the date hereof for share splits, share combinations and similar events); PROVIDED, however, that (A) subject to the fulfillment of (B) below, this Section 2.2 shall terminate and be of no further effect on and after September 1, 2005, (B) the Seller is entitled to payment under this Section 2.2 upon the occurrence of each Trigger Event prior to September 1, 2005, (C) this Section 2.2 shall have no effect if the Price Per Share (subject to anti-dilution adjustment after the date hereof for share splits, share combinations and similar events) is greater than or equal to the Trigger Event Price and (D) in the event of the occurrence of more than one</w:t>
      </w:r>
    </w:p>
    <w:p>
      <w:pPr>
        <w:spacing w:after="0" w:line="171" w:lineRule="exact"/>
        <w:rPr>
          <w:sz w:val="20"/>
          <w:szCs w:val="20"/>
          <w:color w:val="auto"/>
        </w:rPr>
      </w:pPr>
    </w:p>
    <w:p>
      <w:pPr>
        <w:ind w:left="360" w:hanging="350"/>
        <w:spacing w:after="0"/>
        <w:tabs>
          <w:tab w:leader="none" w:pos="3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Trigger Event prior to September 1, 2005, this Section 2.2 shall have no</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 for such subsequent Trigger Event only if the Trigger Event Price of such subsequent Trigger Event is less than or equal to the Trigger Event Price of any previous Trigger Event or of the Price Per Share. For the avoidance of doubt and subject to the limitation provided in the definition of "Sale By Purchaser", this Section 2.2 shall not apply to any securities of the Company purchased by the Purchasers or any of their Affiliates after the Closing.</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61" w:name="page162"/>
    <w:bookmarkEnd w:id="161"/>
    <w:p>
      <w:pPr>
        <w:ind w:right="3399" w:firstLine="437"/>
        <w:spacing w:after="0" w:line="255" w:lineRule="auto"/>
        <w:rPr>
          <w:sz w:val="20"/>
          <w:szCs w:val="20"/>
          <w:color w:val="auto"/>
        </w:rPr>
      </w:pPr>
      <w:r>
        <w:rPr>
          <w:rFonts w:ascii="Courier New" w:cs="Courier New" w:eastAsia="Courier New" w:hAnsi="Courier New"/>
          <w:sz w:val="14"/>
          <w:szCs w:val="14"/>
          <w:color w:val="auto"/>
        </w:rPr>
        <w:t>2.3 CLOSING. Unless this Agreement shall have been terminated pursuant to Article IX, and subject to the satisfaction or waiver of the conditions set forth in Articles V and VI, the closing of the sale and purchase of the Purchased Shares (the "CLOSING") shall take place at the offices of Naschitz, Brandes &amp; Co., the Purchasers' Israeli counsel, at 10:00 a.m., local time, on the first Business Day after the eighth day following the date upon which the conditions set forth in Articles V and VI shall be satisfied or waived in accordance with this Agreement, or at such other time, place and date that the Seller and the Purchasers may agree in writing (the "CLOSING DATE").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 DELIVERIES.</w:t>
      </w:r>
    </w:p>
    <w:p>
      <w:pPr>
        <w:spacing w:after="0" w:line="173" w:lineRule="exact"/>
        <w:rPr>
          <w:sz w:val="20"/>
          <w:szCs w:val="20"/>
          <w:color w:val="auto"/>
        </w:rPr>
      </w:pPr>
    </w:p>
    <w:p>
      <w:pPr>
        <w:ind w:left="440" w:right="3319" w:firstLine="444"/>
        <w:spacing w:after="0" w:line="234" w:lineRule="auto"/>
        <w:tabs>
          <w:tab w:leader="none" w:pos="122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DELIVERIES. On the Closing Date, the Seller shall make the following deliveries to the Purchasers:</w:t>
      </w:r>
    </w:p>
    <w:p>
      <w:pPr>
        <w:spacing w:after="0" w:line="173" w:lineRule="exact"/>
        <w:rPr>
          <w:rFonts w:ascii="Courier New" w:cs="Courier New" w:eastAsia="Courier New" w:hAnsi="Courier New"/>
          <w:sz w:val="15"/>
          <w:szCs w:val="15"/>
          <w:color w:val="auto"/>
        </w:rPr>
      </w:pPr>
    </w:p>
    <w:p>
      <w:pPr>
        <w:ind w:left="880" w:right="3319" w:firstLine="442"/>
        <w:spacing w:after="0" w:line="235" w:lineRule="auto"/>
        <w:tabs>
          <w:tab w:leader="none" w:pos="166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shall deliver to each Purchaser a duly executed Deed of Transfer of Shares governing the sale of the Purchased Shares being purchased by such Purchaser from the Seller (collectively, the "SHARE Deeds").</w:t>
      </w:r>
    </w:p>
    <w:p>
      <w:pPr>
        <w:spacing w:after="0" w:line="175" w:lineRule="exact"/>
        <w:rPr>
          <w:rFonts w:ascii="Courier New" w:cs="Courier New" w:eastAsia="Courier New" w:hAnsi="Courier New"/>
          <w:sz w:val="15"/>
          <w:szCs w:val="15"/>
          <w:color w:val="auto"/>
        </w:rPr>
      </w:pPr>
    </w:p>
    <w:p>
      <w:pPr>
        <w:ind w:left="880" w:right="3239" w:firstLine="442"/>
        <w:spacing w:after="0" w:line="236" w:lineRule="auto"/>
        <w:tabs>
          <w:tab w:leader="none" w:pos="175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shall deliver to the Purchasers a certificate executed by the Chief Executive Officer of the Seller, in form and substance satisfactory to the Purchasers, dated the Closing Date, certifying that the representations and warranties of the Seller contained in Article III hereof are true and correct in all respects at and on the date hereof and the Closing Date and that the Seller has performed and complied with all covenants and obligations of the Seller under this Agreement.</w:t>
      </w:r>
    </w:p>
    <w:p>
      <w:pPr>
        <w:spacing w:after="0" w:line="177" w:lineRule="exact"/>
        <w:rPr>
          <w:rFonts w:ascii="Courier New" w:cs="Courier New" w:eastAsia="Courier New" w:hAnsi="Courier New"/>
          <w:sz w:val="15"/>
          <w:szCs w:val="15"/>
          <w:color w:val="auto"/>
        </w:rPr>
      </w:pPr>
    </w:p>
    <w:p>
      <w:pPr>
        <w:ind w:left="880" w:right="3579" w:firstLine="442"/>
        <w:spacing w:after="0" w:line="235" w:lineRule="auto"/>
        <w:tabs>
          <w:tab w:leader="none" w:pos="184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shall deliver to the Purchasers evidence reasonably satisfactory to the Purchasers that the transfer of the Purchased Shares to the Purchasers has been duly registered in the shareholder register of the Company.</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PURCHASERS DELIVERIES. On the Closing Date, the Purchasers shall deliver to the Seller the Aggregate Purchase Price by wire transfer of immediately available funds to a United States dollar account designated by the Seller.</w:t>
      </w:r>
    </w:p>
    <w:p>
      <w:pPr>
        <w:spacing w:after="0" w:line="175" w:lineRule="exact"/>
        <w:rPr>
          <w:rFonts w:ascii="Courier New" w:cs="Courier New" w:eastAsia="Courier New" w:hAnsi="Courier New"/>
          <w:sz w:val="15"/>
          <w:szCs w:val="15"/>
          <w:color w:val="auto"/>
        </w:rPr>
      </w:pPr>
    </w:p>
    <w:p>
      <w:pPr>
        <w:ind w:left="440" w:right="4019" w:firstLine="444"/>
        <w:spacing w:after="0" w:line="234" w:lineRule="auto"/>
        <w:tabs>
          <w:tab w:leader="none" w:pos="122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DELIVERIES. On the Closing Date, the Seller and the Purchasers will make the following deliveries:</w:t>
      </w:r>
    </w:p>
    <w:p>
      <w:pPr>
        <w:spacing w:after="0" w:line="173" w:lineRule="exact"/>
        <w:rPr>
          <w:rFonts w:ascii="Courier New" w:cs="Courier New" w:eastAsia="Courier New" w:hAnsi="Courier New"/>
          <w:sz w:val="15"/>
          <w:szCs w:val="15"/>
          <w:color w:val="auto"/>
        </w:rPr>
      </w:pPr>
    </w:p>
    <w:p>
      <w:pPr>
        <w:ind w:left="880" w:right="3499" w:firstLine="442"/>
        <w:spacing w:after="0" w:line="235" w:lineRule="auto"/>
        <w:tabs>
          <w:tab w:leader="none" w:pos="166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each Purchaser shall deliver to the Company the Share Deeds with respect to the Purchased Shares, in each case executed by the Seller and the applicable Purchaser.</w:t>
      </w:r>
    </w:p>
    <w:p>
      <w:pPr>
        <w:spacing w:after="0" w:line="173" w:lineRule="exact"/>
        <w:rPr>
          <w:rFonts w:ascii="Courier New" w:cs="Courier New" w:eastAsia="Courier New" w:hAnsi="Courier New"/>
          <w:sz w:val="15"/>
          <w:szCs w:val="15"/>
          <w:color w:val="auto"/>
        </w:rPr>
      </w:pPr>
    </w:p>
    <w:p>
      <w:pPr>
        <w:ind w:left="880" w:right="3239" w:firstLine="442"/>
        <w:spacing w:after="0" w:line="235" w:lineRule="auto"/>
        <w:tabs>
          <w:tab w:leader="none" w:pos="175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each Purchaser shall deliver to the Company the approval of the Investment Center of the transactions contemplated by this Agreement.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REPRESENTATIONS AND WARRANTIES OF THE SELLER</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Seller hereby represents and warrants to each of the Purchasers as follows: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3.1 EXISTENCE AND POWER. The Seller (a) is a company duly organized and validly existing under the laws of the State of Israel, and (b) has all requisite company power and authority to execute, deliver and perform its obligations under this Agreement and each of the other Transaction Documents.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162" w:name="page163"/>
    <w:bookmarkEnd w:id="162"/>
    <w:p>
      <w:pPr>
        <w:ind w:right="3239" w:firstLine="437"/>
        <w:spacing w:after="0" w:line="236" w:lineRule="auto"/>
        <w:rPr>
          <w:sz w:val="20"/>
          <w:szCs w:val="20"/>
          <w:color w:val="auto"/>
        </w:rPr>
      </w:pPr>
      <w:r>
        <w:rPr>
          <w:rFonts w:ascii="Courier New" w:cs="Courier New" w:eastAsia="Courier New" w:hAnsi="Courier New"/>
          <w:sz w:val="15"/>
          <w:szCs w:val="15"/>
          <w:color w:val="auto"/>
        </w:rPr>
        <w:t>3.2 AUTHORIZATION; NO CONTRAVENTION. The execution, delivery and performance by the Seller of this Agreement and each of the other Transaction Documents, (a) have been duly authorized by all necessary company action, (b) do not contravene the terms of the Seller's organizational documents, or any amendment thereof, (c) do not violate, conflict with or result in any breach or contravention of, or the creation of any Lien under, any Contractual Obligation of the Seller, except for the Rights of First Refusal, or any Requirement of Law of or in Israel or the United States applicable to the Seller and (d) do not violate any judgment, injunction, suit, award, decree or order of any nature of any Governmental Authority (collectively, "ORDERS") against, or binding upon, the Seller.</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3.3 TITLE TO PURCHASED SHARES. The Seller owns beneficially and of record the Purchased Shares and has good and valid title to the Purchased Shares free and clear of all Liens, subject to the Rights of First Refusal as of the date hereof. Except for the Rights of First Refusal, the Seller has the unrestricted power and authority to transfer the Purchased Shares to the Purchasers. Upon delivery to the Purchasers of the Share Deeds and payment therefor, the Purchasers shall acquire good and valid title to such Purchased Shares free and clear of all Liens. The Purchased Shares represent all of the securities of the Company owned by the Seller and its Affiliates.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3.4 GOVERNMENTAL AUTHORIZATION; THIRD PARTY CONSENTS. No approval, consent, compliance, exemption, authorization, or other action by, or notice to, or filing with, any Governmental Authority or any other Person to which the Seller is subject, and no lapse of a waiting period under a Requirement of Law which is applicable to the Seller is necessary or required in connection with the execution, delivery or performance (including, without limitation, the sale and delivery of the Purchased Shares) by, or enforcement against, the Seller of this Agreement, each of the other Transaction Documents or the transactions contemplated hereby. The Seller understands that the transactions contemplated hereby may require the Company to receive the approval of the Investment Center, the receipt or waiver of which is a condition to Closing set forth in Article V.</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3.5 BINDING EFFECT. This Agreement has been duly executed and delivered by the Seller, prior to the Closing the Share Deeds will have been duly executed and delivered by the Seller, and this Agreement constitutes, and the Share Deeds will constitute, the legal, valid and binding obligations of the Seller, enforceable against the Seller in accordance with its terms, except as enforceability may be limited by applicable bankruptcy, insolvency, reorganization, fraudulent conveyance or transfer, moratorium or similar laws affecting the enforcement of creditors' rights generally and by general principles of equity relating to enforceability (regardless of whether considered in a proceeding at law or in equity).</w:t>
      </w:r>
    </w:p>
    <w:p>
      <w:pPr>
        <w:spacing w:after="0" w:line="17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3.6 LITIGATION. There are no actions, suits, proceedings, claims, complaints, disputes, arbitrations or investigations pending or, to the knowledge of the senior officers of the Seller, threatened, at law, in equity, in arbitration or before any Governmental Authority against the Seller purporting to enjoin or restrain the execution, delivery or performance by the Seller of this Agreement or any of the other Transaction Documents.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63" w:name="page164"/>
    <w:bookmarkEnd w:id="163"/>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REPRESENTATIONS AND WARRANTIES OF THE PURCHASERS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Each of the Purchasers hereby represents and warrants, severally and not jointly, to the Seller as follows: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4.1 EXISTENCE AND POWER. Such Purchaser (a) is a limited liability company or limited partnership, as the case may be, duly organized and validly existing under the laws of the jurisdiction of its formation and (b) has the requisite limited partnership or limited liability company, as the case may be, power and authority to execute, deliver and perform its obligations under this Agreement and each of the other Transaction Documents.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4.2 AUTHORIZATION; NO CONTRAVENTION. The execution, delivery and performance by such Purchaser of this Agreement and each of the other Transaction Documents (a) have been duly authorized by all necessary limited partnership or limited liability company, as the case may be, action, (b) do not contravene the terms of such Purchaser's organizational documents, or any amendment thereof, (c) do not violate, conflict with or result in any breach or contravention of, or the creation of any Lien under, any Contractual Obligation of such Purchaser or any Requirement of Law of or in Israel or the United States applicable to such Purchaser and (d) do not violate any Orders of any Governmental Authority against, or binding upon, such Purchaser.</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4.3 GOVERNMENTAL AUTHORIZATION; THIRD PARTY CONSENTS. No approval, consent, compliance, exemption, authorization or other action by, or notice to, or filing with, any Governmental Authority or any other Person to which such Purchaser is subject, and no lapse of a waiting period under any Requirement of Law which is applicable to such Purchaser, is necessary or required in connection with the execution, delivery or performance (including, without limitation, the purchase of the Purchased Shares being purchased by such Purchaser pursuant to Section</w:t>
      </w:r>
    </w:p>
    <w:p>
      <w:pPr>
        <w:spacing w:after="0" w:line="2"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2.1) by, or enforcement against, such Purchaser of this Agreement, each of the other Transaction Documents or the transactions contemplated hereby. Each Purchaser understands that the transactions contemplated hereby may require the Company to receive the approval of the Investment Center, the receipt or waiver of which is a condition to the Closing set forth in Article V.</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4.4 BINDING EFFECT. This Agreement has been duly executed and delivered by such Purchaser and constitutes the legal, valid and binding obligation of such Purchaser, enforceable against it in accordance with its terms, except as enforceability may be limited by applicable bankruptcy, insolvency, reorganization, fraudulent conveyance or transfer, moratorium or similar laws affecting the enforcement of creditors' rights generally or by equitable principles relating to enforceability (regardless of whether considered in a proceeding at law or in equity).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164" w:name="page165"/>
    <w:bookmarkEnd w:id="164"/>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4.5 LITIGATION. There are no actions, suits, proceedings, claims, complaints, disputes, arbitrations or investigations pending or, to the knowledge of such Purchaser, threatened, at law, in equity, in arbitration or before any Governmental Authority against such Purchaser purporting to enjoin or restrain the execution, delivery or performance by such Purchaser of this Agreement or any of the other Transaction Documents.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4.6 ACCREDITED INVESTOR. Such Purchaser is an "accredited investor" within the meaning of Rule 501 of Regulation D under the Securities Act. Each Purchaser acknowledges that the Seller is not providing such Purchaser with any representation or warranty concerning the business, operations, financial performance or prospects of the Company. Each Purchaser has conducted its own independent review of the business, operations, financial performance and prospects of the Company and has determined to purchase the Purchased Shares solely on the basis of such review.</w:t>
      </w:r>
    </w:p>
    <w:p>
      <w:pPr>
        <w:spacing w:after="0" w:line="177"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4.7 LOCK-UP. In order to induce the Seller to sell the Purchased Shares to the Purchasers, the Purchasers are agreeing with the Company not to sell, transfer, assign or otherwise dispose of **** of the Purchased Shares for ****</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months following the Closing, subject to certain exceptions agreed upon by the Company and the Purchasers.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CONDITIONS TO THE OBLIGATION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PURCHASERS TO CLOSE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obligation of the Purchasers to purchase the Purchased Shares, to pay the Aggregate Purchase Price at the Closing and to perform their other obligations hereunder shall be subject to the satisfaction as determined by, or waiver by, the Purchasers of the following conditions on or before the Closing Date:</w:t>
      </w:r>
    </w:p>
    <w:p>
      <w:pPr>
        <w:spacing w:after="0" w:line="174"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5.1 REPRESENTATIONS AND WARRANTIES. The representations and warranties of the Seller contained in Article III shall be true and correct in all respects.</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SELLER'S PERFORMANCE.</w:t>
      </w:r>
    </w:p>
    <w:p>
      <w:pPr>
        <w:spacing w:after="0" w:line="173" w:lineRule="exact"/>
        <w:rPr>
          <w:sz w:val="20"/>
          <w:szCs w:val="20"/>
          <w:color w:val="auto"/>
        </w:rPr>
      </w:pPr>
    </w:p>
    <w:p>
      <w:pPr>
        <w:ind w:left="440" w:right="3319" w:firstLine="444"/>
        <w:spacing w:after="0" w:line="258" w:lineRule="auto"/>
        <w:tabs>
          <w:tab w:leader="none" w:pos="122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covenants and obligations that the Seller is required to perform or to comply with pursuant to this Agreement at or prior to the Closing shall have been duly performed and complied with in all respects.</w:t>
      </w:r>
    </w:p>
    <w:p>
      <w:pPr>
        <w:spacing w:after="0" w:line="161" w:lineRule="exact"/>
        <w:rPr>
          <w:rFonts w:ascii="Courier New" w:cs="Courier New" w:eastAsia="Courier New" w:hAnsi="Courier New"/>
          <w:sz w:val="14"/>
          <w:szCs w:val="14"/>
          <w:color w:val="auto"/>
        </w:rPr>
      </w:pPr>
    </w:p>
    <w:p>
      <w:pPr>
        <w:ind w:left="440" w:right="3399" w:firstLine="444"/>
        <w:spacing w:after="0" w:line="234" w:lineRule="auto"/>
        <w:tabs>
          <w:tab w:leader="none" w:pos="12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document required to be delivered by the Seller pursuant to Sections 2.4(a) and 2.4(c) shall have been delivered.</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5.3 WAIVER OF RIGHTS OF FIRST REFUSAL. Either (a) all the Major Shareholders shall have waived in writing their Rights of First Refusal with respect to all of the Purchased Shares, (b) the twenty-one (21) day notice period under Article 38 of the Articles of Association relating to the Rights of First Refusal shall have expired without the Major Shareholders having elected to exercise their Rights of First Refusal with respect to all of the Purchased Shares or (c) the Seller shall have complied with Articles 35 through 42 (inclusive) of the Articles of Association and none of the Major Shareholders shall have any right to purchase any of the Purchased Shares. Each Purchaser acknowledges that any waiver by the Purchasers of the condition set forth in the foregoing clauses (a) and (b) shall not limit the obligation of the Seller to comply with the Rights of First Refusal. If pursuant to the Rights of First Refusal the Seller is obligated to transfer all of the Purchased Shares to the Major Shareholders, notwithstanding anything to the contrary in this Agreement, the Purchasers shall have no recourse against the Seller as a result of the Seller's sale of all of the Purchased Shares to the Major Shareholders so long as such sale is on the same terms and conditions as set forth herein.</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65" w:name="page166"/>
    <w:bookmarkEnd w:id="165"/>
    <w:p>
      <w:pPr>
        <w:ind w:right="3239" w:firstLine="437"/>
        <w:spacing w:after="0" w:line="236" w:lineRule="auto"/>
        <w:rPr>
          <w:sz w:val="20"/>
          <w:szCs w:val="20"/>
          <w:color w:val="auto"/>
        </w:rPr>
      </w:pPr>
      <w:r>
        <w:rPr>
          <w:rFonts w:ascii="Courier New" w:cs="Courier New" w:eastAsia="Courier New" w:hAnsi="Courier New"/>
          <w:sz w:val="15"/>
          <w:szCs w:val="15"/>
          <w:color w:val="auto"/>
        </w:rPr>
        <w:t>5.4 NO MATERIAL JUDGMENT OR ORDER. There shall not be on the Closing Date any Order of a court of competent jurisdiction or any ruling of any Governmental Authority or any condition imposed under any Requirement of Law which would prohibit or restrict (i) the purchase of the Purchased Shares or (ii) the consummation of the transactions contemplated by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5.5 CONSENTS AND APPROVALS.</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approvals of the Investment Center which are necessary or required in connection with the performance or consummation of the transactions contemplated by this Agreement, shall have been obtained and be in full force and effect.</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consents, exemptions, authorizations, or other actions by, or notice to, or filings with, Governmental Authorities and other Persons in respect of all Requirements of Law which are necessary or required in connection with the execution, delivery or performance by, or enforcement against, the Seller of this Agreement and each of the other Transaction Documents shall have been obtained and be in full force and effect, except for the filing with the Israeli Registrar of Companies concerning the transfer of the Purchased Shares, and the Purchasers shall have been furnished with appropriate evidence thereof and all applicable waiting periods relating thereto shall have expired.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CONDITIONS TO THE OBLIGATION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SELLER TO CLOSE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obligation of the Seller to sell the Purchased Shares and to perform its other obligations hereunder shall be subject to the satisfaction as determined by, or waiver by, the Seller of the following conditions on or before the Closing Date:</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6.1 REPRESENTATIONS AND WARRANTIES. The representations and warranties of the Purchasers contained in Article IV shall be true and correct in all respects.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6.2 PURCHASERS' PERFORMANCE.</w:t>
      </w:r>
    </w:p>
    <w:p>
      <w:pPr>
        <w:spacing w:after="0" w:line="173" w:lineRule="exact"/>
        <w:rPr>
          <w:sz w:val="20"/>
          <w:szCs w:val="20"/>
          <w:color w:val="auto"/>
        </w:rPr>
      </w:pPr>
    </w:p>
    <w:p>
      <w:pPr>
        <w:ind w:left="440" w:right="3499" w:firstLine="444"/>
        <w:spacing w:after="0" w:line="235" w:lineRule="auto"/>
        <w:tabs>
          <w:tab w:leader="none" w:pos="12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covenants and obligations that the Purchasers are required to perform or to comply with pursuant to this Agreement at or prior to the Closing shall have been duly performed and complied with in all respects.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66" w:name="page167"/>
    <w:bookmarkEnd w:id="166"/>
    <w:p>
      <w:pPr>
        <w:ind w:right="3239" w:firstLine="444"/>
        <w:spacing w:after="0" w:line="235" w:lineRule="auto"/>
        <w:tabs>
          <w:tab w:leader="none" w:pos="7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be prepared to deliver the Aggregate Purchase Price for the Purchased Shares in accordance with Section 2.4(b) and each document required to be delivered by the Purchasers pursuant to Section 2.4(c) shall have been delivered.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 INDEMNIFICATION.</w:t>
      </w:r>
    </w:p>
    <w:p>
      <w:pPr>
        <w:spacing w:after="0" w:line="173" w:lineRule="exact"/>
        <w:rPr>
          <w:sz w:val="20"/>
          <w:szCs w:val="20"/>
          <w:color w:val="auto"/>
        </w:rPr>
      </w:pPr>
    </w:p>
    <w:p>
      <w:pPr>
        <w:ind w:right="3239" w:firstLine="444"/>
        <w:spacing w:after="0" w:line="254" w:lineRule="auto"/>
        <w:tabs>
          <w:tab w:leader="none" w:pos="78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Article VII and subject to the limitations set forth in this Section 7.1, the Seller (the "INDEMNIFYING PARTY") agrees to indemnify, defend and hold harmless each of the Purchasers and its Affiliates and their respective officers, directors, agents, employees, subsidiaries, partners, members and controlling persons (each, an "INDEMNIFIED PARTY") to the fullest extent permitted by law from and against any and all losses, Claims, or written threats thereof (including, without limitation, Claims by a third party), damages, expenses (including reasonable fees, disbursements and other charges of counsel incurred by any Indemnified Party in any action between the Indemnifying Party and any Indemnified Party or between any Indemnified Party and any third party or otherwise) or other liabilities (collectively, "LOSSES") resulting from or arising out of any breach of any representation or warranty, covenant or agreement by the Seller in the Transaction Documents. The maximum amount of indemnification and contribution payments made by the Seller to all Indemnified Parties under this Section 7.1 shall not exceed, in the aggregate, the sum of (i) the Aggregate Purchase Price plus (ii) any reasonable expenses (including reasonable fees, disbursements and other charges of counsel incurred by any Indemnified Party in any action between the Indemnifying Party and any Indemnified Party or between any Indemnified Party and any third party or otherwise) resulting from or arising out of any breach of any representation or warranty, covenant or agreement by the Seller in the Transaction Documents.</w:t>
      </w:r>
    </w:p>
    <w:p>
      <w:pPr>
        <w:spacing w:after="0" w:line="344"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obligation of the Indemnifying Party to indemnify for expenses relating to any action between any Indemnified Party and any third party other than the Indemnifying Party as set forth above, the Indemnifying Party shall, upon presentation of appropriate invoices containing reasonable detail, reimburse each Indemnified Party for all such reasonable expenses (including reasonable fees, disbursements and other charges of counsel incurred by such Indemnified Party in any action between the Indemnified Party and any third party) as they are incurred by such Indemnified Party; PROVIDED, however, that if an Indemnified Party is reimbursed under this Article VII for any expenses, such reimbursement of expenses shall be refunded to the Indemnifying Party to the extent it is finally judicially determined that the Indemnified Party is not entitled to indemnification from the Indemnifying Party under this Article VII. In connection with the obligation of the Indemnifying Party to indemnify for expenses relating to any action between the Indemnifying Party and the Indemnified Party as set forth above, the Indemnifying Party shall, within ten (10) Business Days of the later of: (i) a final judicial determination or a final settlement between the Indemnifying Party and the Indemnified Party, in which the Indemnified Party is entitled to indemnification from the Indemnifying Party under this Article VII and (ii) presentation of appropriate invoices containing reasonable detail, reimburse each Indemnified Party for all such reasonable expenses (including reasonable fees, disbursements and other charges of counsel incurred by such Indemnified Party in any action between such Indemnified Party and the Indemnifying Party) in full to the Indemnifying Party.</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792" w:right="1440" w:bottom="1440" w:gutter="0" w:footer="0" w:header="0"/>
        </w:sectPr>
      </w:pPr>
    </w:p>
    <w:bookmarkStart w:id="167" w:name="page168"/>
    <w:bookmarkEnd w:id="167"/>
    <w:p>
      <w:pPr>
        <w:ind w:right="3239" w:firstLine="437"/>
        <w:spacing w:after="0" w:line="254" w:lineRule="auto"/>
        <w:rPr>
          <w:sz w:val="20"/>
          <w:szCs w:val="20"/>
          <w:color w:val="auto"/>
        </w:rPr>
      </w:pPr>
      <w:r>
        <w:rPr>
          <w:rFonts w:ascii="Courier New" w:cs="Courier New" w:eastAsia="Courier New" w:hAnsi="Courier New"/>
          <w:sz w:val="14"/>
          <w:szCs w:val="14"/>
          <w:color w:val="auto"/>
        </w:rPr>
        <w:t>7.2 NOTIFICATION. Each Indemnified Party under this Article VII shall, promptly after the receipt of notice of the commencement of any Claim or any other action against such Indemnified Party in respect of which indemnity may be sought from the Indemnifying Party under this Article VII, notify the Indemnifying Party in writing of the commencement thereof. The omission of any Indemnified Party to so notify the Indemnifying Party of any such action shall not relieve the Indemnifying Party from any liability which it may have to such Indemnified Party under this Article VII unless, and only to the extent that, such omission results in the Indemnifying Party's forfeiture of substantive rights or defenses. In case any such Claim shall be brought against any Indemnified Party, and it shall notify the Indemnifying Party of the commencement thereof, the Indemnifying Party shall be entitled to assume the defense thereof at its own expense, with counsel satisfactory to such Indemnified Party in its reasonable judgment; PROVIDED, HOWEVER, that any Indemnified Party may, at its own expense, retain separate counsel to participate in such defense. Notwithstanding the foregoing, in any Claim in which both the Indemnifying Party, on the one hand, and an Indemnified Party, on the other hand, are, or are reasonably likely to become, a party, such Indemnified Party shall have the right to employ separate counsel and to control its own defense of such Claim if, in the reasonable opinion of counsel to such Indemnified Party, either (x) one or more defenses are available to such Indemnified Party that are not available to the Indemnifying Party or (y) a conflict or potential conflict exists between such Indemnifying Party, on the one hand, and such Indemnified Party, on the other hand, that would make such separate representation advisable; PROVIDED, HOWEVER, that the Indemnifying Party (i) shall not be liable for the fees and expenses of more than one counsel to all Indemnified Parties and (ii) shall reimburse the Indemnified Parties for all of such reasonable fees and expenses of such counsel (x) incurred in any action between the Indemnifying Party and the Indemnified Parties, following the final judicial determination or final settlement of such action as set forth in Section 7.1(a) and (y) incurred in any action between the Indemnified Parties and any third party, as such expenses are incurred. The Indemnifying Party agrees that it will not, without the prior written consent of the Purchasers, settle, compromise or consent to the entry of any judgment in any pending or threatened Claim relating to the matters contemplated hereby (if any Indemnified Party is a party thereto or has been actually threatened to be made a party thereto) unless such settlement, compromise or consent includes an unconditional release of each Indemnified Party from all liability arising or that may arise out of such Claim. The Indemnifying Party shall be liable for any settlement of any Claim effected against an Indemnified Party without its written consent, which consent shall not be unreasonably withheld.</w:t>
      </w:r>
    </w:p>
    <w:p>
      <w:pPr>
        <w:spacing w:after="0" w:line="200" w:lineRule="exact"/>
        <w:rPr>
          <w:sz w:val="20"/>
          <w:szCs w:val="20"/>
          <w:color w:val="auto"/>
        </w:rPr>
      </w:pPr>
    </w:p>
    <w:p>
      <w:pPr>
        <w:spacing w:after="0" w:line="31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7.3 CONTRIBUTION. If the indemnification provided for in this Article VII from the Indemnifying Party is unavailable to an Indemnified Party hereunder in respect of any Losses referred to herein, then the Indemnifying Party, in lieu of indemnifying such Indemnified Party, shall contribute to the amount paid or payable by such Indemnified Party as a result of such Losses in such proportion as is appropriate to reflect the relative fault of the Indemnifying Party and such Indemnified Party in connection with the actions which resulted in such Losses, as well as any other relevant equitable considerations. The relative faults of the Indemnifying Party and such Indemnified Party shall be determined by reference to, among other things, whether any action in question has been made by, or relates to information supplied by, the Indemnifying Party or such Indemnified Party, and the parties' relative intent, knowledge, access to information and opportunity to correct or prevent such action. The amount paid or payable by a party as a result of the Losses referred to above shall be deemed to include, subject to the limitations set forth in Sections 7.1 and 7.2, any legal or other fees, charges or expenses reasonably incurred by such party in connection with any investigation or proceeding.</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68" w:name="page169"/>
    <w:bookmarkEnd w:id="168"/>
    <w:p>
      <w:pPr>
        <w:ind w:right="3239" w:firstLine="437"/>
        <w:spacing w:after="0" w:line="236" w:lineRule="auto"/>
        <w:rPr>
          <w:sz w:val="20"/>
          <w:szCs w:val="20"/>
          <w:color w:val="auto"/>
        </w:rPr>
      </w:pPr>
      <w:r>
        <w:rPr>
          <w:rFonts w:ascii="Courier New" w:cs="Courier New" w:eastAsia="Courier New" w:hAnsi="Courier New"/>
          <w:sz w:val="15"/>
          <w:szCs w:val="15"/>
          <w:color w:val="auto"/>
        </w:rPr>
        <w:t>7.4 EXCLUSIVE REMEDY. Except in the case of fraud or willful or intentional misconduct, the indemnification and contribution rights accorded to an Indemnified Party under this Article VII shall be the exclusive remedy of the Indemnified Parties; PROVIDED, however, that notwithstanding the foregoing or anything to the contrary contained in this Agreement, nothing in this Article VII shall restrict or limit any rights that any Indemnified Party may have to seek equitable relief.</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8.1 ASSIGNMENT UNDER REGISTRATION RIGHTS AGREEMENT. Pursuant to Paragraph 11 of the Registration Rights Agreement, effective as of the Closing the Seller hereby assigns to each Purchaser all of the Seller's rights and obligations under the Registration Rights Agreement with respect to the Purchased Shares being purchased by such Purchaser from the Seller. Without limiting the foregoing, the Seller shall within twenty (20) days of the date hereof (i) furnish the Company with written notice of the name and address of each Purchaser and (ii) furnish the Company with written notice of the assignment of registration rights with respect to the Purchased Shares.</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8.2 ASSIGNMENT UNDER SHAREHOLDERS RIGHTS AGREEMENT. Effective as of the Closing the Seller hereby assigns to each Purchaser all of the Seller's rights and obligations under the Shareholders Rights Agreement with respect to the Purchased Shares being purchased by such Purchaser from the Seller or otherwise.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8.3 NO OTHER SALES. The Seller hereby covenants and agrees that it shall not sell or agree to sell, directly or indirectly, whether pursuant to Article 40 of the Articles of Association or otherwise, any of the Purchased Shares to any Major Shareholder or any other Person unless required to do so pursuant to the exercise by the Major Shareholder(s) of the Rights of First Refusal with respect to all of the Purchased Shares.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8.4 SATISFACTION OF CONDITIONS. The Seller shall take all actions reasonably necessary to cause the conditions set forth in Sections 5.3 and 5.5 to be satisfied as promptly as practicable.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69" w:name="page170"/>
    <w:bookmarkEnd w:id="169"/>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TERMINATION OF AGREEMENT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9.1 TERMINATION. This Agreement may be terminated prior to the Closing as follows:</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election of the Seller or the Purchasers by written notice to the other parties hereto after 5:00 p.m., New York time, on January 17, 2005, if the Closing shall not have occurred, unless such date is extended by the mutual written consent of the Seller and the Purchasers; PROVIDED, however, that the right to terminate this Agreement under this Section 9.1(a) shall not be available to any party whose breach of any representation, warranty, covenant, condition or agreement under this Agreement has been the cause of, or resulted in, the failure of the Closing to occur on or before such date; or</w:t>
      </w:r>
    </w:p>
    <w:p>
      <w:pPr>
        <w:spacing w:after="0" w:line="178"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on or prior to the Closing Date, by mutual written consent of the Seller and the Purchasers.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If this Agreement so terminates, it shall become null and void and have no further force or effect, except as provided in Section 9.2.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9.2 SURVIVAL. If this Agreement is terminated and the transactions contemplated hereby are not consummated as described above, then (a) this Agreement shall become void and of no further force and effect, except for the provisions of Article I, this Section 9.2 and Sections 10.2 through 10.10 (inclusive) and (b) none of the parties hereto shall have any liability for any damages (including, without limitation, actual, compensatory, speculative, indirect, unforeseeable or consequential damages or lost profits) resulting from any termination of this Agreement.</w:t>
      </w:r>
    </w:p>
    <w:p>
      <w:pPr>
        <w:spacing w:after="0" w:line="3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10.1 SURVIVAL OF REPRESENTATIONS AND WARRANTIES. All of the representations and warranties made herein shall survive the execution and delivery of this Agreement until the second anniversary of the date hereof, except for the representation and warranty set forth in Section 3.3 which shall survive until the expiration of the applicable statute of limitations.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70" w:name="page171"/>
    <w:bookmarkEnd w:id="170"/>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32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10.2 NOTICES. All notices, demands and other communications provided for or permitted hereunder shall be made in writing and shall be by registered or certified first-class mail, return receipt requested, telecopier, email, courier service or personal delivery:</w:t>
      </w:r>
    </w:p>
    <w:p>
      <w:pPr>
        <w:spacing w:after="0" w:line="169" w:lineRule="exact"/>
        <w:rPr>
          <w:sz w:val="20"/>
          <w:szCs w:val="20"/>
          <w:color w:val="auto"/>
        </w:rPr>
      </w:pPr>
    </w:p>
    <w:p>
      <w:pPr>
        <w:ind w:left="3160" w:hanging="789"/>
        <w:spacing w:after="0"/>
        <w:tabs>
          <w:tab w:leader="none" w:pos="31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of the Purchasers:</w:t>
      </w:r>
    </w:p>
    <w:p>
      <w:pPr>
        <w:spacing w:after="0" w:line="172" w:lineRule="exact"/>
        <w:rPr>
          <w:rFonts w:ascii="Courier New" w:cs="Courier New" w:eastAsia="Courier New" w:hAnsi="Courier New"/>
          <w:sz w:val="15"/>
          <w:szCs w:val="15"/>
          <w:color w:val="auto"/>
        </w:rPr>
      </w:pPr>
    </w:p>
    <w:p>
      <w:pPr>
        <w:ind w:left="3160" w:right="5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 Telecopy: ****</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Email:  ****</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w:t>
      </w:r>
    </w:p>
    <w:p>
      <w:pPr>
        <w:spacing w:after="0" w:line="166" w:lineRule="exact"/>
        <w:rPr>
          <w:rFonts w:ascii="Courier New" w:cs="Courier New" w:eastAsia="Courier New" w:hAnsi="Courier New"/>
          <w:sz w:val="15"/>
          <w:szCs w:val="15"/>
          <w:color w:val="auto"/>
        </w:rPr>
      </w:pPr>
    </w:p>
    <w:p>
      <w:pPr>
        <w:ind w:left="3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72" w:lineRule="exact"/>
        <w:rPr>
          <w:rFonts w:ascii="Courier New" w:cs="Courier New" w:eastAsia="Courier New" w:hAnsi="Courier New"/>
          <w:sz w:val="15"/>
          <w:szCs w:val="15"/>
          <w:color w:val="auto"/>
        </w:rPr>
      </w:pPr>
    </w:p>
    <w:p>
      <w:pPr>
        <w:ind w:left="316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Paul, Weiss, Rifkind, Wharton &amp; Garrison LLP 1285 Avenue of the Americas</w:t>
      </w:r>
    </w:p>
    <w:p>
      <w:pPr>
        <w:spacing w:after="0" w:line="5" w:lineRule="exact"/>
        <w:rPr>
          <w:rFonts w:ascii="Courier New" w:cs="Courier New" w:eastAsia="Courier New" w:hAnsi="Courier New"/>
          <w:sz w:val="15"/>
          <w:szCs w:val="15"/>
          <w:color w:val="auto"/>
        </w:rPr>
      </w:pPr>
    </w:p>
    <w:p>
      <w:pPr>
        <w:ind w:left="3160" w:right="41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NY 10019-6064 Telecopy: (212) 757-3990 Email: dcifu@paulweiss.com Attention: Douglas A. Cifu, Esq.</w:t>
      </w:r>
    </w:p>
    <w:p>
      <w:pPr>
        <w:spacing w:after="0" w:line="168" w:lineRule="exact"/>
        <w:rPr>
          <w:rFonts w:ascii="Courier New" w:cs="Courier New" w:eastAsia="Courier New" w:hAnsi="Courier New"/>
          <w:sz w:val="15"/>
          <w:szCs w:val="15"/>
          <w:color w:val="auto"/>
        </w:rPr>
      </w:pPr>
    </w:p>
    <w:p>
      <w:pPr>
        <w:ind w:left="3160" w:hanging="789"/>
        <w:spacing w:after="0"/>
        <w:tabs>
          <w:tab w:leader="none" w:pos="31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Seller:</w:t>
      </w:r>
    </w:p>
    <w:p>
      <w:pPr>
        <w:spacing w:after="0" w:line="172" w:lineRule="exact"/>
        <w:rPr>
          <w:rFonts w:ascii="Courier New" w:cs="Courier New" w:eastAsia="Courier New" w:hAnsi="Courier New"/>
          <w:sz w:val="15"/>
          <w:szCs w:val="15"/>
          <w:color w:val="auto"/>
        </w:rPr>
      </w:pPr>
    </w:p>
    <w:p>
      <w:pPr>
        <w:ind w:left="3160" w:right="46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Tower Semiconductor Ltd. Migdal Haemek Industrial Post Office Box 619 Migdal Haemek, Israel 10056 Telecopy: 972-4-654-7788 Email: carmel@towersemi.com Attention: Carmel Vernia</w:t>
      </w:r>
    </w:p>
    <w:p>
      <w:pPr>
        <w:spacing w:after="0" w:line="169" w:lineRule="exact"/>
        <w:rPr>
          <w:rFonts w:ascii="Courier New" w:cs="Courier New" w:eastAsia="Courier New" w:hAnsi="Courier New"/>
          <w:sz w:val="15"/>
          <w:szCs w:val="15"/>
          <w:color w:val="auto"/>
        </w:rPr>
      </w:pPr>
    </w:p>
    <w:p>
      <w:pPr>
        <w:ind w:left="3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66" w:lineRule="exact"/>
        <w:rPr>
          <w:rFonts w:ascii="Courier New" w:cs="Courier New" w:eastAsia="Courier New" w:hAnsi="Courier New"/>
          <w:sz w:val="15"/>
          <w:szCs w:val="15"/>
          <w:color w:val="auto"/>
        </w:rPr>
      </w:pPr>
    </w:p>
    <w:p>
      <w:pPr>
        <w:ind w:left="3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Yigal Arnon &amp; Co.</w:t>
      </w:r>
    </w:p>
    <w:p>
      <w:pPr>
        <w:spacing w:after="0" w:line="4" w:lineRule="exact"/>
        <w:rPr>
          <w:rFonts w:ascii="Courier New" w:cs="Courier New" w:eastAsia="Courier New" w:hAnsi="Courier New"/>
          <w:sz w:val="15"/>
          <w:szCs w:val="15"/>
          <w:color w:val="auto"/>
        </w:rPr>
      </w:pPr>
    </w:p>
    <w:p>
      <w:pPr>
        <w:ind w:left="3160" w:right="56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 Azrieli Center Tel Aviv 67021</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Email:  davids@arnon.co.il</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972-3-608-7714</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H. Schapiro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such notices, demands and other communications shall be deemed to have been duly given (i) when delivered by hand, if personally delivered; (ii) one Business Day after being sent, if sent via a reputable nationwide overnight courier service guaranteeing next business day delivery; (iii) five (5) Business Days after being sent, if sent by registered or certified mail, return receipt requested, postage prepaid; and (iv) when receipt is mechanically acknowledged, if telecopied or electronically confirmed, if emailed. Any party may, by notice given in accordance with this Section 10.2, designate another address or Person for receipt of notices hereunder. Any party may give any notice, request, consent or other communication under this Agreement using any other means (including, without limitation, personal delivery, messenger service or first class mail), but no such notice, request, consent or other communication shall be deemed to have been duly given unless and until it is actually received by the party to whom it is given.</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1" w:name="page172"/>
    <w:bookmarkEnd w:id="171"/>
    <w:p>
      <w:pPr>
        <w:ind w:right="3239" w:firstLine="437"/>
        <w:spacing w:after="0" w:line="255" w:lineRule="auto"/>
        <w:rPr>
          <w:sz w:val="20"/>
          <w:szCs w:val="20"/>
          <w:color w:val="auto"/>
        </w:rPr>
      </w:pPr>
      <w:r>
        <w:rPr>
          <w:rFonts w:ascii="Courier New" w:cs="Courier New" w:eastAsia="Courier New" w:hAnsi="Courier New"/>
          <w:sz w:val="14"/>
          <w:szCs w:val="14"/>
          <w:color w:val="auto"/>
        </w:rPr>
        <w:t>10.3 SUCCESSORS AND ASSIGNS; THIRD PARTY BENEFICIARIES. This Agreement shall inure to the benefit of and be binding upon the successors and permitted assigns of the parties hereto. Subject to applicable securities laws and the terms and conditions thereof, the Purchasers may assign any of their rights under this Agreement to any of their respective Affiliates, provided that each such assignee shall make the representations and warranties under Article IV and assumes in writing the obligations of such assignor under this Agreement. The Seller may not assign any of its rights under this Agreement without the prior written consent of the Purchasers. Except as set forth and in Article VII, no Person other than the parties hereto and their successors and permitted assigns is intended to be a beneficiary of this Agreement.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10.4 AMENDMENT AND WAIVER.</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on the part of the Seller or any Purchaser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supplement or modification of or to any provision of this Agreement, any waiver of any provision of this Agreement, and any consent to any departure by the Seller or the Purchasers from the terms of any provision of this Agreement, shall be effective (i) only if it is made or given in writing and signed by the Seller and the Purchasers and (ii) only in the specific instance and for the specific purpose for which made or given. Except where notice is specifically required by this Agreement, no notice to or demand on the Seller in any case shall entitle the Seller to any other or further notice or demand in similar or other circumstances.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10.5 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10.6 GOVERNING LAW; CONSENT TO JURISDICTION; WAIVER OF JURY TRIAL.</w:t>
      </w:r>
    </w:p>
    <w:p>
      <w:pPr>
        <w:spacing w:after="0" w:line="173" w:lineRule="exact"/>
        <w:rPr>
          <w:sz w:val="20"/>
          <w:szCs w:val="20"/>
          <w:color w:val="auto"/>
        </w:rPr>
      </w:pPr>
    </w:p>
    <w:p>
      <w:pPr>
        <w:ind w:left="440" w:right="3319" w:firstLine="444"/>
        <w:spacing w:after="0" w:line="235" w:lineRule="auto"/>
        <w:tabs>
          <w:tab w:leader="none" w:pos="122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WITHOUT REGARD TO THE PRINCIPLES OF CONFLICTS OF LAW THEREOF.</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72" w:name="page173"/>
    <w:bookmarkEnd w:id="172"/>
    <w:p>
      <w:pPr>
        <w:ind w:left="440" w:right="3239" w:firstLine="444"/>
        <w:spacing w:after="0" w:line="255" w:lineRule="auto"/>
        <w:tabs>
          <w:tab w:leader="none" w:pos="122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irrevocably submit to the exclusive jurisdiction of any state or federal court sitting in the County of New York, in the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SELLER AND EACH OF THE PURCHASERS EACH HEREBY WAIVES, TO THE FULLEST EXTENT PERMITTED BY LAW, ITS RIGHT TO A JURY TRIAL WITH RESPECT TO ANY ACTION OR CLAIM ARISING OUT OF ANY DISPUTE IN CONNECTION WITH THIS AGREEMENT OR ANY OF THE OTHER TRANSACTION DOCUMENTS, ANY RIGHTS OR OBLIGATIONS HEREUNDER OR THEREUNDER OR THE PERFORMANCE OF SUCH RIGHTS AND OBLIGATIONS. EACH PARTY (I) CERTIFIES THAT NO REPRESENTATIVE, AGENT OR ATTORNEY OF ANY OTHER PARTY HAS REPRESENTED, EXPRESSLY OR OTHERWISE, THAT SUCH OTHER PARTY WOULD NOT, IN THE EVENT OF LITIGATION, SEEK TO ENFORCE THE FOREGOING WAIVERS AND (II) ACKNOWLEDGES THAT IT AND THE OTHER PARTIES HERETO HAVE BEEN INDUCED TO ENTER INTO THIS AGREEMENT AND THE OTHER TRANSACTION DOCUMENTS BY, AMONG OTHER THINGS, THE MUTUAL WAIVERS AND CERTIFICATIONS CONTAINED HEREIN.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10.7 SEVERABILITY.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hereof.</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10.8 ENTIRE AGREEMENT. This Agreement, together with the exhibits and schedules hereto, is intended by the parties as a final expression of their agreement and intended to be a complete and exclusive statement of the agreement and understanding of the parties hereto in respect of the subject matter contained herein and therein. There are no restrictions, promises, representations, warranties or undertakings, other than those set forth or referred to herein or therein. This Agreement, together with the exhibits and schedules hereto, supersedes all prior agreements and understandings between the parties with respect to such subject matter.</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10.9 PUBLIC ANNOUNCEMENTS. Neither the Seller nor the Purchasers will make any public statements or issue any press releases with respect to this Agreement or the transactions contemplated hereby without the prior written consent of the other parties hereto, except to the extent such party reasonably believes such public statement is required by any Requirement of Law, including, without limitation, any securities or stock market regulation, or to the extent required by the Purchasers in connection with their customary internal reporting. Notwithstanding the foregoing, the Seller will not use or refer to the name of any Purchaser in any public statement or disclosure without the consent of such Purchaser except to the extent that the Seller reasonably believes such statement or disclosure is required by applicable law or stock market regulations, provided that the Seller will provide a draft of such statement or disclosure prior to its publication or dissemination so that such Purchaser has a reasonable opportunity to review and comment on such draft. A press release with respect to the sale of the Purchased Shares shall be approved by the parties upon the Closing and released for publication.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73" w:name="page174"/>
    <w:bookmarkEnd w:id="173"/>
    <w:p>
      <w:pPr>
        <w:ind w:right="3319" w:firstLine="437"/>
        <w:spacing w:after="0" w:line="236" w:lineRule="auto"/>
        <w:rPr>
          <w:sz w:val="20"/>
          <w:szCs w:val="20"/>
          <w:color w:val="auto"/>
        </w:rPr>
      </w:pPr>
      <w:r>
        <w:rPr>
          <w:rFonts w:ascii="Courier New" w:cs="Courier New" w:eastAsia="Courier New" w:hAnsi="Courier New"/>
          <w:sz w:val="15"/>
          <w:szCs w:val="15"/>
          <w:color w:val="auto"/>
        </w:rPr>
        <w:t>10.10 FURTHER ASSURANCES. Each of the parties shall execute such documents and perform such further acts (including, without limitation, obtaining any consents, exemptions, authorizations or other actions by, or giving any notices to, or making any filings with, any Governmental Authority or any other Person) as may be reasonably required or desirable to carry out or to perform the provisions of this Agreement.</w:t>
      </w:r>
    </w:p>
    <w:p>
      <w:pPr>
        <w:spacing w:after="0" w:line="175"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10.11 STAMP DUTY. Any stamp duty payable on the sale of the Purchased Shares, including any stamp duty owed on this Agreement, shall be divided equally between the Purchasers (as a group) and the Seller.</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10.12 EXPENSES. Subject to Section 10.11 and the following sentence, each party to this Agreement shall bear and pay all of its own fees, costs and expenses (including legal fees and accounting fees) that have been incurred or that are incurred by such party in connection with the transactions contemplated by this Agreement and the negotiations leading up to the execution of this Agreement. Without derogating from the previous sentence, expenses up to an amount of $20,000 incurred by the Company in connection with the due diligence review of the Company conducted by the Purchasers in connection with this Agreement, shall be borne equally by the Seller and the Purchasers (as a group) provided however, that neither the Seller nor the Purchasers shall be obligated to bear expenses in an amount greater than $10,000.</w:t>
      </w:r>
    </w:p>
    <w:p>
      <w:pPr>
        <w:spacing w:after="0" w:line="32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239"/>
          </w:cols>
          <w:pgMar w:left="220" w:top="792" w:right="1440" w:bottom="1440" w:gutter="0" w:footer="0" w:header="0"/>
        </w:sectPr>
      </w:pPr>
    </w:p>
    <w:bookmarkStart w:id="174" w:name="page175"/>
    <w:bookmarkEnd w:id="174"/>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60"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 WITNESS WHEREOF, the undersigned have executed, or have caused to be executed, this Agreement on the date first written above.</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TOWER SEMICONDUCTOR LTD.</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600"/>
        <w:spacing w:after="0"/>
        <w:tabs>
          <w:tab w:leader="none" w:pos="4020" w:val="left"/>
        </w:tabs>
        <w:rPr>
          <w:sz w:val="20"/>
          <w:szCs w:val="20"/>
          <w:color w:val="auto"/>
        </w:rPr>
      </w:pPr>
      <w:r>
        <w:rPr>
          <w:rFonts w:ascii="Courier New" w:cs="Courier New" w:eastAsia="Courier New" w:hAnsi="Courier New"/>
          <w:sz w:val="15"/>
          <w:szCs w:val="15"/>
          <w:color w:val="auto"/>
        </w:rPr>
        <w:t>By:</w:t>
        <w:tab/>
        <w:t>****,</w:t>
      </w:r>
    </w:p>
    <w:p>
      <w:pPr>
        <w:ind w:left="404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600"/>
        <w:spacing w:after="0"/>
        <w:tabs>
          <w:tab w:leader="none" w:pos="4020" w:val="left"/>
        </w:tabs>
        <w:rPr>
          <w:sz w:val="20"/>
          <w:szCs w:val="20"/>
          <w:color w:val="auto"/>
        </w:rPr>
      </w:pPr>
      <w:r>
        <w:rPr>
          <w:rFonts w:ascii="Courier New" w:cs="Courier New" w:eastAsia="Courier New" w:hAnsi="Courier New"/>
          <w:sz w:val="15"/>
          <w:szCs w:val="15"/>
          <w:color w:val="auto"/>
        </w:rPr>
        <w:t>By:</w:t>
        <w:tab/>
        <w:t>****,</w:t>
      </w:r>
    </w:p>
    <w:p>
      <w:pPr>
        <w:ind w:left="4040"/>
        <w:spacing w:after="0" w:line="237" w:lineRule="auto"/>
        <w:rPr>
          <w:sz w:val="20"/>
          <w:szCs w:val="20"/>
          <w:color w:val="auto"/>
        </w:rPr>
      </w:pPr>
      <w:r>
        <w:rPr>
          <w:rFonts w:ascii="Courier New" w:cs="Courier New" w:eastAsia="Courier New" w:hAnsi="Courier New"/>
          <w:sz w:val="15"/>
          <w:szCs w:val="15"/>
          <w:color w:val="auto"/>
        </w:rPr>
        <w:t>its Sole Member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24" w:right="1440" w:bottom="1440" w:gutter="0" w:footer="0" w:header="0"/>
        </w:sectPr>
      </w:pPr>
    </w:p>
    <w:bookmarkStart w:id="175" w:name="page176"/>
    <w:bookmarkEnd w:id="175"/>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600"/>
        <w:spacing w:after="0"/>
        <w:tabs>
          <w:tab w:leader="none" w:pos="4020" w:val="left"/>
        </w:tabs>
        <w:rPr>
          <w:sz w:val="20"/>
          <w:szCs w:val="20"/>
          <w:color w:val="auto"/>
        </w:rPr>
      </w:pPr>
      <w:r>
        <w:rPr>
          <w:rFonts w:ascii="Courier New" w:cs="Courier New" w:eastAsia="Courier New" w:hAnsi="Courier New"/>
          <w:sz w:val="15"/>
          <w:szCs w:val="15"/>
          <w:color w:val="auto"/>
        </w:rPr>
        <w:t>By:</w:t>
        <w:tab/>
        <w:t>****,</w:t>
      </w:r>
    </w:p>
    <w:p>
      <w:pPr>
        <w:ind w:left="404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Name:</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24" w:right="1440" w:bottom="1440" w:gutter="0" w:footer="0" w:header="0"/>
        </w:sectPr>
      </w:pPr>
    </w:p>
    <w:bookmarkStart w:id="176" w:name="page177"/>
    <w:bookmarkEnd w:id="176"/>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SCHEDULE 2.1</w:t>
            </w:r>
          </w:p>
        </w:tc>
      </w:tr>
      <w:tr>
        <w:trPr>
          <w:trHeight w:val="673"/>
        </w:trPr>
        <w:tc>
          <w:tcPr>
            <w:tcW w:w="1500" w:type="dxa"/>
            <w:vAlign w:val="bottom"/>
          </w:tcPr>
          <w:p>
            <w:pPr>
              <w:spacing w:after="0"/>
              <w:rPr>
                <w:sz w:val="24"/>
                <w:szCs w:val="24"/>
                <w:color w:val="auto"/>
              </w:rPr>
            </w:pPr>
          </w:p>
        </w:tc>
        <w:tc>
          <w:tcPr>
            <w:tcW w:w="36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PURCHASED SHARES AND PURCHASE PRICE</w:t>
            </w:r>
          </w:p>
        </w:tc>
        <w:tc>
          <w:tcPr>
            <w:tcW w:w="1840" w:type="dxa"/>
            <w:vAlign w:val="bottom"/>
          </w:tcPr>
          <w:p>
            <w:pPr>
              <w:spacing w:after="0"/>
              <w:rPr>
                <w:sz w:val="24"/>
                <w:szCs w:val="24"/>
                <w:color w:val="auto"/>
              </w:rPr>
            </w:pPr>
          </w:p>
        </w:tc>
      </w:tr>
      <w:tr>
        <w:trPr>
          <w:trHeight w:val="673"/>
        </w:trPr>
        <w:tc>
          <w:tcPr>
            <w:tcW w:w="1500" w:type="dxa"/>
            <w:vAlign w:val="bottom"/>
          </w:tcPr>
          <w:p>
            <w:pPr>
              <w:spacing w:after="0"/>
              <w:rPr>
                <w:sz w:val="24"/>
                <w:szCs w:val="24"/>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PURCHASED</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PURCHASED</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ORDINARY SHARES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PREFERRED SHARES</w:t>
            </w:r>
          </w:p>
        </w:tc>
        <w:tc>
          <w:tcPr>
            <w:tcW w:w="20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PURCHASE PRICE</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2,499,173</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54,167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5"/>
              </w:rPr>
              <w:t>35,746,760</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33,800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483,462</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133,432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2,892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1,908,536</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34,814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497,966</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2,805</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40,124</w:t>
            </w:r>
          </w:p>
        </w:tc>
      </w:tr>
      <w:tr>
        <w:trPr>
          <w:trHeight w:val="505"/>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2,704,024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58,608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5"/>
              </w:rPr>
              <w:t>38,676,848</w:t>
            </w:r>
          </w:p>
        </w:tc>
      </w:tr>
    </w:tbl>
    <w:p>
      <w:pPr>
        <w:sectPr>
          <w:pgSz w:w="11900" w:h="16838" w:orient="portrait"/>
          <w:cols w:equalWidth="0" w:num="1">
            <w:col w:w="10239"/>
          </w:cols>
          <w:pgMar w:left="220" w:top="624" w:right="1440" w:bottom="1440" w:gutter="0" w:footer="0" w:header="0"/>
        </w:sectPr>
      </w:pPr>
    </w:p>
    <w:bookmarkStart w:id="177" w:name="page178"/>
    <w:bookmarkEnd w:id="177"/>
    <w:p>
      <w:pPr>
        <w:ind w:left="5960"/>
        <w:spacing w:after="0"/>
        <w:rPr>
          <w:sz w:val="20"/>
          <w:szCs w:val="20"/>
          <w:color w:val="auto"/>
        </w:rPr>
      </w:pPr>
      <w:r>
        <w:rPr>
          <w:rFonts w:ascii="Courier New" w:cs="Courier New" w:eastAsia="Courier New" w:hAnsi="Courier New"/>
          <w:sz w:val="14"/>
          <w:szCs w:val="14"/>
          <w:color w:val="auto"/>
        </w:rPr>
        <w:t>EXHIBIT 4.44</w:t>
      </w:r>
    </w:p>
    <w:p>
      <w:pPr>
        <w:spacing w:after="0" w:line="178"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Agreement (this "AGREEMENT"), dated as of December 31, 2004, by and among Tower Semiconductor Ltd. an Israeli company (the "Seller"), **** (collectively ****, the "NEW PURCHASERS").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WITNESSETH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WHEREAS, the Seller is a holder of 2,704,024 Ordinary Shares of Saifun Semiconductors Ltd. (the "COMPANY"), nominal value NIS 0.01 each (the "ORDINARY SHARES") and 58,608 Series B Preferred Shares of the Company, nominal value NIS 0.01 each (the "PREFERRED SHARES" and together with the Ordinary Shares, the "SHARES");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WHEREAS, the Seller executed a Share Purchase Agreement with , a Bermuda limited partnership ("****"), , a Delaware limited liability company ("****"), ****, a Delaware limited liability company ("****"),****, a Delaware limited liability company ("****"), and ****, a German limited partnership ("****" and, collectively, with ****, ****, **** and ****, the "ORIGINAL PURCHASERS") dated December 8, 2004 (the "SPA").</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WHEREAS, in accordance with the Company's Articles of Association (the "ARTICLES") and pursuant to section 5.3 of the SPA, the Seller sent a Notice of Offer (as defined in the Company's Articles and as approved by the Original Purchasers ) to all Major Shareholders (as defined in the Articles) offering such Major Shareholders to exercise their right of first refusal as set forth in the Articles;</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WHEREAS, the New Purchasers have provided the Seller with Purchase Notices (as defined in the Articles) in which they notified the Seller of their desire to purchase all of the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hereby agree as follows :</w:t>
      </w:r>
    </w:p>
    <w:p>
      <w:pPr>
        <w:spacing w:after="0" w:line="173" w:lineRule="exact"/>
        <w:rPr>
          <w:sz w:val="20"/>
          <w:szCs w:val="20"/>
          <w:color w:val="auto"/>
        </w:rPr>
      </w:pPr>
    </w:p>
    <w:p>
      <w:pPr>
        <w:ind w:right="3239" w:firstLine="447"/>
        <w:spacing w:after="0" w:line="236"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SHARES. Subject to the terms and conditions hereof, the Seller hereby transfers to the New Purchasers, and the New Purchasers hereby purchase from the Seller, the number of Ordinary Shares of the Company and the number of Series B Preferred Shares of the Company set forth next to each New Purchaser's name in Schedule 1 attached hereto under the column entitled "Number of Ordinary Shares" and "Number of Preferred Shares", as applicable. The Sellers and the New Purchasers hereby make the deliveries required by section 2.4 of the SPA. In addition, each New Purchaser shall deliver to the Company the letter undertaking attached hereto as SCHEDULE 2.</w:t>
      </w:r>
    </w:p>
    <w:p>
      <w:pPr>
        <w:spacing w:after="0" w:line="178"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SALE. The rights and obligations set forth in the SPA and applicable to the Original Purchaser shall apply, mutatis mutandis, to each of the New Purchasers, including without limitation, the additional payment obligation set forth in Section 2.2 and the lock-up obligation on the Shares set forth in Section 4.7 of the SPA.</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Seller hereby confirms that all representations and warranties made by the Seller in Article III of the SPA are true and correct in all respects at and on the day hereof and all the covenants and obligations contained in the SPA to be performed by the Seller prior to or at the Closing Date have been fully performed and complied with.</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SPA shall constitute the entire agreement of the parties with respect to its subject matter and supersedes all prior oral or written agreements in regard thereto.</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Agreement or any provision hereof may be amended, modified, waived, discharged or terminated only pursuant to a written instrument making specific reference to this Agreement and duly signed by or on behalf of each of the parties hereto.</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7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AND CONSENT TO JURISDICTION. This Agreement shall be governed by and construed according to the laws of the State of Israel, without regard to the conflict of laws provisions thereof. Any dispute arising under or in relation to this Agreement shall be resolved in the competent court for Tel Aviv-Jaffa district, and each of the parties hereby submits irrevocably to the jurisdiction of such court.</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executed effective as of the date first above written.</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By:</w:t>
      </w:r>
    </w:p>
    <w:p>
      <w:pPr>
        <w:ind w:left="620"/>
        <w:spacing w:after="0" w:line="237" w:lineRule="auto"/>
        <w:rPr>
          <w:sz w:val="20"/>
          <w:szCs w:val="20"/>
          <w:color w:val="auto"/>
        </w:rPr>
      </w:pPr>
      <w:r>
        <w:rPr>
          <w:rFonts w:ascii="Courier New" w:cs="Courier New" w:eastAsia="Courier New" w:hAnsi="Courier New"/>
          <w:sz w:val="15"/>
          <w:szCs w:val="15"/>
          <w:color w:val="auto"/>
        </w:rPr>
        <w:t>Print Name: _______________________</w:t>
      </w:r>
    </w:p>
    <w:p>
      <w:pPr>
        <w:ind w:left="620"/>
        <w:spacing w:after="0" w:line="238" w:lineRule="auto"/>
        <w:rPr>
          <w:sz w:val="20"/>
          <w:szCs w:val="20"/>
          <w:color w:val="auto"/>
        </w:rPr>
      </w:pPr>
      <w:r>
        <w:rPr>
          <w:rFonts w:ascii="Courier New" w:cs="Courier New" w:eastAsia="Courier New" w:hAnsi="Courier New"/>
          <w:sz w:val="15"/>
          <w:szCs w:val="15"/>
          <w:color w:val="auto"/>
        </w:rPr>
        <w:t>Title: ______________________________</w:t>
      </w:r>
    </w:p>
    <w:p>
      <w:pPr>
        <w:sectPr>
          <w:pgSz w:w="11900" w:h="16838" w:orient="portrait"/>
          <w:cols w:equalWidth="0" w:num="1">
            <w:col w:w="10239"/>
          </w:cols>
          <w:pgMar w:left="220" w:top="141" w:right="1440" w:bottom="713"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141" w:right="1440" w:bottom="713" w:gutter="0" w:footer="0" w:header="0"/>
          <w:type w:val="continuous"/>
        </w:sectPr>
      </w:pPr>
    </w:p>
    <w:bookmarkStart w:id="178" w:name="page179"/>
    <w:bookmarkEnd w:id="178"/>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_______________________________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_______________________________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By: 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Name:___________________________</w:t>
      </w:r>
    </w:p>
    <w:p>
      <w:pPr>
        <w:ind w:left="620"/>
        <w:spacing w:after="0" w:line="238" w:lineRule="auto"/>
        <w:rPr>
          <w:sz w:val="20"/>
          <w:szCs w:val="20"/>
          <w:color w:val="auto"/>
        </w:rPr>
      </w:pPr>
      <w:r>
        <w:rPr>
          <w:rFonts w:ascii="Courier New" w:cs="Courier New" w:eastAsia="Courier New" w:hAnsi="Courier New"/>
          <w:sz w:val="15"/>
          <w:szCs w:val="15"/>
          <w:color w:val="auto"/>
        </w:rPr>
        <w:t>Title:____________________________</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By: 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Name:___________________________</w:t>
      </w:r>
    </w:p>
    <w:p>
      <w:pPr>
        <w:ind w:left="620"/>
        <w:spacing w:after="0" w:line="238" w:lineRule="auto"/>
        <w:rPr>
          <w:sz w:val="20"/>
          <w:szCs w:val="20"/>
          <w:color w:val="auto"/>
        </w:rPr>
      </w:pPr>
      <w:r>
        <w:rPr>
          <w:rFonts w:ascii="Courier New" w:cs="Courier New" w:eastAsia="Courier New" w:hAnsi="Courier New"/>
          <w:sz w:val="15"/>
          <w:szCs w:val="15"/>
          <w:color w:val="auto"/>
        </w:rPr>
        <w:t>Title:____________________________</w:t>
      </w:r>
    </w:p>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By: 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Name:___________________________</w:t>
      </w:r>
    </w:p>
    <w:p>
      <w:pPr>
        <w:ind w:left="620"/>
        <w:spacing w:after="0" w:line="238" w:lineRule="auto"/>
        <w:rPr>
          <w:sz w:val="20"/>
          <w:szCs w:val="20"/>
          <w:color w:val="auto"/>
        </w:rPr>
      </w:pPr>
      <w:r>
        <w:rPr>
          <w:rFonts w:ascii="Courier New" w:cs="Courier New" w:eastAsia="Courier New" w:hAnsi="Courier New"/>
          <w:sz w:val="15"/>
          <w:szCs w:val="15"/>
          <w:color w:val="auto"/>
        </w:rPr>
        <w:t>Title:____________________________</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79" w:name="page180"/>
    <w:bookmarkEnd w:id="179"/>
    <w:p>
      <w:pPr>
        <w:ind w:right="3239"/>
        <w:spacing w:after="0" w:line="261"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SCHEDULE 1</w:t>
            </w:r>
          </w:p>
        </w:tc>
        <w:tc>
          <w:tcPr>
            <w:tcW w:w="1100" w:type="dxa"/>
            <w:vAlign w:val="bottom"/>
          </w:tcPr>
          <w:p>
            <w:pPr>
              <w:spacing w:after="0"/>
              <w:rPr>
                <w:sz w:val="14"/>
                <w:szCs w:val="14"/>
                <w:color w:val="auto"/>
              </w:rPr>
            </w:pPr>
          </w:p>
        </w:tc>
      </w:tr>
      <w:tr>
        <w:trPr>
          <w:trHeight w:val="336"/>
        </w:trPr>
        <w:tc>
          <w:tcPr>
            <w:tcW w:w="66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REQUESTED</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ORDINARY</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 B</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349,566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7,577</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357,143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5,000,002</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167,584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10,393</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177,977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2,491,678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33,515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35,594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498,316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201,099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12,472</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213,571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2,989,994</w:t>
            </w:r>
          </w:p>
        </w:tc>
      </w:tr>
      <w:tr>
        <w:trPr>
          <w:trHeight w:val="505"/>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2,148,359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37,559</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2,185,918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30,602,852</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42,000</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42,000</w:t>
            </w:r>
          </w:p>
        </w:tc>
      </w:tr>
      <w:tr>
        <w:trPr>
          <w:trHeight w:val="336"/>
        </w:trPr>
        <w:tc>
          <w:tcPr>
            <w:tcW w:w="660" w:type="dxa"/>
            <w:vAlign w:val="bottom"/>
          </w:tcPr>
          <w:p>
            <w:pPr>
              <w:spacing w:after="0"/>
              <w:rPr>
                <w:sz w:val="24"/>
                <w:szCs w:val="2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2,704,024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58,608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2,762,632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38,676,848</w:t>
            </w:r>
          </w:p>
        </w:tc>
      </w:tr>
      <w:tr>
        <w:trPr>
          <w:trHeight w:val="168"/>
        </w:trPr>
        <w:tc>
          <w:tcPr>
            <w:tcW w:w="6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80" w:name="page181"/>
    <w:bookmarkEnd w:id="180"/>
    <w:p>
      <w:pPr>
        <w:ind w:left="2720"/>
        <w:spacing w:after="0"/>
        <w:rPr>
          <w:sz w:val="20"/>
          <w:szCs w:val="20"/>
          <w:color w:val="auto"/>
        </w:rPr>
      </w:pPr>
      <w:r>
        <w:rPr>
          <w:rFonts w:ascii="Courier New" w:cs="Courier New" w:eastAsia="Courier New" w:hAnsi="Courier New"/>
          <w:sz w:val="15"/>
          <w:szCs w:val="15"/>
          <w:color w:val="auto"/>
        </w:rPr>
        <w:t>SHARE TRANSFER DEED</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Tower Semiconductor Ltd. (the "Transferor"), does hereby transfer to __________ (the "Transferee"), pursuant to the terms of that certain</w:t>
      </w:r>
    </w:p>
    <w:p>
      <w:pPr>
        <w:spacing w:after="0" w:line="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Agreement between the Transferor and the New Purchasers (as defined therein) dated December 31, 2004, _____ Ordinary Shares of nominal value NIS 0.01 each</w:t>
      </w:r>
    </w:p>
    <w:p>
      <w:pPr>
        <w:spacing w:after="0" w:line="231" w:lineRule="auto"/>
        <w:rPr>
          <w:sz w:val="20"/>
          <w:szCs w:val="20"/>
          <w:color w:val="auto"/>
        </w:rPr>
      </w:pPr>
      <w:r>
        <w:rPr>
          <w:rFonts w:ascii="Courier New" w:cs="Courier New" w:eastAsia="Courier New" w:hAnsi="Courier New"/>
          <w:sz w:val="15"/>
          <w:szCs w:val="15"/>
          <w:color w:val="auto"/>
        </w:rPr>
        <w:t>and _____ Series B Preferred Shares of nominal value NIS 0.01 each (the</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"Shares") in Saifun Semiconductors Ltd., an Israeli company (the "Company") to be held by the Transferee, its administrators and its assigns, upon all of the terms and conditions subject to which the Transferor held such Shares and said Transferee does hereby agree to accept such Shares.</w:t>
      </w:r>
    </w:p>
    <w:p>
      <w:pPr>
        <w:sectPr>
          <w:pgSz w:w="11900" w:h="16838" w:orient="portrait"/>
          <w:cols w:equalWidth="0" w:num="1">
            <w:col w:w="10239"/>
          </w:cols>
          <w:pgMar w:left="220" w:top="785" w:right="1440" w:bottom="1440" w:gutter="0" w:footer="0" w:header="0"/>
        </w:sect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2004</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2004</w:t>
      </w:r>
    </w:p>
    <w:p>
      <w:pPr>
        <w:spacing w:after="0" w:line="177" w:lineRule="exact"/>
        <w:rPr>
          <w:sz w:val="20"/>
          <w:szCs w:val="20"/>
          <w:color w:val="auto"/>
        </w:rPr>
      </w:pPr>
    </w:p>
    <w:p>
      <w:pPr>
        <w:sectPr>
          <w:pgSz w:w="11900" w:h="16838" w:orient="portrait"/>
          <w:cols w:equalWidth="0" w:num="4">
            <w:col w:w="540" w:space="260"/>
            <w:col w:w="3040" w:space="720"/>
            <w:col w:w="520" w:space="260"/>
            <w:col w:w="489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39"/>
          </w:cols>
          <w:pgMar w:left="220" w:top="785"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37" w:lineRule="auto"/>
        <w:rPr>
          <w:sz w:val="20"/>
          <w:szCs w:val="20"/>
          <w:color w:val="auto"/>
        </w:rPr>
      </w:pPr>
      <w:r>
        <w:rPr>
          <w:rFonts w:ascii="Courier New" w:cs="Courier New" w:eastAsia="Courier New" w:hAnsi="Courier New"/>
          <w:sz w:val="15"/>
          <w:szCs w:val="15"/>
          <w:color w:val="auto"/>
        </w:rPr>
        <w:t>Name:</w:t>
      </w:r>
    </w:p>
    <w:p>
      <w:pPr>
        <w:spacing w:after="0" w:line="238" w:lineRule="auto"/>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37" w:lineRule="auto"/>
        <w:rPr>
          <w:sz w:val="20"/>
          <w:szCs w:val="20"/>
          <w:color w:val="auto"/>
        </w:rPr>
      </w:pPr>
      <w:r>
        <w:rPr>
          <w:rFonts w:ascii="Courier New" w:cs="Courier New" w:eastAsia="Courier New" w:hAnsi="Courier New"/>
          <w:sz w:val="15"/>
          <w:szCs w:val="15"/>
          <w:color w:val="auto"/>
        </w:rPr>
        <w:t>Name:</w:t>
      </w:r>
    </w:p>
    <w:p>
      <w:pPr>
        <w:spacing w:after="0" w:line="238" w:lineRule="auto"/>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Transferee</w:t>
      </w:r>
    </w:p>
    <w:p>
      <w:pPr>
        <w:spacing w:after="0" w:line="200" w:lineRule="exact"/>
        <w:rPr>
          <w:sz w:val="20"/>
          <w:szCs w:val="20"/>
          <w:color w:val="auto"/>
        </w:rPr>
      </w:pPr>
    </w:p>
    <w:p>
      <w:pPr>
        <w:sectPr>
          <w:pgSz w:w="11900" w:h="16838" w:orient="portrait"/>
          <w:cols w:equalWidth="0" w:num="2">
            <w:col w:w="3840" w:space="720"/>
            <w:col w:w="5679"/>
          </w:cols>
          <w:pgMar w:left="220" w:top="785" w:right="1440" w:bottom="1440" w:gutter="0" w:footer="0" w:header="0"/>
          <w:type w:val="continuous"/>
        </w:sect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785" w:right="1440" w:bottom="1440" w:gutter="0" w:footer="0" w:header="0"/>
          <w:type w:val="continuous"/>
        </w:sectPr>
      </w:pPr>
    </w:p>
    <w:bookmarkStart w:id="181" w:name="page182"/>
    <w:bookmarkEnd w:id="181"/>
    <w:p>
      <w:pPr>
        <w:jc w:val="right"/>
        <w:ind w:right="3239"/>
        <w:spacing w:after="0"/>
        <w:rPr>
          <w:sz w:val="20"/>
          <w:szCs w:val="20"/>
          <w:color w:val="auto"/>
        </w:rPr>
      </w:pPr>
      <w:r>
        <w:rPr>
          <w:rFonts w:ascii="Courier New" w:cs="Courier New" w:eastAsia="Courier New" w:hAnsi="Courier New"/>
          <w:sz w:val="15"/>
          <w:szCs w:val="15"/>
          <w:color w:val="auto"/>
        </w:rPr>
        <w:t>EXHIBIT 11.1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CODE OF ETHICS</w:t>
      </w:r>
    </w:p>
    <w:p>
      <w:pPr>
        <w:spacing w:after="0" w:line="166" w:lineRule="exact"/>
        <w:rPr>
          <w:sz w:val="20"/>
          <w:szCs w:val="20"/>
          <w:color w:val="auto"/>
        </w:rPr>
      </w:pPr>
    </w:p>
    <w:p>
      <w:pPr>
        <w:ind w:left="440" w:hanging="430"/>
        <w:spacing w:after="0"/>
        <w:tabs>
          <w:tab w:leader="none" w:pos="4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and Scope</w:t>
      </w:r>
    </w:p>
    <w:p>
      <w:pPr>
        <w:spacing w:after="0" w:line="172"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policies in this document apply to Tower Semiconductor Ltd. and Tower Semiconductor USA Inc., with respect to all businesses, countries and regions (the "Company").</w:t>
      </w:r>
    </w:p>
    <w:p>
      <w:pPr>
        <w:spacing w:after="0" w:line="173" w:lineRule="exact"/>
        <w:rPr>
          <w:rFonts w:ascii="Courier New" w:cs="Courier New" w:eastAsia="Courier New" w:hAnsi="Courier New"/>
          <w:sz w:val="15"/>
          <w:szCs w:val="15"/>
          <w:color w:val="auto"/>
        </w:rPr>
      </w:pPr>
    </w:p>
    <w:p>
      <w:pPr>
        <w:ind w:left="880" w:right="3239" w:hanging="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The Company's managers are expected to lead the Company according to the Company's standards of ethical conduct, in both words and actions. Managers are responsible for promoting open and honest two-way communications. Managers must be positive activists and role models who show respect and consideration for each of the Company's associates.</w:t>
      </w:r>
    </w:p>
    <w:p>
      <w:pPr>
        <w:spacing w:after="0" w:line="174" w:lineRule="exact"/>
        <w:rPr>
          <w:rFonts w:ascii="Courier New" w:cs="Courier New" w:eastAsia="Courier New" w:hAnsi="Courier New"/>
          <w:sz w:val="15"/>
          <w:szCs w:val="15"/>
          <w:color w:val="auto"/>
        </w:rPr>
      </w:pPr>
    </w:p>
    <w:p>
      <w:pPr>
        <w:ind w:left="880" w:right="3319" w:hanging="437"/>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1.2. The Company has designated a Compliance Officer to administer this Code, as specified in Annex A to this Code. Any questions or concerns about the understanding and implementation of this document, as well as report or complaint regarding illegal or unethical acts, should be addressed to the Company's Compliance Officer.</w:t>
      </w:r>
    </w:p>
    <w:p>
      <w:pPr>
        <w:spacing w:after="0" w:line="163" w:lineRule="exact"/>
        <w:rPr>
          <w:rFonts w:ascii="Courier New" w:cs="Courier New" w:eastAsia="Courier New" w:hAnsi="Courier New"/>
          <w:sz w:val="15"/>
          <w:szCs w:val="15"/>
          <w:color w:val="auto"/>
        </w:rPr>
      </w:pPr>
    </w:p>
    <w:p>
      <w:pPr>
        <w:ind w:left="880" w:right="3239" w:hanging="437"/>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1.3. The Compliance Officer shall be responsible for informing all of the Company employees annually of the existence of this Code of Ethics and the Complaints Management Procedure. The Compliance Officer shall emphasize to all employees the possibility of maintaining anonymity at the election of the person(s) submitting any reports or complaints and the means by which anonymity is accomplished and ensured.</w:t>
      </w:r>
    </w:p>
    <w:p>
      <w:pPr>
        <w:spacing w:after="0" w:line="166" w:lineRule="exact"/>
        <w:rPr>
          <w:rFonts w:ascii="Courier New" w:cs="Courier New" w:eastAsia="Courier New" w:hAnsi="Courier New"/>
          <w:sz w:val="15"/>
          <w:szCs w:val="15"/>
          <w:color w:val="auto"/>
        </w:rPr>
      </w:pPr>
    </w:p>
    <w:p>
      <w:pPr>
        <w:ind w:left="880" w:right="3499" w:hanging="437"/>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1.4. Any violation of the provisions of this Code may result in disciplinary action, including immediate termination of employment.</w:t>
      </w:r>
    </w:p>
    <w:p>
      <w:pPr>
        <w:spacing w:after="0" w:line="159" w:lineRule="exact"/>
        <w:rPr>
          <w:rFonts w:ascii="Courier New" w:cs="Courier New" w:eastAsia="Courier New" w:hAnsi="Courier New"/>
          <w:sz w:val="15"/>
          <w:szCs w:val="15"/>
          <w:color w:val="auto"/>
        </w:rPr>
      </w:pPr>
    </w:p>
    <w:p>
      <w:pPr>
        <w:ind w:left="880" w:right="331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All references in this document to the masculine gender shall include the female gender.</w:t>
      </w:r>
    </w:p>
    <w:p>
      <w:pPr>
        <w:spacing w:after="0" w:line="334"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of Ethics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COMPLIANCE WITH APPLICABLE LAWS</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All employees, officers and directors of the Company ("Employees") should comply with all of the laws, rules and regulations of the U.S., Israel and other countries, and the states, counties, cities and other jurisdictions applicable to the Company or its business.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CONFLICT OF INTERESTS</w:t>
      </w:r>
    </w:p>
    <w:p>
      <w:pPr>
        <w:spacing w:after="0" w:line="173" w:lineRule="exact"/>
        <w:rPr>
          <w:sz w:val="20"/>
          <w:szCs w:val="20"/>
          <w:color w:val="auto"/>
        </w:rPr>
      </w:pPr>
    </w:p>
    <w:p>
      <w:pPr>
        <w:ind w:left="880" w:right="3319"/>
        <w:spacing w:after="0" w:line="234" w:lineRule="auto"/>
        <w:rPr>
          <w:sz w:val="20"/>
          <w:szCs w:val="20"/>
          <w:color w:val="auto"/>
        </w:rPr>
      </w:pPr>
      <w:r>
        <w:rPr>
          <w:rFonts w:ascii="Courier New" w:cs="Courier New" w:eastAsia="Courier New" w:hAnsi="Courier New"/>
          <w:sz w:val="15"/>
          <w:szCs w:val="15"/>
          <w:color w:val="auto"/>
        </w:rPr>
        <w:t>All Employees should strive to avoid any actual or apparent conflicts of interest with regard to the Company's interests.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The Company acknowledges and values Employees' right and will to engage in activities other than the Company's business and activities, so long as such activities do not create a conflict of interest and do not interfere with the Employee's responsibility to the Company or the Employee's efficiency in performing his job.</w:t>
      </w:r>
    </w:p>
    <w:p>
      <w:pPr>
        <w:spacing w:after="0" w:line="174"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A "conflict of interest" may exist whenever an individual's private personal interests conflict in any way, or even appear to conflict, with the interests of the Company. A conflict situation can arise when an Employee takes actions or has interests that may make it difficult to perform his or her Company work objectively. Conflicts of interest may also arise when an Employee, or a member of his or her family, receives improper personal benefits as a result of his or her position in the Company, whether received from the Company or a third party.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Following are examples of situations which should be avoided:</w:t>
      </w:r>
    </w:p>
    <w:p>
      <w:pPr>
        <w:spacing w:after="0" w:line="173" w:lineRule="exact"/>
        <w:rPr>
          <w:sz w:val="20"/>
          <w:szCs w:val="20"/>
          <w:color w:val="auto"/>
        </w:rPr>
      </w:pPr>
    </w:p>
    <w:p>
      <w:pPr>
        <w:ind w:left="1320" w:right="3319" w:hanging="436"/>
        <w:spacing w:after="0" w:line="235" w:lineRule="auto"/>
        <w:tabs>
          <w:tab w:leader="none" w:pos="13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engaging in another job which interferes with his or her efficiency or the performance of his or her tasks in the Company.</w:t>
      </w:r>
    </w:p>
    <w:p>
      <w:pPr>
        <w:spacing w:after="0" w:line="173" w:lineRule="exact"/>
        <w:rPr>
          <w:rFonts w:ascii="Courier New" w:cs="Courier New" w:eastAsia="Courier New" w:hAnsi="Courier New"/>
          <w:sz w:val="15"/>
          <w:szCs w:val="15"/>
          <w:color w:val="auto"/>
        </w:rPr>
      </w:pPr>
    </w:p>
    <w:p>
      <w:pPr>
        <w:ind w:left="1320" w:right="3499" w:hanging="436"/>
        <w:spacing w:after="0" w:line="235" w:lineRule="auto"/>
        <w:tabs>
          <w:tab w:leader="none" w:pos="13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services of any kind by an Employee to one or more of the Company's customers, competitors, suppliers or service providers.</w:t>
      </w:r>
    </w:p>
    <w:p>
      <w:pPr>
        <w:spacing w:after="0" w:line="174"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Although it is not always possible to avoid conflicts of interest, it is the Company's policy to minimize such conflicts when possible. Conflicts of interest may not always be clear-cut, so if you have a question, you should consult with the Compliance Officer or Legal Department.</w:t>
      </w:r>
    </w:p>
    <w:p>
      <w:pPr>
        <w:spacing w:after="0" w:line="174" w:lineRule="exact"/>
        <w:rPr>
          <w:sz w:val="20"/>
          <w:szCs w:val="20"/>
          <w:color w:val="auto"/>
        </w:rPr>
      </w:pPr>
    </w:p>
    <w:p>
      <w:pPr>
        <w:ind w:left="880" w:right="3239"/>
        <w:spacing w:after="0" w:line="258" w:lineRule="auto"/>
        <w:rPr>
          <w:sz w:val="20"/>
          <w:szCs w:val="20"/>
          <w:color w:val="auto"/>
        </w:rPr>
      </w:pPr>
      <w:r>
        <w:rPr>
          <w:rFonts w:ascii="Courier New" w:cs="Courier New" w:eastAsia="Courier New" w:hAnsi="Courier New"/>
          <w:sz w:val="14"/>
          <w:szCs w:val="14"/>
          <w:color w:val="auto"/>
        </w:rPr>
        <w:t>Any Employee who becomes aware of a conflict or potential conflict should bring it to the attention of the Compliance Officer who can take the necessary actions and provide guidelines for future behavior.</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GIFTS AND BUSINESS AMENITIES</w:t>
      </w:r>
    </w:p>
    <w:p>
      <w:pPr>
        <w:spacing w:after="0" w:line="173"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The following are the Company's general guidelines on giving and receiving gifts and business amenities. Under these guidelines, employees may give or accept customary business amenities, such as meals and entertainment, provided the expenses involved are kept at a reasonable level and are not prohibited by law or known customer business practice.</w:t>
      </w:r>
    </w:p>
    <w:p>
      <w:pPr>
        <w:sectPr>
          <w:pgSz w:w="11900" w:h="16838" w:orient="portrait"/>
          <w:cols w:equalWidth="0" w:num="1">
            <w:col w:w="10239"/>
          </w:cols>
          <w:pgMar w:left="220" w:top="135" w:right="1440" w:bottom="0" w:gutter="0" w:footer="0" w:header="0"/>
        </w:sectPr>
      </w:pPr>
    </w:p>
    <w:bookmarkStart w:id="182" w:name="page183"/>
    <w:bookmarkEnd w:id="182"/>
    <w:p>
      <w:pPr>
        <w:ind w:right="3319"/>
        <w:spacing w:after="0" w:line="237" w:lineRule="auto"/>
        <w:rPr>
          <w:sz w:val="20"/>
          <w:szCs w:val="20"/>
          <w:color w:val="auto"/>
        </w:rPr>
      </w:pPr>
      <w:r>
        <w:rPr>
          <w:rFonts w:ascii="Courier New" w:cs="Courier New" w:eastAsia="Courier New" w:hAnsi="Courier New"/>
          <w:sz w:val="15"/>
          <w:szCs w:val="15"/>
          <w:color w:val="auto"/>
        </w:rPr>
        <w:t>Neither Employees nor any member of their families may solicit or accept from a supplier or customer money or a gift that could influence or could reasonably give the appearance of influencing the Company's business relationship with that supplier or customer. However, employees may accept a gift of nominal value, such as small promotional items bearing another company's name, when it is customarily offered to others having a similar relationship with the customer or supplier. If Employees have any doubts about a particular situation, they are encouraged to consult the Compliance Officer. Senior management may also approve giving or receipt of gifts and business amenities of a higher value, provided that the gifts and business amenities are not prohibited by law or acceptable customer business practice.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Employees may not give money or any gift to an executive, official or employee of any supplier, customer or any other organization if doing so would influence or could reasonably give the appearance of influencing the organization's relationship with the Company. Employees may, however, provide a gift of nominal value, such as small promotional items bearing the Company's name, if it is not prohibited by law or the other party's known business practices.</w:t>
      </w:r>
    </w:p>
    <w:p>
      <w:pPr>
        <w:sectPr>
          <w:pgSz w:w="11900" w:h="16838" w:orient="portrait"/>
          <w:cols w:equalWidth="0" w:num="1">
            <w:col w:w="9359"/>
          </w:cols>
          <w:pgMar w:left="1100" w:top="142"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2.4. PERSONAL FINANCIAL INTERESTS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Employees should not have a financial interest in any organization that the Company does business with or competes with if that interest would give rise to, or would appear to give rise to, a conflict of interest with the Company. Such organizations include suppliers, competitors, customers, representatives and alliance companies. Financial interests in competitors usually will present a conflict of interest. However, investing in a fund whose investments are chosen by persons not related to the Employee, such as the fund managers or sponsors, is permitted.</w:t>
      </w:r>
    </w:p>
    <w:p>
      <w:pPr>
        <w:spacing w:after="0" w:line="178"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To determine whether an improper interest exists, Employees should ask themselves the following questions:</w:t>
      </w:r>
    </w:p>
    <w:p>
      <w:pPr>
        <w:spacing w:after="0" w:line="173" w:lineRule="exact"/>
        <w:rPr>
          <w:sz w:val="20"/>
          <w:szCs w:val="20"/>
          <w:color w:val="auto"/>
        </w:rPr>
      </w:pPr>
    </w:p>
    <w:p>
      <w:pPr>
        <w:ind w:left="880" w:right="3499" w:hanging="436"/>
        <w:spacing w:after="0" w:line="236" w:lineRule="auto"/>
        <w:tabs>
          <w:tab w:leader="none" w:pos="8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extent of the competition or the nature of the relationship between the Company and the other company? If the other company is in more than one line of business, how significant is the part that competes with or supplies the Company?</w:t>
      </w:r>
    </w:p>
    <w:p>
      <w:pPr>
        <w:spacing w:after="0" w:line="173" w:lineRule="exact"/>
        <w:rPr>
          <w:rFonts w:ascii="Courier New" w:cs="Courier New" w:eastAsia="Courier New" w:hAnsi="Courier New"/>
          <w:sz w:val="15"/>
          <w:szCs w:val="15"/>
          <w:color w:val="auto"/>
        </w:rPr>
      </w:pPr>
    </w:p>
    <w:p>
      <w:pPr>
        <w:ind w:left="880" w:right="3239" w:hanging="436"/>
        <w:spacing w:after="0" w:line="235" w:lineRule="auto"/>
        <w:tabs>
          <w:tab w:leader="none" w:pos="8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Given the nature of my job in the Company, could my actions as an Employee affect the value of my investment in the other company? Could my actions significantly affect my investment, even if it is a relatively modest one?</w:t>
      </w:r>
    </w:p>
    <w:p>
      <w:pPr>
        <w:spacing w:after="0" w:line="175" w:lineRule="exact"/>
        <w:rPr>
          <w:rFonts w:ascii="Courier New" w:cs="Courier New" w:eastAsia="Courier New" w:hAnsi="Courier New"/>
          <w:sz w:val="15"/>
          <w:szCs w:val="15"/>
          <w:color w:val="auto"/>
        </w:rPr>
      </w:pPr>
    </w:p>
    <w:p>
      <w:pPr>
        <w:ind w:left="880" w:right="3319" w:hanging="436"/>
        <w:spacing w:after="0" w:line="235" w:lineRule="auto"/>
        <w:tabs>
          <w:tab w:leader="none" w:pos="8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size of my investment in relation to my salary and other family income, including income from other investments? Is it significant enough to cause me to take some action as an Employee to protect or enhance my investment?</w:t>
      </w:r>
    </w:p>
    <w:p>
      <w:pPr>
        <w:spacing w:after="0" w:line="17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 financial interest by an Employee is improper if the job, the amount of investment, or the particular company in which the investment was made could influence or could reasonably give the appearance of influencing the actions of such Employee.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CORPORATE OPPORTUNITY</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Except as may be approved by the Board of Directors or a committee of independent directors, Employees are prohibited from (a) taking for themselves personally opportunities that belong to the Company or are discovered through the use of corporate property, information or position; (b) using corporate property, information or position for personal gain; and (c) competing with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CONFIDENTIALITY</w:t>
      </w:r>
    </w:p>
    <w:p>
      <w:pPr>
        <w:spacing w:after="0" w:line="173" w:lineRule="exact"/>
        <w:rPr>
          <w:sz w:val="20"/>
          <w:szCs w:val="20"/>
          <w:color w:val="auto"/>
        </w:rPr>
      </w:pPr>
    </w:p>
    <w:p>
      <w:pPr>
        <w:ind w:left="440" w:right="3679"/>
        <w:spacing w:after="0" w:line="256" w:lineRule="auto"/>
        <w:rPr>
          <w:sz w:val="20"/>
          <w:szCs w:val="20"/>
          <w:color w:val="auto"/>
        </w:rPr>
      </w:pPr>
      <w:r>
        <w:rPr>
          <w:rFonts w:ascii="Courier New" w:cs="Courier New" w:eastAsia="Courier New" w:hAnsi="Courier New"/>
          <w:sz w:val="14"/>
          <w:szCs w:val="14"/>
          <w:color w:val="auto"/>
        </w:rPr>
        <w:t>Employees must maintain the confidentiality of Confidential Information entrusted to them by the Company or its suppliers or customers, except when disclosure is authorized by the Company or required by applicable laws, regulations or legal proceedings.</w:t>
      </w:r>
    </w:p>
    <w:p>
      <w:pPr>
        <w:spacing w:after="0" w:line="164"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"Confidential Information" includes, but is not limited to, non-public information that is the property of the Company or has been entrusted to the Company by others. It should be noted that Confidential Information might be of use to competitors of the Company, or harmful to the Company or its customers if disclosed. Whenever feasible, Employees should consult with the Company's Compliance Officer or Legal Department if they believe they have a legal obligation to disclose confidential information.</w:t>
      </w:r>
    </w:p>
    <w:p>
      <w:pPr>
        <w:sectPr>
          <w:pgSz w:w="11900" w:h="16838" w:orient="portrait"/>
          <w:cols w:equalWidth="0" w:num="1">
            <w:col w:w="9799"/>
          </w:cols>
          <w:pgMar w:left="660" w:top="617"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2.7. FAIR DEALING AND RESPECT</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Each Employee is required to respect and deal fairly in business relations with the Company's customers, suppliers, partners, competitors, shareholders, and Employees. No Employee should take unfair advantage of anyone through manipulation, concealment, abuse of Confidential Information, misrepresentation of material facts or any other unfair dealing practice. Illegal obtainment of proprietary information, misuse of trade secret information that was obtained without the owner's consent, or induction of such disclosures by past or present employees of other companies is prohibited.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PROTECTIONS AND PROPER USE OF COMPANY ASSETS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All Employees should protect all Company Assets and ensure their efficient use. Theft, carelessness, and waste of Company Assets have a direct impact on the Company's profitability. All Company Assets should be used for legitimate business purposes and other purposes approved by management only. Company Assets may never be used for illegal purposes.</w:t>
      </w:r>
    </w:p>
    <w:p>
      <w:pPr>
        <w:spacing w:after="0" w:line="175" w:lineRule="exact"/>
        <w:rPr>
          <w:sz w:val="20"/>
          <w:szCs w:val="20"/>
          <w:color w:val="auto"/>
        </w:rPr>
      </w:pPr>
    </w:p>
    <w:p>
      <w:pPr>
        <w:ind w:left="440" w:right="3839"/>
        <w:spacing w:after="0" w:line="235" w:lineRule="auto"/>
        <w:rPr>
          <w:sz w:val="20"/>
          <w:szCs w:val="20"/>
          <w:color w:val="auto"/>
        </w:rPr>
      </w:pPr>
      <w:r>
        <w:rPr>
          <w:rFonts w:ascii="Courier New" w:cs="Courier New" w:eastAsia="Courier New" w:hAnsi="Courier New"/>
          <w:sz w:val="15"/>
          <w:szCs w:val="15"/>
          <w:color w:val="auto"/>
        </w:rPr>
        <w:t>"Company Assets" include physical assets as well as proprietary information, such as intellectual property and Confidential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PUBLIC COMPANY REPORTING</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As a public company, it is of critical importance that the Company's filings with the securities authorities and stock exchanges in Israel and the U.S. and the Company's communications to the public be full, fair, accurate and timely. Depending on their respective positions with the Company, Employees may be called upon to provide information necessary to assure that the Company's public reports are complete, fair and understandable. The Company expects Employees to take this responsibility very seriously and to provide prompt and accurate answers to inquiries related to the Company's public disclosure requirements.</w:t>
      </w:r>
    </w:p>
    <w:p>
      <w:pPr>
        <w:spacing w:after="0" w:line="179"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Chief Executive Officer, Chief Financial Officer and other senior financial officers of the Company are principally responsible for full, fair, accurate, timely and understandable disclosure in the periodic and other reports required to be filed by the Company with the Securities and Exchange Commission, the Israeli Securities Authority, Nasdaq and the Tel Aviv Stock Exchange. It is the responsibility of the CEO, the CFO and each other senior financial officer to report any untrue statement of material fact and any omission of material fact that affect the disclosures made by the Company in its public filings.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 BUSINESS RECORDS ACCURACY</w:t>
      </w:r>
    </w:p>
    <w:p>
      <w:pPr>
        <w:spacing w:after="0" w:line="173" w:lineRule="exact"/>
        <w:rPr>
          <w:sz w:val="20"/>
          <w:szCs w:val="20"/>
          <w:color w:val="auto"/>
        </w:rPr>
      </w:pPr>
    </w:p>
    <w:p>
      <w:pPr>
        <w:ind w:left="440" w:right="3239"/>
        <w:spacing w:after="0" w:line="256" w:lineRule="auto"/>
        <w:rPr>
          <w:sz w:val="20"/>
          <w:szCs w:val="20"/>
          <w:color w:val="auto"/>
        </w:rPr>
      </w:pPr>
      <w:r>
        <w:rPr>
          <w:rFonts w:ascii="Courier New" w:cs="Courier New" w:eastAsia="Courier New" w:hAnsi="Courier New"/>
          <w:sz w:val="14"/>
          <w:szCs w:val="14"/>
          <w:color w:val="auto"/>
        </w:rPr>
        <w:t>The Company's policy is to comply with all financial reporting and accounting regulations applicable to the Company. While many Employees may not be familiar with accounting procedures, it is the responsibility of each Employee to make sure that every business record which he or she deals with is accurate, complete, and reliable.</w:t>
      </w:r>
    </w:p>
    <w:p>
      <w:pPr>
        <w:sectPr>
          <w:pgSz w:w="11900" w:h="16838" w:orient="portrait"/>
          <w:cols w:equalWidth="0" w:num="1">
            <w:col w:w="9799"/>
          </w:cols>
          <w:pgMar w:left="660" w:top="617"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2.11. REQUESTS FOR INFORMATION AND CONTACT WITH OUTSIDERS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For purposes of this Code of Ethics, an "Outsider" shall be defined as a person or entity not bound by an employer/employee relationship with the Company and not a member of the Board of Directors, including analysts, reporters, shareholders, institutional investors, the investment community, lawyers, governmental authorities, the general public and the media.</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Company's activities are monitored closely by some Outsiders. The Corporate Secretary shall be responsible for managing the Company's relationships with Outsiders or shall refer specific instances of such interaction to the CEO, CFO or VP of Marketing, as appropriate, or authorize other Company personnel to act on the Company's behalf on a case-by-case basis.</w:t>
      </w:r>
    </w:p>
    <w:p>
      <w:pPr>
        <w:spacing w:after="0" w:line="17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CEO, CFO and VP of Marketing shall represent the Company in all communications, meetings, and other interactions and relationships with Outsiders. The CEO, CFO and VP of Marketing shall be entitled to authorize other Company personnel to interact with Outsiders, on a case-by-case basis, at their sole discretion.</w:t>
      </w:r>
    </w:p>
    <w:p>
      <w:pPr>
        <w:spacing w:after="0" w:line="174"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Employees should not initiate contact with Outsiders or respond to their inquiries other than within the scope of their authority unless authorized to do so as specified above.</w:t>
      </w:r>
    </w:p>
    <w:p>
      <w:pPr>
        <w:spacing w:after="0" w:line="174"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If Employees receive a request for information on the Company from an Outsider, such as an attorney, investigator or law enforcement official or government officials or agencies, they should refer the request to the Corporate Secretary.</w:t>
      </w:r>
    </w:p>
    <w:p>
      <w:pPr>
        <w:spacing w:after="0" w:line="17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In all contacts with Outsiders, it is forbidden to discuss pricing and pricing policy, contract terms, costs, inventories, marketing and product plans, production plans, production capabilities and any other proprietary or confidential information.</w:t>
      </w:r>
    </w:p>
    <w:p>
      <w:pPr>
        <w:spacing w:after="0" w:line="175" w:lineRule="exact"/>
        <w:rPr>
          <w:sz w:val="20"/>
          <w:szCs w:val="20"/>
          <w:color w:val="auto"/>
        </w:rPr>
      </w:pPr>
    </w:p>
    <w:p>
      <w:pPr>
        <w:jc w:val="both"/>
        <w:ind w:left="440" w:right="3499"/>
        <w:spacing w:after="0" w:line="235" w:lineRule="auto"/>
        <w:rPr>
          <w:sz w:val="20"/>
          <w:szCs w:val="20"/>
          <w:color w:val="auto"/>
        </w:rPr>
      </w:pPr>
      <w:r>
        <w:rPr>
          <w:rFonts w:ascii="Courier New" w:cs="Courier New" w:eastAsia="Courier New" w:hAnsi="Courier New"/>
          <w:sz w:val="15"/>
          <w:szCs w:val="15"/>
          <w:color w:val="auto"/>
        </w:rPr>
        <w:t>In the event that internal Company data is mistakenly exposed to an Outsider, the Company shall promptly deliberate as to the course of action that would best serve the Company's interests.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REPORTING ANY ILLEGAL, INAPPROPRIATE OR UNETHICAL BEHAVIOR</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Employees should promptly report any illegal, inappropriate or unethical behavior, illegitimate accounting or auditing practices and any other violation of this Code of Ethics, Company procedures or any law, whether such has occurred or may occur, and convey concerns, complaints or questions regarding thereto. Such report may be communicated (1) directly to supervisors, managers, or the Compliance Officer, orally or in writing; or (2) anonymously through the Compliance Officers' complaint box or mailbox. When applicable, employees may directly contact the Audit Committee of the Board of Directors.</w:t>
      </w:r>
    </w:p>
    <w:p>
      <w:pPr>
        <w:sectPr>
          <w:pgSz w:w="11900" w:h="16838" w:orient="portrait"/>
          <w:cols w:equalWidth="0" w:num="1">
            <w:col w:w="9799"/>
          </w:cols>
          <w:pgMar w:left="660" w:top="617" w:right="1440" w:bottom="1440" w:gutter="0" w:footer="0" w:header="0"/>
        </w:sectPr>
      </w:pPr>
    </w:p>
    <w:bookmarkStart w:id="186" w:name="page187"/>
    <w:bookmarkEnd w:id="186"/>
    <w:p>
      <w:pPr>
        <w:ind w:left="880" w:right="3239"/>
        <w:spacing w:after="0" w:line="256" w:lineRule="auto"/>
        <w:rPr>
          <w:sz w:val="20"/>
          <w:szCs w:val="20"/>
          <w:color w:val="auto"/>
        </w:rPr>
      </w:pPr>
      <w:r>
        <w:rPr>
          <w:rFonts w:ascii="Courier New" w:cs="Courier New" w:eastAsia="Courier New" w:hAnsi="Courier New"/>
          <w:sz w:val="14"/>
          <w:szCs w:val="14"/>
          <w:color w:val="auto"/>
        </w:rPr>
        <w:t>Supervisors and managers receiving any such report shall transfer the report and all relevant information in his/her possession to the Compliance Officer. In the event that the report pertains to behavior or practices conducted by the Compliance Officer, such report shall be transferred to the Vice President of Human Resources.</w:t>
      </w:r>
    </w:p>
    <w:p>
      <w:pPr>
        <w:spacing w:after="0" w:line="163"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Upon receipt of any such report, the Compliance Officer or the Vice President of Human Resources, as the case may be, shall act according to the Company's Complaints Management Procedure.</w:t>
      </w:r>
    </w:p>
    <w:p>
      <w:pPr>
        <w:spacing w:after="0" w:line="174" w:lineRule="exact"/>
        <w:rPr>
          <w:sz w:val="20"/>
          <w:szCs w:val="20"/>
          <w:color w:val="auto"/>
        </w:rPr>
      </w:pPr>
    </w:p>
    <w:p>
      <w:pPr>
        <w:ind w:left="880" w:right="3319"/>
        <w:spacing w:after="0" w:line="234" w:lineRule="auto"/>
        <w:rPr>
          <w:sz w:val="20"/>
          <w:szCs w:val="20"/>
          <w:color w:val="auto"/>
        </w:rPr>
      </w:pPr>
      <w:r>
        <w:rPr>
          <w:rFonts w:ascii="Courier New" w:cs="Courier New" w:eastAsia="Courier New" w:hAnsi="Courier New"/>
          <w:sz w:val="15"/>
          <w:szCs w:val="15"/>
          <w:color w:val="auto"/>
        </w:rPr>
        <w:t>Such reports shall be held in confidence, subject to applicable laws, regulations and legal proceedings.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2.13. NO RETALIATION</w:t>
      </w:r>
    </w:p>
    <w:p>
      <w:pPr>
        <w:spacing w:after="0" w:line="173" w:lineRule="exact"/>
        <w:rPr>
          <w:sz w:val="20"/>
          <w:szCs w:val="20"/>
          <w:color w:val="auto"/>
        </w:rPr>
      </w:pPr>
    </w:p>
    <w:p>
      <w:pPr>
        <w:ind w:left="880" w:right="3239"/>
        <w:spacing w:after="0" w:line="256" w:lineRule="auto"/>
        <w:rPr>
          <w:sz w:val="20"/>
          <w:szCs w:val="20"/>
          <w:color w:val="auto"/>
        </w:rPr>
      </w:pPr>
      <w:r>
        <w:rPr>
          <w:rFonts w:ascii="Courier New" w:cs="Courier New" w:eastAsia="Courier New" w:hAnsi="Courier New"/>
          <w:sz w:val="14"/>
          <w:szCs w:val="14"/>
          <w:color w:val="auto"/>
        </w:rPr>
        <w:t>It shall be unlawful for the Company, any of its managers or employees or any person on their behalf to discharge, harass or otherwise discriminate against employees who provide evidence of improprieties or potential improprieties, submit or express an intention to submit any Complaints or assist in the investigation thereof.</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A</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Compliance Officer is Nati Somekh Gilboa, General Counsel and Corporate Secretary, and her replacement is Tziona Shriki, Vice Chief Financial Officer.</w:t>
      </w:r>
    </w:p>
    <w:p>
      <w:pPr>
        <w:sectPr>
          <w:pgSz w:w="11900" w:h="16838" w:orient="portrait"/>
          <w:cols w:equalWidth="0" w:num="1">
            <w:col w:w="10239"/>
          </w:cols>
          <w:pgMar w:left="220" w:top="792" w:right="1440" w:bottom="1440" w:gutter="0" w:footer="0" w:header="0"/>
        </w:sectPr>
      </w:pPr>
    </w:p>
    <w:bookmarkStart w:id="187" w:name="page188"/>
    <w:bookmarkEnd w:id="187"/>
    <w:p>
      <w:pPr>
        <w:jc w:val="right"/>
        <w:ind w:right="3239"/>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Russell C. Ellwanger, certify that: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I have reviewed this annual report on Form 20-F of Tower Semiconductor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173" w:lineRule="exact"/>
        <w:rPr>
          <w:sz w:val="20"/>
          <w:szCs w:val="20"/>
          <w:color w:val="auto"/>
        </w:rPr>
      </w:pPr>
    </w:p>
    <w:p>
      <w:pPr>
        <w:ind w:right="3239" w:firstLine="447"/>
        <w:spacing w:after="0" w:line="256" w:lineRule="auto"/>
        <w:tabs>
          <w:tab w:leader="none" w:pos="7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right="3499" w:firstLine="447"/>
        <w:spacing w:after="0" w:line="256" w:lineRule="auto"/>
        <w:tabs>
          <w:tab w:leader="none" w:pos="7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jc w:val="both"/>
        <w:ind w:right="3399" w:firstLine="447"/>
        <w:spacing w:after="0" w:line="258" w:lineRule="auto"/>
        <w:tabs>
          <w:tab w:leader="none" w:pos="7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sz w:val="20"/>
          <w:szCs w:val="20"/>
          <w:color w:val="auto"/>
        </w:rPr>
      </w:pPr>
    </w:p>
    <w:p>
      <w:pPr>
        <w:ind w:left="880" w:right="3319" w:hanging="433"/>
        <w:spacing w:after="0" w:line="236"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in accordance with SEC transition instructions contained in SEC release Nos. 33-8238 and 34-47986]</w:t>
      </w:r>
    </w:p>
    <w:p>
      <w:pPr>
        <w:spacing w:after="0" w:line="159" w:lineRule="exact"/>
        <w:rPr>
          <w:rFonts w:ascii="Courier New" w:cs="Courier New" w:eastAsia="Courier New" w:hAnsi="Courier New"/>
          <w:sz w:val="14"/>
          <w:szCs w:val="14"/>
          <w:color w:val="auto"/>
        </w:rPr>
      </w:pPr>
    </w:p>
    <w:p>
      <w:pPr>
        <w:ind w:left="880" w:right="3239" w:hanging="433"/>
        <w:spacing w:after="0" w:line="256" w:lineRule="auto"/>
        <w:tabs>
          <w:tab w:leader="none" w:pos="8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880" w:right="3679" w:hanging="433"/>
        <w:spacing w:after="0" w:line="236"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74" w:lineRule="exact"/>
        <w:rPr>
          <w:sz w:val="20"/>
          <w:szCs w:val="20"/>
          <w:color w:val="auto"/>
        </w:rPr>
      </w:pPr>
    </w:p>
    <w:p>
      <w:pPr>
        <w:ind w:right="3239" w:firstLine="447"/>
        <w:spacing w:after="0" w:line="256" w:lineRule="auto"/>
        <w:tabs>
          <w:tab w:leader="none" w:pos="7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80" w:right="3319" w:hanging="433"/>
        <w:spacing w:after="0" w:line="235" w:lineRule="auto"/>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2005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Russell C. Ellwanger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 C. ELLWANGER</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38" w:lineRule="auto"/>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135" w:right="1440" w:bottom="1440" w:gutter="0" w:footer="0" w:header="0"/>
        </w:sectPr>
      </w:pPr>
    </w:p>
    <w:bookmarkStart w:id="188" w:name="page189"/>
    <w:bookmarkEnd w:id="188"/>
    <w:p>
      <w:pPr>
        <w:jc w:val="right"/>
        <w:ind w:right="3239"/>
        <w:spacing w:after="0"/>
        <w:rPr>
          <w:sz w:val="20"/>
          <w:szCs w:val="20"/>
          <w:color w:val="auto"/>
        </w:rPr>
      </w:pPr>
      <w:r>
        <w:rPr>
          <w:rFonts w:ascii="Courier New" w:cs="Courier New" w:eastAsia="Courier New" w:hAnsi="Courier New"/>
          <w:sz w:val="15"/>
          <w:szCs w:val="15"/>
          <w:color w:val="auto"/>
        </w:rPr>
        <w:t>EXHIBIT 12.2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Oren Shirazi, certify that: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I have reviewed this annual report on Form 20-F of Tower Semiconductor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173" w:lineRule="exact"/>
        <w:rPr>
          <w:sz w:val="20"/>
          <w:szCs w:val="20"/>
          <w:color w:val="auto"/>
        </w:rPr>
      </w:pPr>
    </w:p>
    <w:p>
      <w:pPr>
        <w:ind w:right="3239" w:firstLine="447"/>
        <w:spacing w:after="0" w:line="256"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right="3499" w:firstLine="447"/>
        <w:spacing w:after="0" w:line="256"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jc w:val="both"/>
        <w:ind w:right="3399" w:firstLine="447"/>
        <w:spacing w:after="0" w:line="258"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sz w:val="20"/>
          <w:szCs w:val="20"/>
          <w:color w:val="auto"/>
        </w:rPr>
      </w:pPr>
    </w:p>
    <w:p>
      <w:pPr>
        <w:ind w:left="880" w:right="3239" w:hanging="433"/>
        <w:spacing w:after="0" w:line="236"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this entity , particularly during the period in which this report is being prepared;</w:t>
      </w:r>
    </w:p>
    <w:p>
      <w:pPr>
        <w:spacing w:after="0" w:line="174" w:lineRule="exact"/>
        <w:rPr>
          <w:rFonts w:ascii="Courier New" w:cs="Courier New" w:eastAsia="Courier New" w:hAnsi="Courier New"/>
          <w:sz w:val="15"/>
          <w:szCs w:val="15"/>
          <w:color w:val="auto"/>
        </w:rPr>
      </w:pPr>
    </w:p>
    <w:p>
      <w:pPr>
        <w:ind w:left="880" w:right="3679" w:hanging="433"/>
        <w:spacing w:after="0" w:line="261" w:lineRule="auto"/>
        <w:tabs>
          <w:tab w:leader="none" w:pos="8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in accordance with SEC transition instructions contained in SEC release Nos. 33-8238 and 34-47986]</w:t>
      </w:r>
    </w:p>
    <w:p>
      <w:pPr>
        <w:spacing w:after="0" w:line="159" w:lineRule="exact"/>
        <w:rPr>
          <w:rFonts w:ascii="Courier New" w:cs="Courier New" w:eastAsia="Courier New" w:hAnsi="Courier New"/>
          <w:sz w:val="14"/>
          <w:szCs w:val="14"/>
          <w:color w:val="auto"/>
        </w:rPr>
      </w:pPr>
    </w:p>
    <w:p>
      <w:pPr>
        <w:ind w:left="880" w:right="3239" w:hanging="433"/>
        <w:spacing w:after="0" w:line="256" w:lineRule="auto"/>
        <w:tabs>
          <w:tab w:leader="none" w:pos="8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880" w:right="3679" w:hanging="433"/>
        <w:spacing w:after="0" w:line="236"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74" w:lineRule="exact"/>
        <w:rPr>
          <w:sz w:val="20"/>
          <w:szCs w:val="20"/>
          <w:color w:val="auto"/>
        </w:rPr>
      </w:pPr>
    </w:p>
    <w:p>
      <w:pPr>
        <w:ind w:right="3239" w:firstLine="447"/>
        <w:spacing w:after="0" w:line="256" w:lineRule="auto"/>
        <w:tabs>
          <w:tab w:leader="none" w:pos="70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right="3319" w:hanging="433"/>
        <w:spacing w:after="0" w:line="235" w:lineRule="auto"/>
        <w:tabs>
          <w:tab w:leader="none" w:pos="8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2005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Oren Shirazi</w:t>
      </w:r>
    </w:p>
    <w:p>
      <w:pPr>
        <w:ind w:left="180" w:hanging="170"/>
        <w:spacing w:after="0" w:line="237" w:lineRule="auto"/>
        <w:tabs>
          <w:tab w:leader="none" w:pos="1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OREN SHIRAZI</w:t>
      </w:r>
    </w:p>
    <w:p>
      <w:pPr>
        <w:spacing w:after="0" w:line="5" w:lineRule="exact"/>
        <w:rPr>
          <w:rFonts w:ascii="Courier New" w:cs="Courier New" w:eastAsia="Courier New" w:hAnsi="Courier New"/>
          <w:sz w:val="15"/>
          <w:szCs w:val="15"/>
          <w:color w:val="auto"/>
        </w:rPr>
      </w:pPr>
    </w:p>
    <w:p>
      <w:pPr>
        <w:ind w:right="75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ACTING CHIEF FINANCIAL OFFICER TOWER SEMICONDUCTOR LTD.</w:t>
      </w:r>
    </w:p>
    <w:p>
      <w:pPr>
        <w:sectPr>
          <w:pgSz w:w="11900" w:h="16838" w:orient="portrait"/>
          <w:cols w:equalWidth="0" w:num="1">
            <w:col w:w="10239"/>
          </w:cols>
          <w:pgMar w:left="220" w:top="135" w:right="1440" w:bottom="1440" w:gutter="0" w:footer="0" w:header="0"/>
        </w:sectPr>
      </w:pPr>
    </w:p>
    <w:bookmarkStart w:id="189" w:name="page190"/>
    <w:bookmarkEnd w:id="189"/>
    <w:p>
      <w:pPr>
        <w:jc w:val="right"/>
        <w:ind w:right="3239"/>
        <w:spacing w:after="0"/>
        <w:rPr>
          <w:sz w:val="20"/>
          <w:szCs w:val="20"/>
          <w:color w:val="auto"/>
        </w:rPr>
      </w:pPr>
      <w:r>
        <w:rPr>
          <w:rFonts w:ascii="Courier New" w:cs="Courier New" w:eastAsia="Courier New" w:hAnsi="Courier New"/>
          <w:sz w:val="15"/>
          <w:szCs w:val="15"/>
          <w:color w:val="auto"/>
        </w:rPr>
        <w:t>EXHIBIT 13.1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In connection with the Annual Report of Tower Semiconductor Ltd. (the "Registrant") on Form 20-F for the year ended December 31, 2004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166" w:lineRule="exact"/>
        <w:rPr>
          <w:sz w:val="20"/>
          <w:szCs w:val="20"/>
          <w:color w:val="auto"/>
        </w:rPr>
      </w:pPr>
    </w:p>
    <w:p>
      <w:pPr>
        <w:ind w:left="880" w:right="3499" w:hanging="433"/>
        <w:spacing w:after="0" w:line="234" w:lineRule="auto"/>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Registrant.</w:t>
      </w:r>
    </w:p>
    <w:p>
      <w:pPr>
        <w:spacing w:after="0" w:line="33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Russell C. Ellwanger</w:t>
      </w:r>
    </w:p>
    <w:p>
      <w:pPr>
        <w:ind w:left="464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line="238" w:lineRule="auto"/>
        <w:rPr>
          <w:sz w:val="20"/>
          <w:szCs w:val="20"/>
          <w:color w:val="auto"/>
        </w:rPr>
      </w:pPr>
      <w:r>
        <w:rPr>
          <w:rFonts w:ascii="Courier New" w:cs="Courier New" w:eastAsia="Courier New" w:hAnsi="Courier New"/>
          <w:sz w:val="15"/>
          <w:szCs w:val="15"/>
          <w:color w:val="auto"/>
        </w:rPr>
        <w:t>Russell C. Ellwanger</w:t>
      </w:r>
    </w:p>
    <w:p>
      <w:pPr>
        <w:ind w:left="464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June 29,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135" w:right="1440" w:bottom="1440" w:gutter="0" w:footer="0" w:header="0"/>
        </w:sectPr>
      </w:pPr>
    </w:p>
    <w:bookmarkStart w:id="190" w:name="page191"/>
    <w:bookmarkEnd w:id="190"/>
    <w:p>
      <w:pPr>
        <w:jc w:val="right"/>
        <w:ind w:right="3239"/>
        <w:spacing w:after="0"/>
        <w:rPr>
          <w:sz w:val="20"/>
          <w:szCs w:val="20"/>
          <w:color w:val="auto"/>
        </w:rPr>
      </w:pPr>
      <w:r>
        <w:rPr>
          <w:rFonts w:ascii="Courier New" w:cs="Courier New" w:eastAsia="Courier New" w:hAnsi="Courier New"/>
          <w:sz w:val="15"/>
          <w:szCs w:val="15"/>
          <w:color w:val="auto"/>
        </w:rPr>
        <w:t>EXHIBIT 13.2</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In connection with the Annual Report of Tower Semiconductor Ltd. (the "Registrant") on Form 20-F for the year ended December 31, 2004 as filed with the Securities and Exchange Commission on the date hereof (the "Report"), I, Oren Shirazi, Acting Chief Financial Officer of the Registrant, certify, pursuant to 18 U.S.C. section 1350, as adopted pursuant to section 906 of the Sarbanes-Oxley Act of 2002, that to my knowledge:</w:t>
      </w:r>
    </w:p>
    <w:p>
      <w:pPr>
        <w:spacing w:after="0" w:line="166" w:lineRule="exact"/>
        <w:rPr>
          <w:sz w:val="20"/>
          <w:szCs w:val="20"/>
          <w:color w:val="auto"/>
        </w:rPr>
      </w:pPr>
    </w:p>
    <w:p>
      <w:pPr>
        <w:ind w:left="880" w:right="3499" w:hanging="433"/>
        <w:spacing w:after="0" w:line="234"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Registrant.</w:t>
      </w:r>
    </w:p>
    <w:p>
      <w:pPr>
        <w:spacing w:after="0" w:line="33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/S/ Oren Shirazi</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rPr>
          <w:sz w:val="20"/>
          <w:szCs w:val="20"/>
          <w:color w:val="auto"/>
        </w:rPr>
      </w:pPr>
      <w:r>
        <w:rPr>
          <w:rFonts w:ascii="Courier New" w:cs="Courier New" w:eastAsia="Courier New" w:hAnsi="Courier New"/>
          <w:sz w:val="15"/>
          <w:szCs w:val="15"/>
          <w:color w:val="auto"/>
        </w:rPr>
        <w:t>Oren Shirazi</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Acting Chief Financial Officer</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June 29,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135" w:right="1440" w:bottom="1440" w:gutter="0" w:footer="0" w:header="0"/>
        </w:sectPr>
      </w:pPr>
    </w:p>
    <w:bookmarkStart w:id="191" w:name="page192"/>
    <w:bookmarkEnd w:id="191"/>
    <w:p>
      <w:pPr>
        <w:jc w:val="right"/>
        <w:ind w:right="3239"/>
        <w:spacing w:after="0"/>
        <w:rPr>
          <w:sz w:val="20"/>
          <w:szCs w:val="20"/>
          <w:color w:val="auto"/>
        </w:rPr>
      </w:pPr>
      <w:r>
        <w:rPr>
          <w:rFonts w:ascii="Courier New" w:cs="Courier New" w:eastAsia="Courier New" w:hAnsi="Courier New"/>
          <w:sz w:val="15"/>
          <w:szCs w:val="15"/>
          <w:color w:val="auto"/>
        </w:rPr>
        <w:t>EXHIBIT 14.1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Nos. 333-85090, 333-108896 and 333-110486, on Form F-3, and Nos. 33-80947, 333-06482, 333-11720, 333-83204, 333-107943 and 333-117565, on Form S-8, of our report dated February 3, 2005 (May 30, 2005 as for Note 20), relating to the consolidated financial statements of Tower Semiconductor Ltd., appearing in this Annual Report on Form 20-F of Tower Semiconductor Ltd. for the year ended December 31, 2004.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June 28, 2005</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o"/>
      <w:numFmt w:val="bullet"/>
      <w:start w:val="1"/>
    </w:lvl>
  </w:abstractNum>
  <w:abstractNum w:abstractNumId="3">
    <w:nsid w:val="8F2B15E"/>
    <w:multiLevelType w:val="hybridMultilevel"/>
    <w:lvl w:ilvl="0">
      <w:lvlJc w:val="left"/>
      <w:lvlText w:val="o"/>
      <w:numFmt w:val="bullet"/>
      <w:start w:val="1"/>
    </w:lvl>
  </w:abstractNum>
  <w:abstractNum w:abstractNumId="4">
    <w:nsid w:val="1A32234B"/>
    <w:multiLevelType w:val="hybridMultilevel"/>
    <w:lvl w:ilvl="0">
      <w:lvlJc w:val="left"/>
      <w:lvlText w:val="o"/>
      <w:numFmt w:val="bullet"/>
      <w:start w:val="1"/>
    </w:lvl>
  </w:abstractNum>
  <w:abstractNum w:abstractNumId="5">
    <w:nsid w:val="3B0FD379"/>
    <w:multiLevelType w:val="hybridMultilevel"/>
    <w:lvl w:ilvl="0">
      <w:lvlJc w:val="left"/>
      <w:lvlText w:val="o"/>
      <w:numFmt w:val="bullet"/>
      <w:start w:val="1"/>
    </w:lvl>
  </w:abstractNum>
  <w:abstractNum w:abstractNumId="6">
    <w:nsid w:val="68EB2F63"/>
    <w:multiLevelType w:val="hybridMultilevel"/>
    <w:lvl w:ilvl="0">
      <w:lvlJc w:val="left"/>
      <w:lvlText w:val="o"/>
      <w:numFmt w:val="bullet"/>
      <w:start w:val="1"/>
    </w:lvl>
  </w:abstractNum>
  <w:abstractNum w:abstractNumId="7">
    <w:nsid w:val="4962813B"/>
    <w:multiLevelType w:val="hybridMultilevel"/>
    <w:lvl w:ilvl="0">
      <w:lvlJc w:val="left"/>
      <w:lvlText w:val="o"/>
      <w:numFmt w:val="bullet"/>
      <w:start w:val="1"/>
    </w:lvl>
  </w:abstractNum>
  <w:abstractNum w:abstractNumId="8">
    <w:nsid w:val="60B6DF70"/>
    <w:multiLevelType w:val="hybridMultilevel"/>
    <w:lvl w:ilvl="0">
      <w:lvlJc w:val="left"/>
      <w:lvlText w:val="o"/>
      <w:numFmt w:val="bullet"/>
      <w:start w:val="1"/>
    </w:lvl>
  </w:abstractNum>
  <w:abstractNum w:abstractNumId="9">
    <w:nsid w:val="6A5EE64"/>
    <w:multiLevelType w:val="hybridMultilevel"/>
    <w:lvl w:ilvl="0">
      <w:lvlJc w:val="left"/>
      <w:lvlText w:val="o"/>
      <w:numFmt w:val="bullet"/>
      <w:start w:val="1"/>
    </w:lvl>
  </w:abstractNum>
  <w:abstractNum w:abstractNumId="10">
    <w:nsid w:val="14330624"/>
    <w:multiLevelType w:val="hybridMultilevel"/>
    <w:lvl w:ilvl="0">
      <w:lvlJc w:val="left"/>
      <w:lvlText w:val="%1."/>
      <w:numFmt w:val="upperLetter"/>
      <w:start w:val="1"/>
    </w:lvl>
  </w:abstractNum>
  <w:abstractNum w:abstractNumId="11">
    <w:nsid w:val="7FFFCA11"/>
    <w:multiLevelType w:val="hybridMultilevel"/>
    <w:lvl w:ilvl="0">
      <w:lvlJc w:val="left"/>
      <w:lvlText w:val="%1."/>
      <w:numFmt w:val="upperLetter"/>
      <w:start w:val="2"/>
    </w:lvl>
  </w:abstractNum>
  <w:abstractNum w:abstractNumId="12">
    <w:nsid w:val="1A27709E"/>
    <w:multiLevelType w:val="hybridMultilevel"/>
    <w:lvl w:ilvl="0">
      <w:lvlJc w:val="left"/>
      <w:lvlText w:val="o"/>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o"/>
      <w:numFmt w:val="bullet"/>
      <w:start w:val="1"/>
    </w:lvl>
  </w:abstractNum>
  <w:abstractNum w:abstractNumId="15">
    <w:nsid w:val="7FB7E0AA"/>
    <w:multiLevelType w:val="hybridMultilevel"/>
    <w:lvl w:ilvl="0">
      <w:lvlJc w:val="left"/>
      <w:lvlText w:val="o"/>
      <w:numFmt w:val="bullet"/>
      <w:start w:val="1"/>
    </w:lvl>
  </w:abstractNum>
  <w:abstractNum w:abstractNumId="16">
    <w:nsid w:val="6EB5BD4"/>
    <w:multiLevelType w:val="hybridMultilevel"/>
    <w:lvl w:ilvl="0">
      <w:lvlJc w:val="left"/>
      <w:lvlText w:val="o"/>
      <w:numFmt w:val="bullet"/>
      <w:start w:val="1"/>
    </w:lvl>
  </w:abstractNum>
  <w:abstractNum w:abstractNumId="17">
    <w:nsid w:val="6F6DD9AC"/>
    <w:multiLevelType w:val="hybridMultilevel"/>
    <w:lvl w:ilvl="0">
      <w:lvlJc w:val="left"/>
      <w:lvlText w:val="o"/>
      <w:numFmt w:val="bullet"/>
      <w:start w:val="1"/>
    </w:lvl>
  </w:abstractNum>
  <w:abstractNum w:abstractNumId="18">
    <w:nsid w:val="94211F2"/>
    <w:multiLevelType w:val="hybridMultilevel"/>
    <w:lvl w:ilvl="0">
      <w:lvlJc w:val="left"/>
      <w:lvlText w:val="o"/>
      <w:numFmt w:val="bullet"/>
      <w:start w:val="1"/>
    </w:lvl>
  </w:abstractNum>
  <w:abstractNum w:abstractNumId="19">
    <w:nsid w:val="885E1B"/>
    <w:multiLevelType w:val="hybridMultilevel"/>
    <w:lvl w:ilvl="0">
      <w:lvlJc w:val="left"/>
      <w:lvlText w:val="o"/>
      <w:numFmt w:val="bullet"/>
      <w:start w:val="1"/>
    </w:lvl>
  </w:abstractNum>
  <w:abstractNum w:abstractNumId="20">
    <w:nsid w:val="76272110"/>
    <w:multiLevelType w:val="hybridMultilevel"/>
    <w:lvl w:ilvl="0">
      <w:lvlJc w:val="left"/>
      <w:lvlText w:val="o"/>
      <w:numFmt w:val="bullet"/>
      <w:start w:val="1"/>
    </w:lvl>
  </w:abstractNum>
  <w:abstractNum w:abstractNumId="21">
    <w:nsid w:val="4C04A8AF"/>
    <w:multiLevelType w:val="hybridMultilevel"/>
    <w:lvl w:ilvl="0">
      <w:lvlJc w:val="left"/>
      <w:lvlText w:val="%1."/>
      <w:numFmt w:val="upperLetter"/>
      <w:start w:val="3"/>
    </w:lvl>
  </w:abstractNum>
  <w:abstractNum w:abstractNumId="22">
    <w:nsid w:val="1716703B"/>
    <w:multiLevelType w:val="hybridMultilevel"/>
    <w:lvl w:ilvl="0">
      <w:lvlJc w:val="left"/>
      <w:lvlText w:val="%1."/>
      <w:numFmt w:val="upperLetter"/>
      <w:start w:val="4"/>
    </w:lvl>
  </w:abstractNum>
  <w:abstractNum w:abstractNumId="23">
    <w:nsid w:val="14E17E33"/>
    <w:multiLevelType w:val="hybridMultilevel"/>
    <w:lvl w:ilvl="0">
      <w:lvlJc w:val="left"/>
      <w:lvlText w:val="%1."/>
      <w:numFmt w:val="upperLetter"/>
      <w:start w:val="1"/>
    </w:lvl>
  </w:abstractNum>
  <w:abstractNum w:abstractNumId="24">
    <w:nsid w:val="3222E7CD"/>
    <w:multiLevelType w:val="hybridMultilevel"/>
    <w:lvl w:ilvl="0">
      <w:lvlJc w:val="left"/>
      <w:lvlText w:val="(%1)"/>
      <w:numFmt w:val="lowerRoman"/>
      <w:start w:val="2"/>
    </w:lvl>
  </w:abstractNum>
  <w:abstractNum w:abstractNumId="25">
    <w:nsid w:val="74DE0EE3"/>
    <w:multiLevelType w:val="hybridMultilevel"/>
    <w:lvl w:ilvl="0">
      <w:lvlJc w:val="left"/>
      <w:lvlText w:val="%1."/>
      <w:numFmt w:val="upperLetter"/>
      <w:start w:val="2"/>
    </w:lvl>
  </w:abstractNum>
  <w:abstractNum w:abstractNumId="26">
    <w:nsid w:val="68EBC550"/>
    <w:multiLevelType w:val="hybridMultilevel"/>
    <w:lvl w:ilvl="0">
      <w:lvlJc w:val="left"/>
      <w:lvlText w:val="(%1)"/>
      <w:numFmt w:val="decimal"/>
      <w:start w:val="1"/>
    </w:lvl>
  </w:abstractNum>
  <w:abstractNum w:abstractNumId="27">
    <w:nsid w:val="2DF6D648"/>
    <w:multiLevelType w:val="hybridMultilevel"/>
    <w:lvl w:ilvl="0">
      <w:lvlJc w:val="left"/>
      <w:lvlText w:val="(%1)"/>
      <w:numFmt w:val="lowerLetter"/>
      <w:start w:val="2"/>
    </w:lvl>
  </w:abstractNum>
  <w:abstractNum w:abstractNumId="28">
    <w:nsid w:val="46B7D447"/>
    <w:multiLevelType w:val="hybridMultilevel"/>
    <w:lvl w:ilvl="0">
      <w:lvlJc w:val="left"/>
      <w:lvlText w:val="o"/>
      <w:numFmt w:val="bullet"/>
      <w:start w:val="1"/>
    </w:lvl>
  </w:abstractNum>
  <w:abstractNum w:abstractNumId="29">
    <w:nsid w:val="4A2AC315"/>
    <w:multiLevelType w:val="hybridMultilevel"/>
    <w:lvl w:ilvl="0">
      <w:lvlJc w:val="left"/>
      <w:lvlText w:val="o"/>
      <w:numFmt w:val="bullet"/>
      <w:start w:val="1"/>
    </w:lvl>
  </w:abstractNum>
  <w:abstractNum w:abstractNumId="30">
    <w:nsid w:val="39EE015C"/>
    <w:multiLevelType w:val="hybridMultilevel"/>
    <w:lvl w:ilvl="0">
      <w:lvlJc w:val="left"/>
      <w:lvlText w:val="%1."/>
      <w:numFmt w:val="upperLetter"/>
      <w:start w:val="3"/>
    </w:lvl>
  </w:abstractNum>
  <w:abstractNum w:abstractNumId="31">
    <w:nsid w:val="57FC4FBB"/>
    <w:multiLevelType w:val="hybridMultilevel"/>
    <w:lvl w:ilvl="0">
      <w:lvlJc w:val="left"/>
      <w:lvlText w:val="%1."/>
      <w:numFmt w:val="upperLetter"/>
      <w:start w:val="4"/>
    </w:lvl>
  </w:abstractNum>
  <w:abstractNum w:abstractNumId="32">
    <w:nsid w:val="CC1016F"/>
    <w:multiLevelType w:val="hybridMultilevel"/>
    <w:lvl w:ilvl="0">
      <w:lvlJc w:val="left"/>
      <w:lvlText w:val="%1."/>
      <w:numFmt w:val="upperLetter"/>
      <w:start w:val="5"/>
    </w:lvl>
  </w:abstractNum>
  <w:abstractNum w:abstractNumId="33">
    <w:nsid w:val="43F18422"/>
    <w:multiLevelType w:val="hybridMultilevel"/>
    <w:lvl w:ilvl="0">
      <w:lvlJc w:val="left"/>
      <w:lvlText w:val="%1."/>
      <w:numFmt w:val="upperLetter"/>
      <w:start w:val="6"/>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1)"/>
      <w:numFmt w:val="decimal"/>
      <w:start w:val="1"/>
    </w:lvl>
  </w:abstractNum>
  <w:abstractNum w:abstractNumId="37">
    <w:nsid w:val="49DA307D"/>
    <w:multiLevelType w:val="hybridMultilevel"/>
    <w:lvl w:ilvl="0">
      <w:lvlJc w:val="left"/>
      <w:lvlText w:val="&amp;"/>
      <w:numFmt w:val="bullet"/>
      <w:start w:val="1"/>
    </w:lvl>
  </w:abstractNum>
  <w:abstractNum w:abstractNumId="38">
    <w:nsid w:val="7055A5F5"/>
    <w:multiLevelType w:val="hybridMultilevel"/>
    <w:lvl w:ilvl="0">
      <w:lvlJc w:val="left"/>
      <w:lvlText w:val="%1."/>
      <w:numFmt w:val="upperLetter"/>
      <w:start w:val="2"/>
    </w:lvl>
  </w:abstractNum>
  <w:abstractNum w:abstractNumId="39">
    <w:nsid w:val="5FB8370B"/>
    <w:multiLevelType w:val="hybridMultilevel"/>
    <w:lvl w:ilvl="0">
      <w:lvlJc w:val="left"/>
      <w:lvlText w:val="%1."/>
      <w:numFmt w:val="upperLetter"/>
      <w:start w:val="3"/>
    </w:lvl>
  </w:abstractNum>
  <w:abstractNum w:abstractNumId="40">
    <w:nsid w:val="50801EE1"/>
    <w:multiLevelType w:val="hybridMultilevel"/>
    <w:lvl w:ilvl="0">
      <w:lvlJc w:val="left"/>
      <w:lvlText w:val="o"/>
      <w:numFmt w:val="bullet"/>
      <w:start w:val="1"/>
    </w:lvl>
  </w:abstractNum>
  <w:abstractNum w:abstractNumId="41">
    <w:nsid w:val="488AC1A"/>
    <w:multiLevelType w:val="hybridMultilevel"/>
    <w:lvl w:ilvl="0">
      <w:lvlJc w:val="left"/>
      <w:lvlText w:val="%1."/>
      <w:numFmt w:val="upperLetter"/>
      <w:start w:val="4"/>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1."/>
      <w:numFmt w:val="upperLetter"/>
      <w:start w:val="5"/>
    </w:lvl>
  </w:abstractNum>
  <w:abstractNum w:abstractNumId="44">
    <w:nsid w:val="7672BD23"/>
    <w:multiLevelType w:val="hybridMultilevel"/>
    <w:lvl w:ilvl="0">
      <w:lvlJc w:val="left"/>
      <w:lvlText w:val="(%1)"/>
      <w:numFmt w:val="decimal"/>
      <w:start w:val="1"/>
    </w:lvl>
  </w:abstractNum>
  <w:abstractNum w:abstractNumId="45">
    <w:nsid w:val="6FC75AF8"/>
    <w:multiLevelType w:val="hybridMultilevel"/>
    <w:lvl w:ilvl="0">
      <w:lvlJc w:val="left"/>
      <w:lvlText w:val="(%1)"/>
      <w:numFmt w:val="decimal"/>
      <w:start w:val="4"/>
    </w:lvl>
  </w:abstractNum>
  <w:abstractNum w:abstractNumId="46">
    <w:nsid w:val="6A5F7029"/>
    <w:multiLevelType w:val="hybridMultilevel"/>
    <w:lvl w:ilvl="0">
      <w:lvlJc w:val="left"/>
      <w:lvlText w:val="%1."/>
      <w:numFmt w:val="upperLetter"/>
      <w:start w:val="2"/>
    </w:lvl>
  </w:abstractNum>
  <w:abstractNum w:abstractNumId="47">
    <w:nsid w:val="7D5E18F8"/>
    <w:multiLevelType w:val="hybridMultilevel"/>
    <w:lvl w:ilvl="0">
      <w:lvlJc w:val="left"/>
      <w:lvlText w:val="%1."/>
      <w:numFmt w:val="upperLetter"/>
      <w:start w:val="3"/>
    </w:lvl>
  </w:abstractNum>
  <w:abstractNum w:abstractNumId="48">
    <w:nsid w:val="5F3534A4"/>
    <w:multiLevelType w:val="hybridMultilevel"/>
    <w:lvl w:ilvl="0">
      <w:lvlJc w:val="left"/>
      <w:lvlText w:val="%1."/>
      <w:numFmt w:val="upperLetter"/>
      <w:start w:val="1"/>
    </w:lvl>
  </w:abstractNum>
  <w:abstractNum w:abstractNumId="49">
    <w:nsid w:val="73A1821B"/>
    <w:multiLevelType w:val="hybridMultilevel"/>
    <w:lvl w:ilvl="0">
      <w:lvlJc w:val="left"/>
      <w:lvlText w:val="%1."/>
      <w:numFmt w:val="upperLetter"/>
      <w:start w:val="2"/>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o"/>
      <w:numFmt w:val="bullet"/>
      <w:start w:val="1"/>
    </w:lvl>
  </w:abstractNum>
  <w:abstractNum w:abstractNumId="52">
    <w:nsid w:val="3FA62ACA"/>
    <w:multiLevelType w:val="hybridMultilevel"/>
    <w:lvl w:ilvl="0">
      <w:lvlJc w:val="left"/>
      <w:lvlText w:val="%1."/>
      <w:numFmt w:val="decimal"/>
      <w:start w:val="6"/>
    </w:lvl>
  </w:abstractNum>
  <w:abstractNum w:abstractNumId="53">
    <w:nsid w:val="14FCE74E"/>
    <w:multiLevelType w:val="hybridMultilevel"/>
    <w:lvl w:ilvl="0">
      <w:lvlJc w:val="left"/>
      <w:lvlText w:val="o"/>
      <w:numFmt w:val="bullet"/>
      <w:start w:val="1"/>
    </w:lvl>
  </w:abstractNum>
  <w:abstractNum w:abstractNumId="54">
    <w:nsid w:val="6A3DD3E8"/>
    <w:multiLevelType w:val="hybridMultilevel"/>
    <w:lvl w:ilvl="0">
      <w:lvlJc w:val="left"/>
      <w:lvlText w:val="o"/>
      <w:numFmt w:val="bullet"/>
      <w:start w:val="1"/>
    </w:lvl>
  </w:abstractNum>
  <w:abstractNum w:abstractNumId="55">
    <w:nsid w:val="71C91298"/>
    <w:multiLevelType w:val="hybridMultilevel"/>
    <w:lvl w:ilvl="0">
      <w:lvlJc w:val="left"/>
      <w:lvlText w:val="o"/>
      <w:numFmt w:val="bullet"/>
      <w:start w:val="1"/>
    </w:lvl>
  </w:abstractNum>
  <w:abstractNum w:abstractNumId="56">
    <w:nsid w:val="9DAF632"/>
    <w:multiLevelType w:val="hybridMultilevel"/>
    <w:lvl w:ilvl="0">
      <w:lvlJc w:val="left"/>
      <w:lvlText w:val="o"/>
      <w:numFmt w:val="bullet"/>
      <w:start w:val="1"/>
    </w:lvl>
  </w:abstractNum>
  <w:abstractNum w:abstractNumId="57">
    <w:nsid w:val="53299938"/>
    <w:multiLevelType w:val="hybridMultilevel"/>
    <w:lvl w:ilvl="0">
      <w:lvlJc w:val="left"/>
      <w:lvlText w:val="(%1)"/>
      <w:numFmt w:val="decimal"/>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1."/>
      <w:numFmt w:val="upperLetter"/>
      <w:start w:val="1"/>
    </w:lvl>
  </w:abstractNum>
  <w:abstractNum w:abstractNumId="60">
    <w:nsid w:val="1D545C4D"/>
    <w:multiLevelType w:val="hybridMultilevel"/>
    <w:lvl w:ilvl="0">
      <w:lvlJc w:val="left"/>
      <w:lvlText w:val="%1."/>
      <w:numFmt w:val="upperLetter"/>
      <w:start w:val="1"/>
    </w:lvl>
    <w:lvl w:ilvl="1">
      <w:lvlJc w:val="left"/>
      <w:lvlText w:val="(%2)"/>
      <w:numFmt w:val="decimal"/>
      <w:start w:val="1"/>
    </w:lvl>
  </w:abstractNum>
  <w:abstractNum w:abstractNumId="61">
    <w:nsid w:val="59ADEA3D"/>
    <w:multiLevelType w:val="hybridMultilevel"/>
    <w:lvl w:ilvl="0">
      <w:lvlJc w:val="left"/>
      <w:lvlText w:val="%1."/>
      <w:numFmt w:val="upperLetter"/>
      <w:start w:val="6"/>
    </w:lvl>
    <w:lvl w:ilvl="1">
      <w:lvlJc w:val="left"/>
      <w:lvlText w:val="(%2)"/>
      <w:numFmt w:val="decimal"/>
      <w:start w:val="1"/>
    </w:lvl>
  </w:abstractNum>
  <w:abstractNum w:abstractNumId="62">
    <w:nsid w:val="288F1A34"/>
    <w:multiLevelType w:val="hybridMultilevel"/>
    <w:lvl w:ilvl="0">
      <w:lvlJc w:val="left"/>
      <w:lvlText w:val="%1"/>
      <w:numFmt w:val="upperLetter"/>
      <w:start w:val="1"/>
    </w:lvl>
    <w:lvl w:ilvl="1">
      <w:lvlJc w:val="left"/>
      <w:lvlText w:val="(%2)"/>
      <w:numFmt w:val="decimal"/>
      <w:start w:val="2"/>
    </w:lvl>
  </w:abstractNum>
  <w:abstractNum w:abstractNumId="63">
    <w:nsid w:val="2A155DBC"/>
    <w:multiLevelType w:val="hybridMultilevel"/>
    <w:lvl w:ilvl="0">
      <w:lvlJc w:val="left"/>
      <w:lvlText w:val="%1."/>
      <w:numFmt w:val="upperLetter"/>
      <w:start w:val="7"/>
    </w:lvl>
    <w:lvl w:ilvl="1">
      <w:lvlJc w:val="left"/>
      <w:lvlText w:val="%2"/>
      <w:numFmt w:val="decimal"/>
      <w:start w:val="1"/>
    </w:lvl>
  </w:abstractNum>
  <w:abstractNum w:abstractNumId="64">
    <w:nsid w:val="1D9F6E5F"/>
    <w:multiLevelType w:val="hybridMultilevel"/>
    <w:lvl w:ilvl="0">
      <w:lvlJc w:val="left"/>
      <w:lvlText w:val="%1."/>
      <w:numFmt w:val="upperLetter"/>
      <w:start w:val="9"/>
    </w:lvl>
  </w:abstractNum>
  <w:abstractNum w:abstractNumId="65">
    <w:nsid w:val="97E1B4E"/>
    <w:multiLevelType w:val="hybridMultilevel"/>
    <w:lvl w:ilvl="0">
      <w:lvlJc w:val="left"/>
      <w:lvlText w:val="%1."/>
      <w:numFmt w:val="upperLetter"/>
      <w:start w:val="13"/>
    </w:lvl>
  </w:abstractNum>
  <w:abstractNum w:abstractNumId="66">
    <w:nsid w:val="51088277"/>
    <w:multiLevelType w:val="hybridMultilevel"/>
    <w:lvl w:ilvl="0">
      <w:lvlJc w:val="left"/>
      <w:lvlText w:val="%1."/>
      <w:numFmt w:val="upperLetter"/>
      <w:start w:val="16"/>
    </w:lvl>
    <w:lvl w:ilvl="1">
      <w:lvlJc w:val="left"/>
      <w:lvlText w:val="(%2)"/>
      <w:numFmt w:val="decimal"/>
      <w:start w:val="1"/>
    </w:lvl>
  </w:abstractNum>
  <w:abstractNum w:abstractNumId="67">
    <w:nsid w:val="1CA0C5FA"/>
    <w:multiLevelType w:val="hybridMultilevel"/>
    <w:lvl w:ilvl="0">
      <w:lvlJc w:val="left"/>
      <w:lvlText w:val="%1."/>
      <w:numFmt w:val="upperLetter"/>
      <w:start w:val="17"/>
    </w:lvl>
    <w:lvl w:ilvl="1">
      <w:lvlJc w:val="left"/>
      <w:lvlText w:val="(%2)"/>
      <w:numFmt w:val="decimal"/>
      <w:start w:val="2"/>
    </w:lvl>
  </w:abstractNum>
  <w:abstractNum w:abstractNumId="68">
    <w:nsid w:val="53584BCB"/>
    <w:multiLevelType w:val="hybridMultilevel"/>
    <w:lvl w:ilvl="0">
      <w:lvlJc w:val="left"/>
      <w:lvlText w:val="%1."/>
      <w:numFmt w:val="upperLetter"/>
      <w:start w:val="18"/>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1"/>
      <w:numFmt w:val="upperLetter"/>
      <w:start w:val="1"/>
    </w:lvl>
    <w:lvl w:ilvl="1">
      <w:lvlJc w:val="left"/>
      <w:lvlText w:val="(%2)"/>
      <w:numFmt w:val="decimal"/>
      <w:start w:val="1"/>
    </w:lvl>
  </w:abstractNum>
  <w:abstractNum w:abstractNumId="71">
    <w:nsid w:val="23D86AAC"/>
    <w:multiLevelType w:val="hybridMultilevel"/>
    <w:lvl w:ilvl="0">
      <w:lvlJc w:val="left"/>
      <w:lvlText w:val="%1."/>
      <w:numFmt w:val="upperLetter"/>
      <w:start w:val="2"/>
    </w:lvl>
    <w:lvl w:ilvl="1">
      <w:lvlJc w:val="left"/>
      <w:lvlText w:val="%2"/>
      <w:numFmt w:val="decimal"/>
      <w:start w:val="1"/>
    </w:lvl>
  </w:abstractNum>
  <w:abstractNum w:abstractNumId="72">
    <w:nsid w:val="45E6D486"/>
    <w:multiLevelType w:val="hybridMultilevel"/>
    <w:lvl w:ilvl="0">
      <w:lvlJc w:val="left"/>
      <w:lvlText w:val="%1."/>
      <w:numFmt w:val="upperLetter"/>
      <w:start w:val="2"/>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1."/>
      <w:numFmt w:val="upperLetter"/>
      <w:start w:val="1"/>
    </w:lvl>
  </w:abstractNum>
  <w:abstractNum w:abstractNumId="75">
    <w:nsid w:val="3C5991AA"/>
    <w:multiLevelType w:val="hybridMultilevel"/>
    <w:lvl w:ilvl="0">
      <w:lvlJc w:val="left"/>
      <w:lvlText w:val="%1."/>
      <w:numFmt w:val="upperLetter"/>
      <w:start w:val="2"/>
    </w:lvl>
  </w:abstractNum>
  <w:abstractNum w:abstractNumId="76">
    <w:nsid w:val="4BD8591A"/>
    <w:multiLevelType w:val="hybridMultilevel"/>
    <w:lvl w:ilvl="0">
      <w:lvlJc w:val="left"/>
      <w:lvlText w:val="%1."/>
      <w:numFmt w:val="upperLetter"/>
      <w:start w:val="4"/>
    </w:lvl>
    <w:lvl w:ilvl="1">
      <w:lvlJc w:val="left"/>
      <w:lvlText w:val="$"/>
      <w:numFmt w:val="bullet"/>
      <w:start w:val="1"/>
    </w:lvl>
  </w:abstractNum>
  <w:abstractNum w:abstractNumId="77">
    <w:nsid w:val="78DF6A55"/>
    <w:multiLevelType w:val="hybridMultilevel"/>
    <w:lvl w:ilvl="0">
      <w:lvlJc w:val="left"/>
      <w:lvlText w:val="%1."/>
      <w:numFmt w:val="upperLetter"/>
      <w:start w:val="2"/>
    </w:lvl>
  </w:abstractNum>
  <w:abstractNum w:abstractNumId="78">
    <w:nsid w:val="39B7AAA2"/>
    <w:multiLevelType w:val="hybridMultilevel"/>
    <w:lvl w:ilvl="0">
      <w:lvlJc w:val="left"/>
      <w:lvlText w:val="%1."/>
      <w:numFmt w:val="upperLetter"/>
      <w:start w:val="1"/>
    </w:lvl>
    <w:lvl w:ilvl="1">
      <w:lvlJc w:val="left"/>
      <w:lvlText w:val="(%2)"/>
      <w:numFmt w:val="decimal"/>
      <w:start w:val="1"/>
    </w:lvl>
  </w:abstractNum>
  <w:abstractNum w:abstractNumId="79">
    <w:nsid w:val="2B0D8DBE"/>
    <w:multiLevelType w:val="hybridMultilevel"/>
    <w:lvl w:ilvl="0">
      <w:lvlJc w:val="left"/>
      <w:lvlText w:val="%1."/>
      <w:numFmt w:val="upperLetter"/>
      <w:start w:val="1"/>
    </w:lvl>
    <w:lvl w:ilvl="1">
      <w:lvlJc w:val="left"/>
      <w:lvlText w:val="(%2)"/>
      <w:numFmt w:val="decimal"/>
      <w:start w:val="1"/>
    </w:lvl>
  </w:abstractNum>
  <w:abstractNum w:abstractNumId="80">
    <w:nsid w:val="6C80EC70"/>
    <w:multiLevelType w:val="hybridMultilevel"/>
    <w:lvl w:ilvl="0">
      <w:lvlJc w:val="left"/>
      <w:lvlText w:val="%1."/>
      <w:numFmt w:val="upperLetter"/>
      <w:start w:val="1"/>
    </w:lvl>
    <w:lvl w:ilvl="1">
      <w:lvlJc w:val="left"/>
      <w:lvlText w:val="(%2)"/>
      <w:numFmt w:val="decimal"/>
      <w:start w:val="2"/>
    </w:lvl>
  </w:abstractNum>
  <w:abstractNum w:abstractNumId="81">
    <w:nsid w:val="379E21B5"/>
    <w:multiLevelType w:val="hybridMultilevel"/>
    <w:lvl w:ilvl="0">
      <w:lvlJc w:val="left"/>
      <w:lvlText w:val="%1."/>
      <w:numFmt w:val="upperLetter"/>
      <w:start w:val="1"/>
    </w:lvl>
    <w:lvl w:ilvl="1">
      <w:lvlJc w:val="left"/>
      <w:lvlText w:val="(%2)"/>
      <w:numFmt w:val="decimal"/>
      <w:start w:val="4"/>
    </w:lvl>
  </w:abstractNum>
  <w:abstractNum w:abstractNumId="82">
    <w:nsid w:val="69E373"/>
    <w:multiLevelType w:val="hybridMultilevel"/>
    <w:lvl w:ilvl="0">
      <w:lvlJc w:val="left"/>
      <w:lvlText w:val="%1."/>
      <w:numFmt w:val="upperLetter"/>
      <w:start w:val="1"/>
    </w:lvl>
    <w:lvl w:ilvl="1">
      <w:lvlJc w:val="left"/>
      <w:lvlText w:val="(%2)"/>
      <w:numFmt w:val="decimal"/>
      <w:start w:val="5"/>
    </w:lvl>
  </w:abstractNum>
  <w:abstractNum w:abstractNumId="83">
    <w:nsid w:val="2C27173B"/>
    <w:multiLevelType w:val="hybridMultilevel"/>
    <w:lvl w:ilvl="0">
      <w:lvlJc w:val="left"/>
      <w:lvlText w:val="%1."/>
      <w:numFmt w:val="upperLetter"/>
      <w:start w:val="1"/>
    </w:lvl>
    <w:lvl w:ilvl="1">
      <w:lvlJc w:val="left"/>
      <w:lvlText w:val="(%2)"/>
      <w:numFmt w:val="decimal"/>
      <w:start w:val="6"/>
    </w:lvl>
  </w:abstractNum>
  <w:abstractNum w:abstractNumId="84">
    <w:nsid w:val="4C9B0904"/>
    <w:multiLevelType w:val="hybridMultilevel"/>
    <w:lvl w:ilvl="0">
      <w:lvlJc w:val="left"/>
      <w:lvlText w:val="%1."/>
      <w:numFmt w:val="upperLetter"/>
      <w:start w:val="1"/>
    </w:lvl>
    <w:lvl w:ilvl="1">
      <w:lvlJc w:val="left"/>
      <w:lvlText w:val="(%2)"/>
      <w:numFmt w:val="decimal"/>
      <w:start w:val="6"/>
    </w:lvl>
  </w:abstractNum>
  <w:abstractNum w:abstractNumId="85">
    <w:nsid w:val="6AA7B75C"/>
    <w:multiLevelType w:val="hybridMultilevel"/>
    <w:lvl w:ilvl="0">
      <w:lvlJc w:val="left"/>
      <w:lvlText w:val="%1."/>
      <w:numFmt w:val="upperLetter"/>
      <w:start w:val="1"/>
    </w:lvl>
    <w:lvl w:ilvl="1">
      <w:lvlJc w:val="left"/>
      <w:lvlText w:val="(%2)"/>
      <w:numFmt w:val="decimal"/>
      <w:start w:val="6"/>
    </w:lvl>
  </w:abstractNum>
  <w:abstractNum w:abstractNumId="86">
    <w:nsid w:val="1DF029D3"/>
    <w:multiLevelType w:val="hybridMultilevel"/>
    <w:lvl w:ilvl="0">
      <w:lvlJc w:val="left"/>
      <w:lvlText w:val="%1."/>
      <w:numFmt w:val="upperLetter"/>
      <w:start w:val="1"/>
    </w:lvl>
    <w:lvl w:ilvl="1">
      <w:lvlJc w:val="left"/>
      <w:lvlText w:val="(%2)"/>
      <w:numFmt w:val="decimal"/>
      <w:start w:val="8"/>
    </w:lvl>
  </w:abstractNum>
  <w:abstractNum w:abstractNumId="87">
    <w:nsid w:val="5675FF36"/>
    <w:multiLevelType w:val="hybridMultilevel"/>
    <w:lvl w:ilvl="0">
      <w:lvlJc w:val="left"/>
      <w:lvlText w:val="%1"/>
      <w:numFmt w:val="upperLetter"/>
      <w:start w:val="1"/>
    </w:lvl>
    <w:lvl w:ilvl="1">
      <w:lvlJc w:val="left"/>
      <w:lvlText w:val="(%2)"/>
      <w:numFmt w:val="decimal"/>
      <w:start w:val="1"/>
    </w:lvl>
  </w:abstractNum>
  <w:abstractNum w:abstractNumId="88">
    <w:nsid w:val="3DD15094"/>
    <w:multiLevelType w:val="hybridMultilevel"/>
    <w:lvl w:ilvl="0">
      <w:lvlJc w:val="left"/>
      <w:lvlText w:val="%1."/>
      <w:numFmt w:val="upperLetter"/>
      <w:start w:val="2"/>
    </w:lvl>
    <w:lvl w:ilvl="1">
      <w:lvlJc w:val="left"/>
      <w:lvlText w:val="(%2)"/>
      <w:numFmt w:val="decimal"/>
      <w:start w:val="3"/>
    </w:lvl>
  </w:abstractNum>
  <w:abstractNum w:abstractNumId="89">
    <w:nsid w:val="3DB012B3"/>
    <w:multiLevelType w:val="hybridMultilevel"/>
    <w:lvl w:ilvl="0">
      <w:lvlJc w:val="left"/>
      <w:lvlText w:val="%1"/>
      <w:numFmt w:val="upperLetter"/>
      <w:start w:val="1"/>
    </w:lvl>
    <w:lvl w:ilvl="1">
      <w:lvlJc w:val="left"/>
      <w:lvlText w:val="(%2)"/>
      <w:numFmt w:val="decimal"/>
      <w:start w:val="1"/>
    </w:lvl>
  </w:abstractNum>
  <w:abstractNum w:abstractNumId="90">
    <w:nsid w:val="2708C9AF"/>
    <w:multiLevelType w:val="hybridMultilevel"/>
    <w:lvl w:ilvl="0">
      <w:lvlJc w:val="left"/>
      <w:lvlText w:val="%1."/>
      <w:numFmt w:val="upperLetter"/>
      <w:start w:val="4"/>
    </w:lvl>
    <w:lvl w:ilvl="1">
      <w:lvlJc w:val="left"/>
      <w:lvlText w:val="%2"/>
      <w:numFmt w:val="decimal"/>
      <w:start w:val="1"/>
    </w:lvl>
  </w:abstractNum>
  <w:abstractNum w:abstractNumId="91">
    <w:nsid w:val="5B25ACE2"/>
    <w:multiLevelType w:val="hybridMultilevel"/>
    <w:lvl w:ilvl="0">
      <w:lvlJc w:val="left"/>
      <w:lvlText w:val="%1."/>
      <w:numFmt w:val="upperLetter"/>
      <w:start w:val="6"/>
    </w:lvl>
    <w:lvl w:ilvl="1">
      <w:lvlJc w:val="left"/>
      <w:lvlText w:val="(%2)"/>
      <w:numFmt w:val="decimal"/>
      <w:start w:val="1"/>
    </w:lvl>
  </w:abstractNum>
  <w:abstractNum w:abstractNumId="92">
    <w:nsid w:val="175DFCF0"/>
    <w:multiLevelType w:val="hybridMultilevel"/>
    <w:lvl w:ilvl="0">
      <w:lvlJc w:val="left"/>
      <w:lvlText w:val="%1."/>
      <w:numFmt w:val="upperLetter"/>
      <w:start w:val="8"/>
    </w:lvl>
  </w:abstractNum>
  <w:abstractNum w:abstractNumId="93">
    <w:nsid w:val="4F97E3E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94">
    <w:nsid w:val="53B0A9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abstractNum>
  <w:abstractNum w:abstractNumId="95">
    <w:nsid w:val="34FD6B4F"/>
    <w:multiLevelType w:val="hybridMultilevel"/>
    <w:lvl w:ilvl="0">
      <w:lvlJc w:val="left"/>
      <w:lvlText w:val="%1."/>
      <w:numFmt w:val="upperLetter"/>
      <w:start w:val="2"/>
    </w:lvl>
    <w:lvl w:ilvl="1">
      <w:lvlJc w:val="left"/>
      <w:lvlText w:val="(%2)"/>
      <w:numFmt w:val="decimal"/>
      <w:start w:val="2"/>
    </w:lvl>
  </w:abstractNum>
  <w:abstractNum w:abstractNumId="96">
    <w:nsid w:val="5915FF32"/>
    <w:multiLevelType w:val="hybridMultilevel"/>
    <w:lvl w:ilvl="0">
      <w:lvlJc w:val="left"/>
      <w:lvlText w:val="(%1)"/>
      <w:numFmt w:val="decimal"/>
      <w:start w:val="3"/>
    </w:lvl>
  </w:abstractNum>
  <w:abstractNum w:abstractNumId="97">
    <w:nsid w:val="56438D15"/>
    <w:multiLevelType w:val="hybridMultilevel"/>
    <w:lvl w:ilvl="0">
      <w:lvlJc w:val="left"/>
      <w:lvlText w:val="%1."/>
      <w:numFmt w:val="upperLetter"/>
      <w:start w:val="2"/>
    </w:lvl>
    <w:lvl w:ilvl="1">
      <w:lvlJc w:val="left"/>
      <w:lvlText w:val="(%2)"/>
      <w:numFmt w:val="decimal"/>
      <w:start w:val="4"/>
    </w:lvl>
  </w:abstractNum>
  <w:abstractNum w:abstractNumId="98">
    <w:nsid w:val="519E3149"/>
    <w:multiLevelType w:val="hybridMultilevel"/>
    <w:lvl w:ilvl="0">
      <w:lvlJc w:val="left"/>
      <w:lvlText w:val="(%1)"/>
      <w:numFmt w:val="decimal"/>
      <w:start w:val="5"/>
    </w:lvl>
    <w:lvl w:ilvl="1">
      <w:lvlJc w:val="left"/>
      <w:lvlText w:val="(%2)"/>
      <w:numFmt w:val="lowerLetter"/>
      <w:start w:val="1"/>
    </w:lvl>
  </w:abstractNum>
  <w:abstractNum w:abstractNumId="99">
    <w:nsid w:val="2C6E4AFD"/>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abstractNum>
  <w:abstractNum w:abstractNumId="100">
    <w:nsid w:val="17A1B582"/>
    <w:multiLevelType w:val="hybridMultilevel"/>
    <w:lvl w:ilvl="0">
      <w:lvlJc w:val="left"/>
      <w:lvlText w:val="%1."/>
      <w:numFmt w:val="upperLetter"/>
      <w:start w:val="2"/>
    </w:lvl>
    <w:lvl w:ilvl="1">
      <w:lvlJc w:val="left"/>
      <w:lvlText w:val="(%2)"/>
      <w:numFmt w:val="decimal"/>
      <w:start w:val="6"/>
    </w:lvl>
  </w:abstractNum>
  <w:abstractNum w:abstractNumId="101">
    <w:nsid w:val="4DF72E4E"/>
    <w:multiLevelType w:val="hybridMultilevel"/>
    <w:lvl w:ilvl="0">
      <w:lvlJc w:val="left"/>
      <w:lvlText w:val="%1."/>
      <w:numFmt w:val="upperLetter"/>
      <w:start w:val="3"/>
    </w:lvl>
  </w:abstractNum>
  <w:abstractNum w:abstractNumId="102">
    <w:nsid w:val="5046B5A9"/>
    <w:multiLevelType w:val="hybridMultilevel"/>
    <w:lvl w:ilvl="0">
      <w:lvlJc w:val="left"/>
      <w:lvlText w:val="%1."/>
      <w:numFmt w:val="upperLetter"/>
      <w:start w:val="5"/>
    </w:lvl>
  </w:abstractNum>
  <w:abstractNum w:abstractNumId="103">
    <w:nsid w:val="5D888A08"/>
    <w:multiLevelType w:val="hybridMultilevel"/>
    <w:lvl w:ilvl="0">
      <w:lvlJc w:val="left"/>
      <w:lvlText w:val="%1."/>
      <w:numFmt w:val="upperLetter"/>
      <w:start w:val="1"/>
    </w:lvl>
  </w:abstractNum>
  <w:abstractNum w:abstractNumId="104">
    <w:nsid w:val="2A082C70"/>
    <w:multiLevelType w:val="hybridMultilevel"/>
    <w:lvl w:ilvl="0">
      <w:lvlJc w:val="left"/>
      <w:lvlText w:val="%1."/>
      <w:numFmt w:val="upperLetter"/>
      <w:start w:val="2"/>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1."/>
      <w:numFmt w:val="upperLetter"/>
      <w:start w:val="1"/>
    </w:lvl>
  </w:abstractNum>
  <w:abstractNum w:abstractNumId="107">
    <w:nsid w:val="75E0858A"/>
    <w:multiLevelType w:val="hybridMultilevel"/>
    <w:lvl w:ilvl="0">
      <w:lvlJc w:val="left"/>
      <w:lvlText w:val="%1."/>
      <w:numFmt w:val="upperLetter"/>
      <w:start w:val="3"/>
    </w:lvl>
  </w:abstractNum>
  <w:abstractNum w:abstractNumId="108">
    <w:nsid w:val="57A61A29"/>
    <w:multiLevelType w:val="hybridMultilevel"/>
    <w:lvl w:ilvl="0">
      <w:lvlJc w:val="left"/>
      <w:lvlText w:val="%1."/>
      <w:numFmt w:val="upperLetter"/>
      <w:start w:val="4"/>
    </w:lvl>
  </w:abstractNum>
  <w:abstractNum w:abstractNumId="109">
    <w:nsid w:val="5399C654"/>
    <w:multiLevelType w:val="hybridMultilevel"/>
    <w:lvl w:ilvl="0">
      <w:lvlJc w:val="left"/>
      <w:lvlText w:val="%1."/>
      <w:numFmt w:val="upperLetter"/>
      <w:start w:val="1"/>
    </w:lvl>
  </w:abstractNum>
  <w:abstractNum w:abstractNumId="110">
    <w:nsid w:val="20EE1348"/>
    <w:multiLevelType w:val="hybridMultilevel"/>
    <w:lvl w:ilvl="0">
      <w:lvlJc w:val="left"/>
      <w:lvlText w:val="%1."/>
      <w:numFmt w:val="upperLetter"/>
      <w:start w:val="1"/>
    </w:lvl>
    <w:lvl w:ilvl="1">
      <w:lvlJc w:val="left"/>
      <w:lvlText w:val="(%2)"/>
      <w:numFmt w:val="decimal"/>
      <w:start w:val="1"/>
    </w:lvl>
  </w:abstractNum>
  <w:abstractNum w:abstractNumId="111">
    <w:nsid w:val="4427069A"/>
    <w:multiLevelType w:val="hybridMultilevel"/>
    <w:lvl w:ilvl="0">
      <w:lvlJc w:val="left"/>
      <w:lvlText w:val="%1."/>
      <w:numFmt w:val="upperLetter"/>
      <w:start w:val="3"/>
    </w:lvl>
  </w:abstractNum>
  <w:abstractNum w:abstractNumId="112">
    <w:nsid w:val="B37E80A"/>
    <w:multiLevelType w:val="hybridMultilevel"/>
    <w:lvl w:ilvl="0">
      <w:lvlJc w:val="left"/>
      <w:lvlText w:val="%1."/>
      <w:numFmt w:val="upperLetter"/>
      <w:start w:val="1"/>
    </w:lvl>
  </w:abstractNum>
  <w:abstractNum w:abstractNumId="113">
    <w:nsid w:val="2157F6BC"/>
    <w:multiLevelType w:val="hybridMultilevel"/>
    <w:lvl w:ilvl="0">
      <w:lvlJc w:val="left"/>
      <w:lvlText w:val="%1."/>
      <w:numFmt w:val="upperLetter"/>
      <w:start w:val="3"/>
    </w:lvl>
    <w:lvl w:ilvl="1">
      <w:lvlJc w:val="left"/>
      <w:lvlText w:val="(%2)"/>
      <w:numFmt w:val="decimal"/>
      <w:start w:val="1"/>
    </w:lvl>
  </w:abstractNum>
  <w:abstractNum w:abstractNumId="114">
    <w:nsid w:val="704E1DD5"/>
    <w:multiLevelType w:val="hybridMultilevel"/>
    <w:lvl w:ilvl="0">
      <w:lvlJc w:val="left"/>
      <w:lvlText w:val="%1."/>
      <w:numFmt w:val="upperLetter"/>
      <w:start w:val="3"/>
    </w:lvl>
    <w:lvl w:ilvl="1">
      <w:lvlJc w:val="left"/>
      <w:lvlText w:val="(%2)"/>
      <w:numFmt w:val="decimal"/>
      <w:start w:val="4"/>
    </w:lvl>
  </w:abstractNum>
  <w:abstractNum w:abstractNumId="115">
    <w:nsid w:val="57D2F10E"/>
    <w:multiLevelType w:val="hybridMultilevel"/>
    <w:lvl w:ilvl="0">
      <w:lvlJc w:val="left"/>
      <w:lvlText w:val="%1."/>
      <w:numFmt w:val="upperLetter"/>
      <w:start w:val="5"/>
    </w:lvl>
  </w:abstractNum>
  <w:abstractNum w:abstractNumId="116">
    <w:nsid w:val="BFFAE18"/>
    <w:multiLevelType w:val="hybridMultilevel"/>
    <w:lvl w:ilvl="0">
      <w:lvlJc w:val="left"/>
      <w:lvlText w:val="%1."/>
      <w:numFmt w:val="upperLetter"/>
      <w:start w:val="8"/>
    </w:lvl>
  </w:abstractNum>
  <w:abstractNum w:abstractNumId="117">
    <w:nsid w:val="E3E47A8"/>
    <w:multiLevelType w:val="hybridMultilevel"/>
    <w:lvl w:ilvl="0">
      <w:lvlJc w:val="left"/>
      <w:lvlText w:val="%1."/>
      <w:numFmt w:val="upperLetter"/>
      <w:start w:val="10"/>
    </w:lvl>
  </w:abstractNum>
  <w:abstractNum w:abstractNumId="118">
    <w:nsid w:val="2E48F044"/>
    <w:multiLevelType w:val="hybridMultilevel"/>
    <w:lvl w:ilvl="0">
      <w:lvlJc w:val="left"/>
      <w:lvlText w:val="%1."/>
      <w:numFmt w:val="upperLetter"/>
      <w:start w:val="10"/>
    </w:lvl>
  </w:abstractNum>
  <w:abstractNum w:abstractNumId="119">
    <w:nsid w:val="49D0FEAC"/>
    <w:multiLevelType w:val="hybridMultilevel"/>
    <w:lvl w:ilvl="0">
      <w:lvlJc w:val="left"/>
      <w:lvlText w:val="%1."/>
      <w:numFmt w:val="upperLetter"/>
      <w:start w:val="10"/>
    </w:lvl>
  </w:abstractNum>
  <w:abstractNum w:abstractNumId="120">
    <w:nsid w:val="4BEE5A5B"/>
    <w:multiLevelType w:val="hybridMultilevel"/>
    <w:lvl w:ilvl="0">
      <w:lvlJc w:val="left"/>
      <w:lvlText w:val="%1."/>
      <w:numFmt w:val="upperLetter"/>
      <w:start w:val="1"/>
    </w:lvl>
  </w:abstractNum>
  <w:abstractNum w:abstractNumId="121">
    <w:nsid w:val="5551B9F3"/>
    <w:multiLevelType w:val="hybridMultilevel"/>
    <w:lvl w:ilvl="0">
      <w:lvlJc w:val="left"/>
      <w:lvlText w:val="****"/>
      <w:numFmt w:val="bullet"/>
      <w:start w:val="1"/>
    </w:lvl>
  </w:abstractNum>
  <w:abstractNum w:abstractNumId="122">
    <w:nsid w:val="24F6AB8E"/>
    <w:multiLevelType w:val="hybridMultilevel"/>
    <w:lvl w:ilvl="0">
      <w:lvlJc w:val="left"/>
      <w:lvlText w:val="(%1)"/>
      <w:numFmt w:val="decimal"/>
      <w:start w:val="30"/>
    </w:lvl>
  </w:abstractNum>
  <w:abstractNum w:abstractNumId="123">
    <w:nsid w:val="634C574C"/>
    <w:multiLevelType w:val="hybridMultilevel"/>
    <w:lvl w:ilvl="0">
      <w:lvlJc w:val="left"/>
      <w:lvlText w:val="(%1)"/>
      <w:numFmt w:val="lowerRoman"/>
      <w:start w:val="1"/>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lowerLetter"/>
      <w:start w:val="2"/>
    </w:lvl>
  </w:abstractNum>
  <w:abstractNum w:abstractNumId="126">
    <w:nsid w:val="1849C29B"/>
    <w:multiLevelType w:val="hybridMultilevel"/>
    <w:lvl w:ilvl="0">
      <w:lvlJc w:val="left"/>
      <w:lvlText w:val="(%1)"/>
      <w:numFmt w:val="decimal"/>
      <w:start w:val="1"/>
    </w:lvl>
  </w:abstractNum>
  <w:abstractNum w:abstractNumId="127">
    <w:nsid w:val="7DFF9D09"/>
    <w:multiLevelType w:val="hybridMultilevel"/>
    <w:lvl w:ilvl="0">
      <w:lvlJc w:val="left"/>
      <w:lvlText w:val="(%1)"/>
      <w:numFmt w:val="lowerLetter"/>
      <w:start w:val="1"/>
    </w:lvl>
    <w:lvl w:ilvl="1">
      <w:lvlJc w:val="left"/>
      <w:lvlText w:val="(%2)"/>
      <w:numFmt w:val="lowerRoman"/>
      <w:start w:val="1"/>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1)"/>
      <w:numFmt w:val="lowerLetter"/>
      <w:start w:val="1"/>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Letter"/>
      <w:start w:val="2"/>
    </w:lvl>
  </w:abstractNum>
  <w:abstractNum w:abstractNumId="132">
    <w:nsid w:val="37DF2233"/>
    <w:multiLevelType w:val="hybridMultilevel"/>
    <w:lvl w:ilvl="0">
      <w:lvlJc w:val="left"/>
      <w:lvlText w:val="(%1)"/>
      <w:numFmt w:val="lowerLetter"/>
      <w:start w:val="1"/>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lowerLetter"/>
      <w:start w:val="2"/>
    </w:lvl>
  </w:abstractNum>
  <w:abstractNum w:abstractNumId="138">
    <w:nsid w:val="57C7D42D"/>
    <w:multiLevelType w:val="hybridMultilevel"/>
    <w:lvl w:ilvl="0">
      <w:lvlJc w:val="left"/>
      <w:lvlText w:val="%1."/>
      <w:numFmt w:val="decimal"/>
      <w:start w:val="1"/>
    </w:lvl>
  </w:abstractNum>
  <w:abstractNum w:abstractNumId="139">
    <w:nsid w:val="312167AD"/>
    <w:multiLevelType w:val="hybridMultilevel"/>
    <w:lvl w:ilvl="0">
      <w:lvlJc w:val="left"/>
      <w:lvlText w:val="%1."/>
      <w:numFmt w:val="decimal"/>
      <w:start w:val="1"/>
    </w:lvl>
  </w:abstractNum>
  <w:abstractNum w:abstractNumId="140">
    <w:nsid w:val="631B64D4"/>
    <w:multiLevelType w:val="hybridMultilevel"/>
    <w:lvl w:ilvl="0">
      <w:lvlJc w:val="left"/>
      <w:lvlText w:val="o"/>
      <w:numFmt w:val="bullet"/>
      <w:start w:val="1"/>
    </w:lvl>
  </w:abstractNum>
  <w:abstractNum w:abstractNumId="141">
    <w:nsid w:val="78B5E776"/>
    <w:multiLevelType w:val="hybridMultilevel"/>
    <w:lvl w:ilvl="0">
      <w:lvlJc w:val="left"/>
      <w:lvlText w:val="o"/>
      <w:numFmt w:val="bullet"/>
      <w:start w:val="1"/>
    </w:lvl>
  </w:abstractNum>
  <w:abstractNum w:abstractNumId="142">
    <w:nsid w:val="75486E47"/>
    <w:multiLevelType w:val="hybridMultilevel"/>
    <w:lvl w:ilvl="0">
      <w:lvlJc w:val="left"/>
      <w:lvlText w:val="%1."/>
      <w:numFmt w:val="decimal"/>
      <w:start w:val="2"/>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decimal"/>
      <w:start w:val="5"/>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decimal"/>
      <w:start w:val="2"/>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decimal"/>
      <w:start w:val="5"/>
    </w:lvl>
  </w:abstractNum>
  <w:abstractNum w:abstractNumId="149">
    <w:nsid w:val="746F2E30"/>
    <w:multiLevelType w:val="hybridMultilevel"/>
    <w:lvl w:ilvl="0">
      <w:lvlJc w:val="left"/>
      <w:lvlText w:val="%1)"/>
      <w:numFmt w:val="lowerLetter"/>
      <w:start w:val="1"/>
    </w:lvl>
  </w:abstractNum>
  <w:abstractNum w:abstractNumId="150">
    <w:nsid w:val="6FDE8AF6"/>
    <w:multiLevelType w:val="hybridMultilevel"/>
    <w:lvl w:ilvl="0">
      <w:lvlJc w:val="left"/>
      <w:lvlText w:val="-"/>
      <w:numFmt w:val="bullet"/>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2019-12-14T04:23:10Z</dcterms:created>
  <dcterms:modified xsi:type="dcterms:W3CDTF">2019-12-14T04:23:10Z</dcterms:modified>
</cp:coreProperties>
</file>