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Specialized Disclosure Report</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4760" w:type="dxa"/>
            <w:vAlign w:val="bottom"/>
          </w:tcPr>
          <w:p>
            <w:pPr>
              <w:jc w:val="center"/>
              <w:ind w:right="150"/>
              <w:spacing w:after="0"/>
              <w:rPr>
                <w:sz w:val="20"/>
                <w:szCs w:val="20"/>
                <w:color w:val="auto"/>
              </w:rPr>
            </w:pPr>
            <w:r>
              <w:rPr>
                <w:rFonts w:ascii="Arial" w:cs="Arial" w:eastAsia="Arial" w:hAnsi="Arial"/>
                <w:sz w:val="18"/>
                <w:szCs w:val="18"/>
                <w:color w:val="auto"/>
                <w:w w:val="90"/>
              </w:rPr>
              <w:t>(Exact name of registrant as specified in its charter)</w:t>
            </w:r>
          </w:p>
        </w:tc>
        <w:tc>
          <w:tcPr>
            <w:tcW w:w="3200" w:type="dxa"/>
            <w:vAlign w:val="bottom"/>
          </w:tcPr>
          <w:p>
            <w:pPr>
              <w:spacing w:after="0"/>
              <w:rPr>
                <w:sz w:val="20"/>
                <w:szCs w:val="20"/>
                <w:color w:val="auto"/>
              </w:rPr>
            </w:pPr>
          </w:p>
        </w:tc>
      </w:tr>
      <w:tr>
        <w:trPr>
          <w:trHeight w:val="439"/>
        </w:trPr>
        <w:tc>
          <w:tcPr>
            <w:tcW w:w="34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9"/>
              </w:rPr>
              <w:t>ISRAEL</w:t>
            </w:r>
          </w:p>
        </w:tc>
        <w:tc>
          <w:tcPr>
            <w:tcW w:w="47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000-24790</w:t>
            </w:r>
          </w:p>
        </w:tc>
        <w:tc>
          <w:tcPr>
            <w:tcW w:w="320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rPr>
              <w:t>N/A</w:t>
            </w:r>
          </w:p>
        </w:tc>
      </w:tr>
      <w:tr>
        <w:trPr>
          <w:trHeight w:val="202"/>
        </w:trPr>
        <w:tc>
          <w:tcPr>
            <w:tcW w:w="3460" w:type="dxa"/>
            <w:vAlign w:val="bottom"/>
          </w:tcPr>
          <w:p>
            <w:pPr>
              <w:jc w:val="center"/>
              <w:ind w:left="230"/>
              <w:spacing w:after="0" w:line="201" w:lineRule="exact"/>
              <w:rPr>
                <w:sz w:val="20"/>
                <w:szCs w:val="20"/>
                <w:color w:val="auto"/>
              </w:rPr>
            </w:pPr>
            <w:r>
              <w:rPr>
                <w:rFonts w:ascii="Arial" w:cs="Arial" w:eastAsia="Arial" w:hAnsi="Arial"/>
                <w:sz w:val="18"/>
                <w:szCs w:val="18"/>
                <w:color w:val="auto"/>
                <w:w w:val="92"/>
              </w:rPr>
              <w:t>(State or other jurisdiction</w:t>
            </w:r>
          </w:p>
        </w:tc>
        <w:tc>
          <w:tcPr>
            <w:tcW w:w="476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1"/>
              </w:rPr>
              <w:t>(Commission</w:t>
            </w:r>
          </w:p>
        </w:tc>
        <w:tc>
          <w:tcPr>
            <w:tcW w:w="3200" w:type="dxa"/>
            <w:vAlign w:val="bottom"/>
          </w:tcPr>
          <w:p>
            <w:pPr>
              <w:jc w:val="center"/>
              <w:ind w:right="4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460" w:type="dxa"/>
            <w:vAlign w:val="bottom"/>
          </w:tcPr>
          <w:p>
            <w:pPr>
              <w:jc w:val="center"/>
              <w:ind w:left="250"/>
              <w:spacing w:after="0"/>
              <w:rPr>
                <w:sz w:val="20"/>
                <w:szCs w:val="20"/>
                <w:color w:val="auto"/>
              </w:rPr>
            </w:pPr>
            <w:r>
              <w:rPr>
                <w:rFonts w:ascii="Arial" w:cs="Arial" w:eastAsia="Arial" w:hAnsi="Arial"/>
                <w:sz w:val="18"/>
                <w:szCs w:val="18"/>
                <w:color w:val="auto"/>
                <w:w w:val="92"/>
              </w:rPr>
              <w:t>of incorporation or organization)</w:t>
            </w:r>
          </w:p>
        </w:tc>
        <w:tc>
          <w:tcPr>
            <w:tcW w:w="4760" w:type="dxa"/>
            <w:vAlign w:val="bottom"/>
          </w:tcPr>
          <w:p>
            <w:pPr>
              <w:jc w:val="center"/>
              <w:ind w:right="150"/>
              <w:spacing w:after="0"/>
              <w:rPr>
                <w:sz w:val="20"/>
                <w:szCs w:val="20"/>
                <w:color w:val="auto"/>
              </w:rPr>
            </w:pPr>
            <w:r>
              <w:rPr>
                <w:rFonts w:ascii="Arial" w:cs="Arial" w:eastAsia="Arial" w:hAnsi="Arial"/>
                <w:sz w:val="18"/>
                <w:szCs w:val="18"/>
                <w:color w:val="auto"/>
                <w:w w:val="92"/>
              </w:rPr>
              <w:t>File Number)</w:t>
            </w:r>
          </w:p>
        </w:tc>
        <w:tc>
          <w:tcPr>
            <w:tcW w:w="3200" w:type="dxa"/>
            <w:vAlign w:val="bottom"/>
          </w:tcPr>
          <w:p>
            <w:pPr>
              <w:jc w:val="center"/>
              <w:ind w:right="45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220" w:type="dxa"/>
            <w:vAlign w:val="bottom"/>
            <w:tcBorders>
              <w:bottom w:val="single" w:sz="8" w:color="auto"/>
            </w:tcBorders>
            <w:gridSpan w:val="2"/>
          </w:tcPr>
          <w:p>
            <w:pPr>
              <w:jc w:val="center"/>
              <w:ind w:right="450"/>
              <w:spacing w:after="0"/>
              <w:rPr>
                <w:sz w:val="20"/>
                <w:szCs w:val="20"/>
                <w:color w:val="auto"/>
              </w:rPr>
            </w:pPr>
            <w:r>
              <w:rPr>
                <w:rFonts w:ascii="Arial" w:cs="Arial" w:eastAsia="Arial" w:hAnsi="Arial"/>
                <w:sz w:val="18"/>
                <w:szCs w:val="18"/>
                <w:b w:val="1"/>
                <w:bCs w:val="1"/>
                <w:color w:val="auto"/>
                <w:w w:val="94"/>
              </w:rPr>
              <w:t>Ramat Gavriel Industrial Park P.O. Box 619, Migdal Haemek, Israel</w:t>
            </w:r>
          </w:p>
        </w:tc>
        <w:tc>
          <w:tcPr>
            <w:tcW w:w="320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1"/>
              </w:rPr>
              <w:t>2310502</w:t>
            </w:r>
          </w:p>
        </w:tc>
      </w:tr>
      <w:tr>
        <w:trPr>
          <w:trHeight w:val="230"/>
        </w:trPr>
        <w:tc>
          <w:tcPr>
            <w:tcW w:w="8220" w:type="dxa"/>
            <w:vAlign w:val="bottom"/>
            <w:gridSpan w:val="2"/>
          </w:tcPr>
          <w:p>
            <w:pPr>
              <w:jc w:val="center"/>
              <w:ind w:right="470"/>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tcPr>
          <w:p>
            <w:pPr>
              <w:jc w:val="center"/>
              <w:ind w:right="470"/>
              <w:spacing w:after="0"/>
              <w:rPr>
                <w:sz w:val="20"/>
                <w:szCs w:val="20"/>
                <w:color w:val="auto"/>
              </w:rPr>
            </w:pPr>
            <w:r>
              <w:rPr>
                <w:rFonts w:ascii="Arial" w:cs="Arial" w:eastAsia="Arial" w:hAnsi="Arial"/>
                <w:sz w:val="18"/>
                <w:szCs w:val="18"/>
                <w:color w:val="auto"/>
                <w:w w:val="94"/>
              </w:rPr>
              <w:t>(Zip Code)</w:t>
            </w:r>
          </w:p>
        </w:tc>
      </w:tr>
    </w:tbl>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Nati Somekh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+972-4-650-6109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and telephone number, including area code, of the person to contact in connection with this report.)</w:t>
      </w:r>
    </w:p>
    <w:p>
      <w:pPr>
        <w:spacing w:after="0" w:line="22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Specialized Disclosure Report on Form SD (“Form SD”) of Tower Semiconductor Ltd. for the year ended December 31, 2018 is presented to comply with Rule 13p-1 under the Securities Exchange Act of 1934 (the “Rule”). Unless the context indicates otherwise, “Tower,” “we,” “us” and “our” refers to Tower Semiconductor Ltd. and its consolidated subsidiaries as of December 31, 2018. The Rule was adopted by the Securities and Exchange Commission (the “SEC”) to implement reporting and disclosure requirements related to “conflict minerals” as directed by the Dodd-Frank Wall Street Reform and Consumer Protection Act of 2010. Conflict minerals are defined by the SEC as gold as well as columbite-tantalite (coltan), cassiterite, wolframite, or their derivatives, which are limited to tantalum, tin, and tungsten. The Rule imposes certain reporting obligations on SEC registrants whose products contain conflict minerals that are necessary to the functionality or production of their products (such minerals are referred to as “necessary conflict minerals”). For products which contain necessary conflict minerals, the registrant must conduct in good faith a reasonable country of origin inquiry ("RCOI") designed to determine whether any of the necessary conflict minerals originated in the Democratic Republic of the Congo (“DRC”) or an adjoining country, collectively defined as the “Covered Countries”. If, based on such RCOI, the registrant knows or has reason to believe that any of the necessary conflict minerals contained in its products originated or may have originated in a Covered Country and knows or has reason to believe that those necessary conflict minerals may not be solely from recycled or scrap sources, the registrant must conduct due diligence on the source and chain of custody of its conflict minerals in order to determine whether the necessary conflict minerals contained in those products did or did not directly or indirectly finance or benefit armed groups in the Covered Countries. Products which do not contain necessary conflict minerals that directly or indirectly finance or benefit armed groups in the Covered Countries are considered “DRC conflict free”.</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the term “conflict free” in this Form SD in a broader sense to refer to suppliers, supply chains, smelters and refiners whose sources of conflict minerals did not or do not directly or indirectly finance or benefit armed groups in the Covered Countries.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content of any website referred to in this Form SD is included for general information only and is not incorporated by reference into this document.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 pure-play independent specialty foundry dedicated to the manufacture of integrated circuits in the form of silicon wafers. Typically, pure-play foundries do not offer products of their own, but focus on producing integrated circuits, or ICs, based on the design specifications of their customers. We manufacture ICs for our customers primarily based on third party designs. We currently offer the manufacture of ICs with geometries ranging down to 45-nanometers. We also provide design support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currently operate seven manufacturing facilities ("fabs") in three geographic regions: two fabs (for 150mm and 200mm wafers) located in Migdal Haemek, Israel, one fab (for 200mm wafers) located in Newport Beach, California, one fab (for 200mm wafers) located in San Antonio, Texas, and three additional fabs (for two 200mm and one 300mm wafers) located in the Hokuriku region of Japan. We offer state-of-the-art production lines for core bulk CMOS and specialized technologies such as RF SOI back-end-of-line (BEOL), magnetoresistive random access memory (MRAM), SiGe and MEMS.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Tower’s Conflict Minerals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semiconductor manufacturer, we are knowledgeable of the materials needed for our production processes and products manufactured. To comply with the Rule, we reviewed the products we manufactured in 2018 to determine whether conflict minerals were necessary to their functionality or production. Based on this review, we determined that tungsten was used in the manufacturing processes of most of our products and that tantalum was used in a few manufacturing processes of certain of our products.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Description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of our integrated circuits are manufactured in our own fabs. Tower does not purchase any tungsten or tantalum directly from smelters, refiners, or mines, and is many steps removed in the supply chain from the mining of these necessary conflict minerals. Rather, these necessary conflict minerals are obtained via our direct suppliers, who obtain them from sources worldwide. As a result, we rely on our direct suppliers to assist with our RCOI and due diligence efforts, including the identification of smelters and refiners for any necessary conflict minerals contained in the materials which our direct suppliers supply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i w:val="1"/>
          <w:iCs w:val="1"/>
          <w:color w:val="auto"/>
        </w:rPr>
        <w:t>Item 1.01</w:t>
      </w:r>
      <w:r>
        <w:rPr>
          <w:sz w:val="20"/>
          <w:szCs w:val="20"/>
          <w:color w:val="auto"/>
        </w:rPr>
        <w:tab/>
      </w:r>
      <w:r>
        <w:rPr>
          <w:rFonts w:ascii="Arial" w:cs="Arial" w:eastAsia="Arial" w:hAnsi="Arial"/>
          <w:sz w:val="15"/>
          <w:szCs w:val="15"/>
          <w:b w:val="1"/>
          <w:bCs w:val="1"/>
          <w:i w:val="1"/>
          <w:iCs w:val="1"/>
          <w:color w:val="auto"/>
        </w:rPr>
        <w:t>Conflict Minerals Disclosure and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Reasonable Country of Origin Inquiry ("RCOI") Efforts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indicated, Tower concluded that during 2018, it had manufactured products as to which tungsten and tantalum were necessary to their functionality or production. As a result, we conducted in good faith an RCOI that was designed to reasonably determine whether any of the necessary conflict minerals in our products originated in the Covered Countries or were from recycled or scrap sources.</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RCOI, we conducted a supply chain survey of our direct suppliers of tungsten and tantalum (and of any material used in our manufacturing processes that contained tungsten or tantalum) to obtain country of origin information using the Conflict Minerals Reporting Template (the "Template”), which is published by the Conflict-Free Sourcing Initiative (“CFSI”). The Template, which requests direct suppliers to identify the smelters, refiners and countries of origin of the necessary conflict minerals they supply to Tower, was developed to facilitate disclosure and communication of information regarding smelters and refiners that provide material in a company’s supply chain. The Template includes questions regarding a company’s conflict-free policy, engagement with its direct suppliers, and a listing of the smelters the company and its suppliers’ use. In addition, the Template contains questions about the origin of conflict minerals included in their products, as well as supplier due diligence. Written instructions regarding use of the questionnaire are available on CFSI’s website at http://www.conflictfreesourcing.org/conflict-minerals-reporting-template/training/. We received responses from each of our direct suppliers of tungsten and tantalum (and of any material used in our manufacturing processes that contained tungsten or tantalum), and then confirmed whether or not each smelter or refiner they identified as providing conflict minerals had received a “conflict-free smelter” designation from an independent third party audit program.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Based on Reasonable Country of Origin Inquiry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survey regarding 2018 activity, six out of the seven direct suppliers of tungsten (and of any material used in our manufacturing processes that contained tungsten) indicated that they did not source from the Covered Countries. However, all these suppliers confirmed that each smelter or refiner identified by such tungsten suppliers has been certified as "conflict-free" by CFSI's Conflict-Free Smelter Program or have provided documentation to the supplier that they use recycled or scrap sources.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Regarding tantalum, we identified three direct suppliers of tantalum (and of any material used in our manufacturing processes that contained tantalum), each of which indicated that their supply chain includes smelters or refiners sourcing tantalum from the Covered Countries; however, these suppliers confirmed that each of the smelters and refiners has been certified as “conflict-free” by CFSI's Conflict-Free Smelter Program or have provided documentation to the supplier that they use recycled or scrap sources.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we know or have reason to believe that a certain amount of the tungsten and tantalum used in the process of manufacturing certain of our products originated or may have originated in a Covered Country, we conducted due diligence on the source and chain of custody of the tungsten and tantalum in our products. Our due diligence was designed to conform to an internationally recognized due diligence framework, specifically the Organization for Economic Co-operation and Development’s “Due Diligence Guidance for Responsible Supply Chains of Minerals from Conflict-Affected and High-Risk Areas", Second Edition (2013).</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significant overlap between our RCOI efforts and our due diligence measures performed. The due diligence measures that we performed are discussed further in the conflict minerals report filed as Exhibit 1.01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29" w:lineRule="exact"/>
        <w:rPr>
          <w:sz w:val="20"/>
          <w:szCs w:val="20"/>
          <w:color w:val="auto"/>
        </w:rPr>
      </w:pPr>
    </w:p>
    <w:p>
      <w:pPr>
        <w:ind w:right="3120"/>
        <w:spacing w:after="0" w:line="277" w:lineRule="auto"/>
        <w:rPr>
          <w:sz w:val="20"/>
          <w:szCs w:val="20"/>
          <w:color w:val="auto"/>
        </w:rPr>
      </w:pPr>
      <w:r>
        <w:rPr>
          <w:rFonts w:ascii="Arial" w:cs="Arial" w:eastAsia="Arial" w:hAnsi="Arial"/>
          <w:sz w:val="18"/>
          <w:szCs w:val="18"/>
          <w:color w:val="auto"/>
        </w:rPr>
        <w:t xml:space="preserve">This Form SD and the conflict minerals report, filed as Exhibit 1.01 hereto, are publicly available on our website at </w:t>
      </w:r>
      <w:r>
        <w:rPr>
          <w:rFonts w:ascii="Arial" w:cs="Arial" w:eastAsia="Arial" w:hAnsi="Arial"/>
          <w:sz w:val="18"/>
          <w:szCs w:val="18"/>
          <w:u w:val="single" w:color="auto"/>
          <w:color w:val="auto"/>
        </w:rPr>
        <w:t>https://ir.towerjazz.com/financial-information/sec-filings</w:t>
      </w:r>
      <w:r>
        <w:rPr>
          <w:rFonts w:ascii="Arial" w:cs="Arial" w:eastAsia="Arial" w:hAnsi="Arial"/>
          <w:sz w:val="18"/>
          <w:szCs w:val="18"/>
          <w:color w:val="auto"/>
        </w:rPr>
        <w:t>.</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i w:val="1"/>
          <w:iCs w:val="1"/>
          <w:color w:val="auto"/>
        </w:rPr>
        <w:t>Item 1.02</w:t>
      </w:r>
      <w:r>
        <w:rPr>
          <w:sz w:val="20"/>
          <w:szCs w:val="20"/>
          <w:color w:val="auto"/>
        </w:rPr>
        <w:tab/>
      </w:r>
      <w:r>
        <w:rPr>
          <w:rFonts w:ascii="Arial" w:cs="Arial" w:eastAsia="Arial" w:hAnsi="Arial"/>
          <w:sz w:val="16"/>
          <w:szCs w:val="16"/>
          <w:b w:val="1"/>
          <w:bCs w:val="1"/>
          <w:i w:val="1"/>
          <w:iCs w:val="1"/>
          <w:color w:val="auto"/>
        </w:rPr>
        <w:t>Exhibit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of Form SD is filed as Exhibit 1.01 to this Form SD.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i w:val="1"/>
          <w:iCs w:val="1"/>
          <w:color w:val="auto"/>
        </w:rPr>
        <w:t>Item 2.01</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Exhibit 1.01</w:t>
      </w:r>
      <w:r>
        <w:rPr>
          <w:rFonts w:ascii="Arial" w:cs="Arial" w:eastAsia="Arial" w:hAnsi="Arial"/>
          <w:sz w:val="17"/>
          <w:szCs w:val="17"/>
          <w:color w:val="0000EE"/>
        </w:rPr>
        <w:t xml:space="preserve"> </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conflict minerals report for the reporting period January 1, 2018 to December 31, 2018 as required by Items 1.01 and 1.02 of this Form.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gridSpan w:val="2"/>
          </w:tcPr>
          <w:p>
            <w:pPr>
              <w:spacing w:after="0"/>
              <w:rPr>
                <w:sz w:val="20"/>
                <w:szCs w:val="20"/>
                <w:color w:val="auto"/>
              </w:rPr>
            </w:pPr>
            <w:r>
              <w:rPr>
                <w:rFonts w:ascii="Arial" w:cs="Arial" w:eastAsia="Arial" w:hAnsi="Arial"/>
                <w:sz w:val="18"/>
                <w:szCs w:val="18"/>
                <w:color w:val="auto"/>
              </w:rPr>
              <w:t>/s/ Nati Somekh</w:t>
            </w:r>
          </w:p>
        </w:tc>
        <w:tc>
          <w:tcPr>
            <w:tcW w:w="6220" w:type="dxa"/>
            <w:vAlign w:val="bottom"/>
          </w:tcPr>
          <w:p>
            <w:pPr>
              <w:ind w:left="920"/>
              <w:spacing w:after="0"/>
              <w:rPr>
                <w:sz w:val="20"/>
                <w:szCs w:val="20"/>
                <w:color w:val="auto"/>
              </w:rPr>
            </w:pPr>
            <w:r>
              <w:rPr>
                <w:rFonts w:ascii="Arial" w:cs="Arial" w:eastAsia="Arial" w:hAnsi="Arial"/>
                <w:sz w:val="18"/>
                <w:szCs w:val="18"/>
                <w:color w:val="auto"/>
              </w:rPr>
              <w:t>May 28, 2019</w:t>
            </w:r>
          </w:p>
        </w:tc>
      </w:tr>
      <w:tr>
        <w:trPr>
          <w:trHeight w:val="202"/>
        </w:trPr>
        <w:tc>
          <w:tcPr>
            <w:tcW w:w="920" w:type="dxa"/>
            <w:vAlign w:val="bottom"/>
          </w:tcPr>
          <w:p>
            <w:pPr>
              <w:spacing w:after="0"/>
              <w:rPr>
                <w:sz w:val="17"/>
                <w:szCs w:val="17"/>
                <w:color w:val="auto"/>
              </w:rPr>
            </w:pPr>
          </w:p>
        </w:tc>
        <w:tc>
          <w:tcPr>
            <w:tcW w:w="2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Nati Somekh</w:t>
            </w:r>
          </w:p>
        </w:tc>
        <w:tc>
          <w:tcPr>
            <w:tcW w:w="1300" w:type="dxa"/>
            <w:vAlign w:val="bottom"/>
          </w:tcPr>
          <w:p>
            <w:pPr>
              <w:spacing w:after="0"/>
              <w:rPr>
                <w:sz w:val="17"/>
                <w:szCs w:val="17"/>
                <w:color w:val="auto"/>
              </w:rPr>
            </w:pPr>
          </w:p>
        </w:tc>
        <w:tc>
          <w:tcPr>
            <w:tcW w:w="6220" w:type="dxa"/>
            <w:vAlign w:val="bottom"/>
          </w:tcPr>
          <w:p>
            <w:pPr>
              <w:ind w:left="920"/>
              <w:spacing w:after="0" w:line="201" w:lineRule="exact"/>
              <w:rPr>
                <w:sz w:val="20"/>
                <w:szCs w:val="20"/>
                <w:color w:val="auto"/>
              </w:rPr>
            </w:pPr>
            <w:r>
              <w:rPr>
                <w:rFonts w:ascii="Arial" w:cs="Arial" w:eastAsia="Arial" w:hAnsi="Arial"/>
                <w:sz w:val="18"/>
                <w:szCs w:val="18"/>
                <w:color w:val="auto"/>
              </w:rPr>
              <w:t>(Date)</w:t>
            </w:r>
          </w:p>
        </w:tc>
      </w:tr>
      <w:tr>
        <w:trPr>
          <w:trHeight w:val="216"/>
        </w:trPr>
        <w:tc>
          <w:tcPr>
            <w:tcW w:w="9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Senior Vice President, Chief Legal Officer and</w:t>
            </w:r>
          </w:p>
        </w:tc>
        <w:tc>
          <w:tcPr>
            <w:tcW w:w="622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Corporate Secretary</w:t>
            </w:r>
          </w:p>
        </w:tc>
        <w:tc>
          <w:tcPr>
            <w:tcW w:w="6220" w:type="dxa"/>
            <w:vAlign w:val="bottom"/>
          </w:tcPr>
          <w:p>
            <w:pPr>
              <w:spacing w:after="0"/>
              <w:rPr>
                <w:sz w:val="20"/>
                <w:szCs w:val="20"/>
                <w:color w:val="auto"/>
              </w:rPr>
            </w:pPr>
          </w:p>
        </w:tc>
      </w:tr>
      <w:tr>
        <w:trPr>
          <w:trHeight w:val="378"/>
        </w:trPr>
        <w:tc>
          <w:tcPr>
            <w:tcW w:w="9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r>
        <w:trPr>
          <w:trHeight w:val="163"/>
        </w:trPr>
        <w:tc>
          <w:tcPr>
            <w:tcW w:w="9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22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1.01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conflict minerals report for the year ended December 31, 2018 is presented to comply with Section 13(p) of the Securities Exchange Act of 1934 and Rule 13p-1 (the "Rule") and Form SD thereunder. The Rule was adopted by the Securities and Exchange Commission (the "SEC") to implement reporting and disclosure requirements related to conflict minerals as directed by the Dodd-Frank Wall Street Reform and Consumer Protection Act of 2010. The Rule imposes certain reporting obligations on SEC registrants whose manufactured products contain conflict minerals which are necessary to the functionality or production of their products (such minerals are referred to as “necessary conflict minerals”). "Conflict minerals" are defined as gold as well as columbite-tantalite (coltan), cassiterite, wolframite, or their derivatives, which are limited to tin, tantalum and tungsten.</w:t>
      </w: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products which contain necessary conflict minerals, the registrant must conduct in good faith a reasonable country of origin inquiry designed to determine whether any of the necessary conflict minerals originated in the Democratic Republic of the Congo (“DRC”) or an adjoining country, collectively defined as the “Covered Countries”. If, based on such inquiry, the registrant knows or has reason to believe that any of the necessary conflict minerals contained in its products originated or may have originated in a Covered Country and knows or has reason to believe that those necessary conflict minerals may not be solely from recycled or scrap sources, the registrant must conduct due diligence on the source and chain of custody of its conflict minerals in order to determine whether the necessary conflict minerals contained in those products directly or indirectly finance or benefit armed groups in the Covered Countries, and it must submit a conflict minerals report as an exhibit to its Form SD that includes a description of those due diligence measures. In accordance with the instructions and related guidance to Form SD, this conflict minerals report has not been audited by an independent private sector auditor.</w:t>
      </w:r>
    </w:p>
    <w:p>
      <w:pPr>
        <w:spacing w:after="0" w:line="22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content of any website referred to in this conflict minerals report is included for general information only and is not incorporated by reference into this document.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Description of Conflict Minerals Diligence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due diligence efforts by Tower Semiconductor Ltd. (unless the context indicates otherwise, “Tower,” “Company,” “we,” “us” and “our” refers to Tower Semiconductor Ltd. and its consolidated subsidiaries for 2018) have been designed to conform in all material respects with the framework provided by the Organization for Economic Co-operation and Development ("OECD") Due Diligence Guidance for Responsible Supply Chains of Minerals from Conflict-Affected And High-Risk Areas (Second Edition, 2013) (the “OECD Guidance”).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the OECD Guidance, our due diligence in respect of 2018 consisted of a five-step process described below:</w:t>
      </w:r>
    </w:p>
    <w:p>
      <w:pPr>
        <w:spacing w:after="0" w:line="275" w:lineRule="exact"/>
        <w:rPr>
          <w:sz w:val="20"/>
          <w:szCs w:val="20"/>
          <w:color w:val="auto"/>
        </w:rPr>
      </w:pPr>
    </w:p>
    <w:p>
      <w:pPr>
        <w:ind w:left="760" w:hanging="374"/>
        <w:spacing w:after="0"/>
        <w:tabs>
          <w:tab w:leader="none" w:pos="7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Establish Strong Company Management Systems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management system adopted by Tower for addressing the issue of conflict minerals in its products includes a conflict minerals policy which states, in part, that the Company:</w:t>
      </w:r>
    </w:p>
    <w:p>
      <w:pPr>
        <w:spacing w:after="0" w:line="224" w:lineRule="exact"/>
        <w:rPr>
          <w:sz w:val="20"/>
          <w:szCs w:val="20"/>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Avoids the use of conflict minerals that directly or indirectly finance or benefit armed groups in the Covered Countries;</w:t>
      </w:r>
    </w:p>
    <w:p>
      <w:pPr>
        <w:spacing w:after="0" w:line="225"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Expects its suppliers to have in place policies and due diligence procedures that will ensure that products and components that they supply containing conflict minerals, including conflict minerals from Covered Countries, are in fact "conflict-free", meaning that they do not directly or indirectly finance or benefit armed groups in Covered Countries;</w:t>
      </w:r>
    </w:p>
    <w:p>
      <w:pPr>
        <w:spacing w:after="0" w:line="181"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Requires the Company's direct suppliers to provide it with annual declarations regarding their use of conflict minerals (utilizing a format described below);</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Reserves the right to take appropriate action to enforce its conflict minerals policy, including discontinuing purchases from suppliers that fail to comply; and</w:t>
      </w:r>
    </w:p>
    <w:p>
      <w:pPr>
        <w:spacing w:after="0" w:line="170"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committed to responsible sourcing of conflict minerals throughout its supply chain and to continued compliance with applicable SEC rules and regulations in this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conflict minerals policy also directs any questions about such policy to the Company's Director of Quality Assurance.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conflict minerals policy is publicly available on our company website at </w:t>
      </w:r>
      <w:r>
        <w:rPr>
          <w:rFonts w:ascii="Arial" w:cs="Arial" w:eastAsia="Arial" w:hAnsi="Arial"/>
          <w:sz w:val="18"/>
          <w:szCs w:val="18"/>
          <w:u w:val="single" w:color="auto"/>
          <w:color w:val="auto"/>
        </w:rPr>
        <w:t>https://towerjazz.com/about/corporate-social-responsibility/</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provide transparency to our supply chain, we have adopted the Conflict Minerals Reporting Template (the "Template”), which is published by the Conflict-Free Sourcing Initiative (“CFSI”), to directly survey our suppliers. In addition, we confirm that smelters or refiners identified by such suppliers are classified and certified as "conflict-free" by CFSI (as part of CFSI's Conflict-Free Smelter Program).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All responses from suppliers are recorded and stored in an electronic database and are maintained for a minimum of five years.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our management system includes the establishment of a team of Company employees, consisting of senior operations, engineering, QA and legal personnel, to oversee implementation of the Company's conflict minerals compliance strategy. Senior management of the Company, including the Senior Vice President of Quality and Reliability, and the Senior Vice President, Chief Legal Officer and Corporate Secretary, are briefed on a regular basis about such conflict minerals compliance efforts.</w:t>
      </w:r>
    </w:p>
    <w:p>
      <w:pPr>
        <w:spacing w:after="0" w:line="183"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6"/>
          <w:szCs w:val="16"/>
          <w:b w:val="1"/>
          <w:bCs w:val="1"/>
          <w:color w:val="auto"/>
        </w:rPr>
        <w:t>Identify and Assess Risk in the Supply Chain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identified two primary risks regarding our suppliers, as follows: (i) not receiving timely or accurate information, and (ii) difficulty in replacing a supplier should we determine that such supplier obtained or appears to have obtained conflict minerals from sources that support armed conflict in the Covered Countries.</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we do not purchase tungsten and tantalum directly from smelters, refiners or mines and are many steps removed in the supply chain from mining of such tungsten and tantalum, we focus our efforts on surveying our direct suppliers who were required to survey their own suppliers (i.e., our upstream suppliers) in order to receive the required information. As indicated above, we used the Template to conduct such a survey of each of our direct suppliers in order to identify and receive information regarding smelters and refiners of tungsten and tantalum in our supply chain.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the initial distribution of the Template to our direct suppliers, we followed up through emails and telephone calls until all responses were received. In addition, submitted Templates were reviewed for reasonableness and for missing or incomplete data, and we followed up with our direct suppliers as necessary to obtain clarifications or additional information where needed. At the end, we received a completed Template from each of our direct suppliers of tungsten and tantalum (or of any material used in our manufacturing processes that contained tungsten and tantalum). We then compared the smelters or refiners identified by our suppliers in their completed Templates with the list of facilities certified by CFSI as “compliant” in its Conflict-Free Smelter Program to confirm that all such smelters and refiners are certified “conflict-free”.</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(iii) Design and Implement a Strategy to Respond to Identified Risks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 Company policy, we expect suppliers to have in place due diligence policies and procedures that ensure that materials that it supplies containing conflict minerals are in fact "conflict-free", meaning that they do not directly or indirectly finance or benefit armed groups in Covered Countries. If at any time the Company is not satisfied with a supplier's Template responses or believes that adequate policies and procedures are not in place, it reserves the right to take appropriate action to enforce its conflict minerals policy, including discontinuing purchases from such suppliers.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conflict minerals findings are reported regularly to Tower’s Expert Materials Quality Engineer, who is responsible for collecting and reviewing all relevant conflict minerals data and formulating a proposed corporate strategy to address any risks identified by such review.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taking these steps, we manage the risks associated with our supply chain by:</w:t>
      </w:r>
    </w:p>
    <w:p>
      <w:pPr>
        <w:spacing w:after="0" w:line="279"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engaging with suppliers to obtain current, accurate and complete information about the suppliers’ supply chains; and</w:t>
      </w:r>
    </w:p>
    <w:p>
      <w:pPr>
        <w:spacing w:after="0" w:line="225"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encouraging suppliers to implement responsible sourcing and work with smelters and refiners which have obtained a “conflict-free” designation from an independent, third-party auditor.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we have established an escalation process to contact suppliers upon obtaining any information that indicates that such suppliers may be sourcing necessary conflict minerals from any of the Covered Countries without a "conflict free" designation. Steps evaluated by the Company in such instances may include requiring a contracted supplier to find an alternative source for the necessary conflict minerals for use in products or components supplied to the Company, or, if appropriate, in light of all relevant circumstances, seeking an alternate source of supply and suspending or terminating the contractual relationship with such supplier.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left="380"/>
        <w:spacing w:after="0"/>
        <w:rPr>
          <w:sz w:val="20"/>
          <w:szCs w:val="20"/>
          <w:color w:val="auto"/>
        </w:rPr>
      </w:pPr>
      <w:r>
        <w:rPr>
          <w:rFonts w:ascii="Arial" w:cs="Arial" w:eastAsia="Arial" w:hAnsi="Arial"/>
          <w:sz w:val="18"/>
          <w:szCs w:val="18"/>
          <w:b w:val="1"/>
          <w:bCs w:val="1"/>
          <w:color w:val="auto"/>
        </w:rPr>
        <w:t>(iv) Carry Out Independent Third-Party Audit of Smelter/Refiner's Due Diligence Practices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Template provided to our suppliers requests information on the smelters and refiners used to provide the tungsten and tantalum in our products. We do not typically have a direct relationship with smelters and refiners of such minerals and are unable to perform or direct audits of these entities within our supply chain. Instead, we compared information regarding refiners and smelters provided by our suppliers in their Template with lists of refiners and smelters certified by the CFSI as "conflict-free”.</w:t>
      </w:r>
    </w:p>
    <w:p>
      <w:pPr>
        <w:spacing w:after="0" w:line="237"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b w:val="1"/>
          <w:bCs w:val="1"/>
          <w:color w:val="auto"/>
        </w:rPr>
        <w:t>(v)</w:t>
      </w:r>
      <w:r>
        <w:rPr>
          <w:sz w:val="20"/>
          <w:szCs w:val="20"/>
          <w:color w:val="auto"/>
        </w:rPr>
        <w:tab/>
      </w:r>
      <w:r>
        <w:rPr>
          <w:rFonts w:ascii="Arial" w:cs="Arial" w:eastAsia="Arial" w:hAnsi="Arial"/>
          <w:sz w:val="16"/>
          <w:szCs w:val="16"/>
          <w:b w:val="1"/>
          <w:bCs w:val="1"/>
          <w:color w:val="auto"/>
        </w:rPr>
        <w:t>Report Annually on Supply Chain Due Diligence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conflict minerals report is available on our website at </w:t>
      </w:r>
      <w:r>
        <w:rPr>
          <w:rFonts w:ascii="Arial" w:cs="Arial" w:eastAsia="Arial" w:hAnsi="Arial"/>
          <w:sz w:val="17"/>
          <w:szCs w:val="17"/>
          <w:u w:val="single" w:color="auto"/>
          <w:color w:val="auto"/>
        </w:rPr>
        <w:t>https://ir.towerjazz.com/financial-information/sec-filings</w:t>
      </w:r>
      <w:r>
        <w:rPr>
          <w:rFonts w:ascii="Arial" w:cs="Arial" w:eastAsia="Arial" w:hAnsi="Arial"/>
          <w:sz w:val="17"/>
          <w:szCs w:val="17"/>
          <w:color w:val="auto"/>
        </w:rPr>
        <w:t xml:space="preserve"> and has also been filed with the SEC.</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our Due Diligence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following the OECD guidelines on due diligence and usage of the Template and CFSI's Conflict-Free Smelter Program are currently the best ways to gather information on the source of conflict minerals in our products.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Due Diligence Measures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due diligence measures can provide only reasonable, not absolute, assurance regarding the source and chain of custody of the necessary conflict minerals in our products. Our due diligence processes are based on the data received from our direct suppliers of tungsten and tantalum (or of any material used in our manufacturing processes that contained tungsten and tantalum), which in turn is based on information received by those suppliers seeking similar data within their supply chains to identify the original sources of the necessary conflict minerals. We also rely, to a large extent, on information collected through CFSI's Conflict-Free Smelter Program. Such sources of information may yield inaccurate or incomplete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Supplier Chain Survey Responses</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Each of the Company’s three direct suppliers of tantalum (or of any material used in our manufacturing processes that contained tantalum) indicated that their supply chain includes smelters or refiners sourcing from the Covered Countries, as did one of the Company’s direct suppliers of tungsten (or of any material used in our manufacturing processes that contained tungsten). However, each of the smelters and refiners identified by such suppliers as sourcing tantalum or tungsten from Covered Countries has been certified as “conflict-free” by CFSI's Conflict-Free Smelter Program or has provided documentation to the supplier that they use recycled or scrap sources.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lists the facilities identified by our direct suppliers which, to the extent known, may have processed the tantalum or tungsten used in our products or in our manufacturing processes in 2018. All of the below-listed facilities have received a “conflict-free" designation from CFSI's Conflict-Free Smelter Program.</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500" w:type="dxa"/>
            <w:vAlign w:val="bottom"/>
            <w:tcBorders>
              <w:top w:val="single" w:sz="8" w:color="auto"/>
              <w:left w:val="single" w:sz="8" w:color="959595"/>
              <w:bottom w:val="single" w:sz="8" w:color="959595"/>
            </w:tcBorders>
            <w:shd w:val="clear" w:color="auto" w:fill="929292"/>
          </w:tcPr>
          <w:p>
            <w:pPr>
              <w:ind w:left="60"/>
              <w:spacing w:after="0"/>
              <w:rPr>
                <w:sz w:val="20"/>
                <w:szCs w:val="20"/>
                <w:color w:val="auto"/>
              </w:rPr>
            </w:pPr>
            <w:r>
              <w:rPr>
                <w:rFonts w:ascii="Arial" w:cs="Arial" w:eastAsia="Arial" w:hAnsi="Arial"/>
                <w:sz w:val="18"/>
                <w:szCs w:val="18"/>
                <w:b w:val="1"/>
                <w:bCs w:val="1"/>
                <w:color w:val="auto"/>
                <w:w w:val="91"/>
                <w:shd w:val="clear" w:color="auto" w:fill="929292"/>
              </w:rPr>
              <w:t>Metal</w:t>
            </w:r>
          </w:p>
        </w:tc>
        <w:tc>
          <w:tcPr>
            <w:tcW w:w="760" w:type="dxa"/>
            <w:vAlign w:val="bottom"/>
            <w:tcBorders>
              <w:top w:val="single" w:sz="8" w:color="auto"/>
              <w:bottom w:val="single" w:sz="8" w:color="959595"/>
              <w:right w:val="single" w:sz="8" w:color="auto"/>
            </w:tcBorders>
            <w:shd w:val="clear" w:color="auto" w:fill="959595"/>
          </w:tcPr>
          <w:p>
            <w:pPr>
              <w:spacing w:after="0"/>
              <w:rPr>
                <w:sz w:val="24"/>
                <w:szCs w:val="24"/>
                <w:color w:val="auto"/>
              </w:rPr>
            </w:pPr>
          </w:p>
        </w:tc>
        <w:tc>
          <w:tcPr>
            <w:tcW w:w="2540" w:type="dxa"/>
            <w:vAlign w:val="bottom"/>
            <w:tcBorders>
              <w:top w:val="single" w:sz="8" w:color="auto"/>
              <w:bottom w:val="single" w:sz="8" w:color="959595"/>
            </w:tcBorders>
            <w:shd w:val="clear" w:color="auto" w:fill="929292"/>
          </w:tcPr>
          <w:p>
            <w:pPr>
              <w:spacing w:after="0"/>
              <w:rPr>
                <w:sz w:val="20"/>
                <w:szCs w:val="20"/>
                <w:color w:val="auto"/>
              </w:rPr>
            </w:pPr>
            <w:r>
              <w:rPr>
                <w:rFonts w:ascii="Arial" w:cs="Arial" w:eastAsia="Arial" w:hAnsi="Arial"/>
                <w:sz w:val="18"/>
                <w:szCs w:val="18"/>
                <w:b w:val="1"/>
                <w:bCs w:val="1"/>
                <w:color w:val="auto"/>
                <w:w w:val="90"/>
                <w:shd w:val="clear" w:color="auto" w:fill="929292"/>
              </w:rPr>
              <w:t>Smelter or Refiner Facility Name</w:t>
            </w:r>
          </w:p>
        </w:tc>
        <w:tc>
          <w:tcPr>
            <w:tcW w:w="3560" w:type="dxa"/>
            <w:vAlign w:val="bottom"/>
            <w:tcBorders>
              <w:top w:val="single" w:sz="8" w:color="auto"/>
              <w:bottom w:val="single" w:sz="8" w:color="959595"/>
              <w:right w:val="single" w:sz="8" w:color="auto"/>
            </w:tcBorders>
            <w:shd w:val="clear" w:color="auto" w:fill="959595"/>
          </w:tcPr>
          <w:p>
            <w:pPr>
              <w:spacing w:after="0"/>
              <w:rPr>
                <w:sz w:val="24"/>
                <w:szCs w:val="24"/>
                <w:color w:val="auto"/>
              </w:rPr>
            </w:pPr>
          </w:p>
        </w:tc>
        <w:tc>
          <w:tcPr>
            <w:tcW w:w="2160" w:type="dxa"/>
            <w:vAlign w:val="bottom"/>
            <w:tcBorders>
              <w:top w:val="single" w:sz="8" w:color="auto"/>
              <w:bottom w:val="single" w:sz="8" w:color="959595"/>
            </w:tcBorders>
            <w:shd w:val="clear" w:color="auto" w:fill="929292"/>
          </w:tcPr>
          <w:p>
            <w:pPr>
              <w:spacing w:after="0"/>
              <w:rPr>
                <w:sz w:val="20"/>
                <w:szCs w:val="20"/>
                <w:color w:val="auto"/>
              </w:rPr>
            </w:pPr>
            <w:r>
              <w:rPr>
                <w:rFonts w:ascii="Arial" w:cs="Arial" w:eastAsia="Arial" w:hAnsi="Arial"/>
                <w:sz w:val="18"/>
                <w:szCs w:val="18"/>
                <w:b w:val="1"/>
                <w:bCs w:val="1"/>
                <w:color w:val="auto"/>
                <w:w w:val="90"/>
                <w:shd w:val="clear" w:color="auto" w:fill="929292"/>
              </w:rPr>
              <w:t>Smelter or Refiner Location</w:t>
            </w:r>
          </w:p>
        </w:tc>
        <w:tc>
          <w:tcPr>
            <w:tcW w:w="1920" w:type="dxa"/>
            <w:vAlign w:val="bottom"/>
            <w:tcBorders>
              <w:top w:val="single" w:sz="8" w:color="auto"/>
              <w:bottom w:val="single" w:sz="8" w:color="959595"/>
              <w:right w:val="single" w:sz="8" w:color="auto"/>
            </w:tcBorders>
            <w:shd w:val="clear" w:color="auto" w:fill="959595"/>
          </w:tcPr>
          <w:p>
            <w:pPr>
              <w:spacing w:after="0"/>
              <w:rPr>
                <w:sz w:val="24"/>
                <w:szCs w:val="24"/>
                <w:color w:val="auto"/>
              </w:rPr>
            </w:pPr>
          </w:p>
        </w:tc>
      </w:tr>
      <w:tr>
        <w:trPr>
          <w:trHeight w:val="243"/>
        </w:trPr>
        <w:tc>
          <w:tcPr>
            <w:tcW w:w="126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Tantalum</w:t>
            </w:r>
          </w:p>
        </w:tc>
        <w:tc>
          <w:tcPr>
            <w:tcW w:w="61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Changsha South Tantalum Niobium Co., Ltd.</w:t>
            </w:r>
          </w:p>
        </w:tc>
        <w:tc>
          <w:tcPr>
            <w:tcW w:w="40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China</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6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 Block Metals, LLC</w:t>
            </w:r>
          </w:p>
        </w:tc>
        <w:tc>
          <w:tcPr>
            <w:tcW w:w="4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United states of America</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6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Exotech Inc.</w:t>
            </w:r>
          </w:p>
        </w:tc>
        <w:tc>
          <w:tcPr>
            <w:tcW w:w="4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United states of America</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6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F&amp;X Electro-Materials Ltd.</w:t>
            </w:r>
          </w:p>
        </w:tc>
        <w:tc>
          <w:tcPr>
            <w:tcW w:w="4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China</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6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Global Advanced Metals Aizu</w:t>
            </w:r>
          </w:p>
        </w:tc>
        <w:tc>
          <w:tcPr>
            <w:tcW w:w="4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Japan</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6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Global Advanced Metals Boyertown</w:t>
            </w:r>
          </w:p>
        </w:tc>
        <w:tc>
          <w:tcPr>
            <w:tcW w:w="4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United states of America</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6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Guangdong Rising Rare Metals-EO Materials Ltd.</w:t>
            </w:r>
          </w:p>
        </w:tc>
        <w:tc>
          <w:tcPr>
            <w:tcW w:w="4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China</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6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H.C. Starck Co., Ltd.</w:t>
            </w:r>
          </w:p>
        </w:tc>
        <w:tc>
          <w:tcPr>
            <w:tcW w:w="4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Thailand</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6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H.C. Starck Inc.</w:t>
            </w:r>
          </w:p>
        </w:tc>
        <w:tc>
          <w:tcPr>
            <w:tcW w:w="4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United states of America</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6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H.C. Starck Ltd.</w:t>
            </w:r>
          </w:p>
        </w:tc>
        <w:tc>
          <w:tcPr>
            <w:tcW w:w="4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Japan</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6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H.C. Starck Smelting GmbH &amp; Co. KG</w:t>
            </w:r>
          </w:p>
        </w:tc>
        <w:tc>
          <w:tcPr>
            <w:tcW w:w="4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Germany</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6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H.C. Starck Tantalum and Niobium GmbH</w:t>
            </w:r>
          </w:p>
        </w:tc>
        <w:tc>
          <w:tcPr>
            <w:tcW w:w="4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Germany</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6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Ningxia Orient Tantalum Industry Co., Ltd.</w:t>
            </w:r>
          </w:p>
        </w:tc>
        <w:tc>
          <w:tcPr>
            <w:tcW w:w="4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China</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6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Ulba Metallurgical Plant JSC</w:t>
            </w:r>
          </w:p>
        </w:tc>
        <w:tc>
          <w:tcPr>
            <w:tcW w:w="4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Kazakhstan</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43"/>
        </w:trPr>
        <w:tc>
          <w:tcPr>
            <w:tcW w:w="12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Tungsten</w:t>
            </w:r>
          </w:p>
        </w:tc>
        <w:tc>
          <w:tcPr>
            <w:tcW w:w="6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Xiamen Tungsten Co., Ltd.</w:t>
            </w:r>
          </w:p>
        </w:tc>
        <w:tc>
          <w:tcPr>
            <w:tcW w:w="4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China</w:t>
            </w:r>
          </w:p>
        </w:tc>
      </w:tr>
      <w:tr>
        <w:trPr>
          <w:trHeight w:val="34"/>
        </w:trPr>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0"/>
          <w:szCs w:val="20"/>
          <w:color w:val="auto"/>
        </w:rPr>
      </w:pPr>
    </w:p>
    <w:p>
      <w:pPr>
        <w:jc w:val="both"/>
        <w:ind w:firstLine="58"/>
        <w:spacing w:after="0" w:line="259" w:lineRule="auto"/>
        <w:rPr>
          <w:sz w:val="20"/>
          <w:szCs w:val="20"/>
          <w:color w:val="auto"/>
        </w:rPr>
      </w:pPr>
      <w:r>
        <w:rPr>
          <w:rFonts w:ascii="Arial" w:cs="Arial" w:eastAsia="Arial" w:hAnsi="Arial"/>
          <w:sz w:val="18"/>
          <w:szCs w:val="18"/>
          <w:color w:val="auto"/>
        </w:rPr>
        <w:t>In addition, our suppliers provided us with information regarding the countries of origin of the tantalum and tungsten supplied by certain of the above smelters and refiners, a list of which is provided below. Our suppliers did not provide specific country of origin information for certain smelters and refiners. On account of this incomplete information, Tower is unable at this time to determine and describe in this report a complete list of specific countries of origin of such conflict minerals.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Bolivia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Burundi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Democratic Republic of Congo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Ethiopia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Guyana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Katanga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Mozambique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Namibia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Rwanda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Sierra Leone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Suriname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Zimbabwe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Future Due Diligence Measures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calendar year ending December 31, 2018, we have engaged in the due diligence process described above. We will also continue to attempt to validate supplier responses using information collected through independent conflict-free smelter validation programs, such as that of CFSI, and will take measures as needed to address any potential risks that are identified through these due diligence efforts.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Form SD and conflict minerals report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2019-12-02T12:33:37Z</dcterms:created>
  <dcterms:modified xsi:type="dcterms:W3CDTF">2019-12-02T12:33:37Z</dcterms:modified>
</cp:coreProperties>
</file>