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FORM 6-K</w:t>
      </w:r>
    </w:p>
    <w:p>
      <w:pPr>
        <w:spacing w:after="0" w:line="253"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2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 the month of August 2012 No. 1</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(Translation of registrant's name into English)</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ind w:left="4500"/>
        <w:spacing w:after="0"/>
        <w:tabs>
          <w:tab w:leader="none" w:pos="600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52"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ind w:left="5020"/>
        <w:spacing w:after="0"/>
        <w:tabs>
          <w:tab w:leader="none" w:pos="602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06"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August 02, 2012, the registrant announces Reverse Share Split approval.</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This Form 6-K is being incorporated by reference into all effective registration statements filed by us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438785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700"/>
          </w:cols>
          <w:pgMar w:left="900" w:top="490"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August 02, 2012</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3036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1714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Nati Somekh</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TowerJazz Announces Reverse Share Split Approved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 On Split-Adjusted Basis at a 1 for 15 Ratio to Commence on the NASDAQ</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 Market and the Tel Aviv Stock Exchange</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MIGDAL HAEMEK, Israel – August 02, 2012 </w:t>
      </w:r>
      <w:r>
        <w:rPr>
          <w:rFonts w:ascii="Arial" w:cs="Arial" w:eastAsia="Arial" w:hAnsi="Arial"/>
          <w:sz w:val="18"/>
          <w:szCs w:val="18"/>
          <w:color w:val="auto"/>
        </w:rPr>
        <w:t>– TowerJazz (Nasdaq: TSEM; TASE: TSEM), the global specialty foundry leader, today announced that its</w:t>
      </w:r>
      <w:r>
        <w:rPr>
          <w:rFonts w:ascii="Arial" w:cs="Arial" w:eastAsia="Arial" w:hAnsi="Arial"/>
          <w:sz w:val="18"/>
          <w:szCs w:val="18"/>
          <w:b w:val="1"/>
          <w:bCs w:val="1"/>
          <w:color w:val="auto"/>
        </w:rPr>
        <w:t xml:space="preserve"> </w:t>
      </w:r>
      <w:r>
        <w:rPr>
          <w:rFonts w:ascii="Arial" w:cs="Arial" w:eastAsia="Arial" w:hAnsi="Arial"/>
          <w:sz w:val="18"/>
          <w:szCs w:val="18"/>
          <w:color w:val="auto"/>
        </w:rPr>
        <w:t>reverse split of its ordinary shares has become effective as it was approved in its shareholders' meeting held today.</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ordinary shares will begin trading on a split-adjusted basis on NASDAQ commencing August 6, 2012 and on the Tel Aviv Stock Exchange commencing August 5, 2012.</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announced, the reverse split ratio will be 1 for 15 and will reduce the number of outstanding ordinary shares of the Company to approximately 22 million shares. Fractional shares as a result of the reverse share split will be rounded up to the next whole number. Proportional adjustments will be made to all of TowerJazz’s outstanding convertible securities.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reverse share split is intended to enable TowerJazz to regain compliance with the NASDAQ minimum bid requirement to maintain the Company's stock listing on NASDAQ.</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the global specialty foundry leader, its fully owned U.S. subsidiary Jazz Semiconductor Ltd., and its fully owned Japanese subsidiary TowerJazz Japan, LTD, operate collectively under the brand name TowerJazz, manufacturing integrated circuits with geometries ranging from 1.0 to 0.13-micron. TowerJazz provides industry leading design enablement tools to allow complex designs to be achieved quickly and more accurately and offers a broad range of customizable process technologies including SiGe, BiCMOS, Mixed-Signal and RFCMOS, CMOS Image Sensor, Power Management (BCD), and Non-Volatile Memory (NVM) as well as MEMS capabilities. To provide multi-fab sourcing, TowerJazz maintains two manufacturing facilities in Israel, one in the U.S., and one in Japan with additional capacity available in China through manufacturing partnerships.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Contacts</w:t>
            </w:r>
          </w:p>
        </w:tc>
        <w:tc>
          <w:tcPr>
            <w:tcW w:w="1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620" w:type="dxa"/>
            <w:vAlign w:val="bottom"/>
          </w:tcPr>
          <w:p>
            <w:pPr>
              <w:spacing w:after="0"/>
              <w:rPr>
                <w:sz w:val="20"/>
                <w:szCs w:val="20"/>
                <w:color w:val="auto"/>
              </w:rPr>
            </w:pPr>
          </w:p>
        </w:tc>
      </w:tr>
      <w:tr>
        <w:trPr>
          <w:trHeight w:val="445"/>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TowerJazz Investor Relations</w:t>
            </w:r>
          </w:p>
        </w:tc>
        <w:tc>
          <w:tcPr>
            <w:tcW w:w="7440" w:type="dxa"/>
            <w:vAlign w:val="bottom"/>
            <w:gridSpan w:val="3"/>
          </w:tcPr>
          <w:p>
            <w:pPr>
              <w:ind w:left="1720"/>
              <w:spacing w:after="0"/>
              <w:rPr>
                <w:sz w:val="20"/>
                <w:szCs w:val="20"/>
                <w:color w:val="auto"/>
              </w:rPr>
            </w:pPr>
            <w:r>
              <w:rPr>
                <w:rFonts w:ascii="Arial" w:cs="Arial" w:eastAsia="Arial" w:hAnsi="Arial"/>
                <w:sz w:val="18"/>
                <w:szCs w:val="18"/>
                <w:color w:val="auto"/>
              </w:rPr>
              <w:t>CCG Investor Relations</w:t>
            </w:r>
          </w:p>
        </w:tc>
      </w:tr>
      <w:tr>
        <w:trPr>
          <w:trHeight w:val="216"/>
        </w:trPr>
        <w:tc>
          <w:tcPr>
            <w:tcW w:w="24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Noit Levi, +972 4 604 7066</w:t>
            </w:r>
          </w:p>
        </w:tc>
        <w:tc>
          <w:tcPr>
            <w:tcW w:w="7440" w:type="dxa"/>
            <w:vAlign w:val="bottom"/>
            <w:gridSpan w:val="3"/>
          </w:tcPr>
          <w:p>
            <w:pPr>
              <w:ind w:left="1900"/>
              <w:spacing w:after="0"/>
              <w:rPr>
                <w:sz w:val="20"/>
                <w:szCs w:val="20"/>
                <w:color w:val="auto"/>
              </w:rPr>
            </w:pPr>
            <w:r>
              <w:rPr>
                <w:rFonts w:ascii="Arial" w:cs="Arial" w:eastAsia="Arial" w:hAnsi="Arial"/>
                <w:sz w:val="18"/>
                <w:szCs w:val="18"/>
                <w:color w:val="auto"/>
              </w:rPr>
              <w:t>Ehud Helft / Kenny Green, (646) 201 9246</w:t>
            </w:r>
          </w:p>
        </w:tc>
      </w:tr>
      <w:tr>
        <w:trPr>
          <w:trHeight w:val="190"/>
        </w:trPr>
        <w:tc>
          <w:tcPr>
            <w:tcW w:w="240" w:type="dxa"/>
            <w:vAlign w:val="bottom"/>
          </w:tcPr>
          <w:p>
            <w:pPr>
              <w:spacing w:after="0"/>
              <w:rPr>
                <w:sz w:val="16"/>
                <w:szCs w:val="16"/>
                <w:color w:val="auto"/>
              </w:rPr>
            </w:pPr>
          </w:p>
        </w:tc>
        <w:tc>
          <w:tcPr>
            <w:tcW w:w="3740" w:type="dxa"/>
            <w:vAlign w:val="bottom"/>
            <w:gridSpan w:val="2"/>
          </w:tcPr>
          <w:p>
            <w:pPr>
              <w:spacing w:after="0" w:line="190" w:lineRule="exact"/>
              <w:rPr>
                <w:sz w:val="20"/>
                <w:szCs w:val="20"/>
                <w:color w:val="auto"/>
              </w:rPr>
            </w:pPr>
            <w:r>
              <w:rPr>
                <w:rFonts w:ascii="Arial" w:cs="Arial" w:eastAsia="Arial" w:hAnsi="Arial"/>
                <w:sz w:val="18"/>
                <w:szCs w:val="18"/>
                <w:color w:val="auto"/>
              </w:rPr>
              <w:t>Noit.levi@towerjazz.com</w:t>
            </w:r>
          </w:p>
        </w:tc>
        <w:tc>
          <w:tcPr>
            <w:tcW w:w="7440" w:type="dxa"/>
            <w:vAlign w:val="bottom"/>
            <w:gridSpan w:val="3"/>
          </w:tcPr>
          <w:p>
            <w:pPr>
              <w:ind w:left="1900"/>
              <w:spacing w:after="0" w:line="190" w:lineRule="exact"/>
              <w:rPr>
                <w:sz w:val="20"/>
                <w:szCs w:val="20"/>
                <w:color w:val="auto"/>
              </w:rPr>
            </w:pPr>
            <w:r>
              <w:rPr>
                <w:rFonts w:ascii="Arial" w:cs="Arial" w:eastAsia="Arial" w:hAnsi="Arial"/>
                <w:sz w:val="18"/>
                <w:szCs w:val="18"/>
                <w:color w:val="auto"/>
              </w:rPr>
              <w:t>towersemi@ccgisrael.com</w:t>
            </w:r>
          </w:p>
        </w:tc>
      </w:tr>
      <w:tr>
        <w:trPr>
          <w:trHeight w:val="571"/>
        </w:trPr>
        <w:tc>
          <w:tcPr>
            <w:tcW w:w="24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20" w:type="dxa"/>
            <w:vAlign w:val="bottom"/>
          </w:tcPr>
          <w:p>
            <w:pPr>
              <w:spacing w:after="0"/>
              <w:rPr>
                <w:sz w:val="24"/>
                <w:szCs w:val="24"/>
                <w:color w:val="auto"/>
              </w:rPr>
            </w:pPr>
          </w:p>
        </w:tc>
      </w:tr>
      <w:tr>
        <w:trPr>
          <w:trHeight w:val="71"/>
        </w:trPr>
        <w:tc>
          <w:tcPr>
            <w:tcW w:w="240" w:type="dxa"/>
            <w:vAlign w:val="bottom"/>
            <w:shd w:val="clear" w:color="auto" w:fill="808080"/>
          </w:tcPr>
          <w:p>
            <w:pPr>
              <w:spacing w:after="0"/>
              <w:rPr>
                <w:sz w:val="6"/>
                <w:szCs w:val="6"/>
                <w:color w:val="auto"/>
              </w:rPr>
            </w:pPr>
          </w:p>
        </w:tc>
        <w:tc>
          <w:tcPr>
            <w:tcW w:w="184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1920" w:type="dxa"/>
            <w:vAlign w:val="bottom"/>
            <w:shd w:val="clear" w:color="auto" w:fill="808080"/>
          </w:tcPr>
          <w:p>
            <w:pPr>
              <w:spacing w:after="0"/>
              <w:rPr>
                <w:sz w:val="6"/>
                <w:szCs w:val="6"/>
                <w:color w:val="auto"/>
              </w:rPr>
            </w:pPr>
          </w:p>
        </w:tc>
        <w:tc>
          <w:tcPr>
            <w:tcW w:w="362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2019-12-09T11:58:59Z</dcterms:created>
  <dcterms:modified xsi:type="dcterms:W3CDTF">2019-12-09T11:58:59Z</dcterms:modified>
</cp:coreProperties>
</file>