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25"/>
          <w:szCs w:val="25"/>
          <w:b w:val="1"/>
          <w:bCs w:val="1"/>
          <w:color w:val="auto"/>
        </w:rPr>
        <w:t>SECURITIES AND EXCHANGE COMMISSION</w:t>
      </w:r>
    </w:p>
    <w:p>
      <w:pPr>
        <w:spacing w:after="0" w:line="25"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Washington, D.C. 20549</w:t>
      </w:r>
    </w:p>
    <w:p>
      <w:pPr>
        <w:spacing w:after="0" w:line="268" w:lineRule="exact"/>
        <w:rPr>
          <w:sz w:val="24"/>
          <w:szCs w:val="24"/>
          <w:color w:val="auto"/>
        </w:rPr>
      </w:pPr>
    </w:p>
    <w:p>
      <w:pPr>
        <w:ind w:left="4360"/>
        <w:spacing w:after="0"/>
        <w:rPr>
          <w:sz w:val="20"/>
          <w:szCs w:val="20"/>
          <w:color w:val="auto"/>
        </w:rPr>
      </w:pPr>
      <w:r>
        <w:rPr>
          <w:rFonts w:ascii="Arial" w:cs="Arial" w:eastAsia="Arial" w:hAnsi="Arial"/>
          <w:sz w:val="25"/>
          <w:szCs w:val="25"/>
          <w:b w:val="1"/>
          <w:bCs w:val="1"/>
          <w:color w:val="auto"/>
        </w:rPr>
        <w:t>FORM 6-K</w:t>
      </w:r>
    </w:p>
    <w:p>
      <w:pPr>
        <w:spacing w:after="0" w:line="284"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REPORT OF FOREIGN PRIVATE ISSUER PURSUANT TO RULE 13a-16 OR 15d-16 UNDER</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65"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For the month of August 2022 No.2</w:t>
      </w:r>
    </w:p>
    <w:p>
      <w:pPr>
        <w:spacing w:after="0" w:line="279"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Commission File Number 000-24790</w:t>
      </w:r>
    </w:p>
    <w:p>
      <w:pPr>
        <w:spacing w:after="0" w:line="275" w:lineRule="exact"/>
        <w:rPr>
          <w:sz w:val="24"/>
          <w:szCs w:val="24"/>
          <w:color w:val="auto"/>
        </w:rPr>
      </w:pPr>
    </w:p>
    <w:p>
      <w:pPr>
        <w:jc w:val="center"/>
        <w:ind w:right="-480"/>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6" w:lineRule="exact"/>
        <w:rPr>
          <w:sz w:val="24"/>
          <w:szCs w:val="24"/>
          <w:color w:val="auto"/>
        </w:rPr>
      </w:pPr>
    </w:p>
    <w:p>
      <w:pPr>
        <w:ind w:left="3840"/>
        <w:spacing w:after="0" w:line="207" w:lineRule="exact"/>
        <w:tabs>
          <w:tab w:leader="none" w:pos="51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312" w:lineRule="exact"/>
        <w:rPr>
          <w:sz w:val="24"/>
          <w:szCs w:val="24"/>
          <w:color w:val="auto"/>
        </w:rPr>
      </w:pPr>
    </w:p>
    <w:p>
      <w:pPr>
        <w:ind w:left="2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302" w:lineRule="exact"/>
        <w:rPr>
          <w:sz w:val="24"/>
          <w:szCs w:val="24"/>
          <w:color w:val="auto"/>
        </w:rPr>
      </w:pPr>
    </w:p>
    <w:p>
      <w:pPr>
        <w:ind w:left="2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140970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99"/>
          </w:cols>
          <w:pgMar w:left="960" w:top="810" w:right="1440" w:bottom="1440" w:gutter="0" w:footer="0" w:header="0"/>
        </w:sectPr>
      </w:pPr>
    </w:p>
    <w:bookmarkStart w:id="1" w:name="page2"/>
    <w:bookmarkEnd w:id="1"/>
    <w:p>
      <w:pPr>
        <w:ind w:firstLine="540"/>
        <w:spacing w:after="0" w:line="277" w:lineRule="auto"/>
        <w:rPr>
          <w:sz w:val="20"/>
          <w:szCs w:val="20"/>
          <w:color w:val="auto"/>
        </w:rPr>
      </w:pPr>
      <w:r>
        <w:rPr>
          <w:rFonts w:ascii="Arial" w:cs="Arial" w:eastAsia="Arial" w:hAnsi="Arial"/>
          <w:sz w:val="18"/>
          <w:szCs w:val="18"/>
          <w:color w:val="auto"/>
        </w:rPr>
        <w:t>On August 8, 2022, the Registrant issued unaudited condensed interim consolidated financial statements as of June 30, 2022, and for the six- and three-month periods then ended. Attached hereto are the following exhibits.</w:t>
      </w:r>
    </w:p>
    <w:p>
      <w:pPr>
        <w:spacing w:after="0" w:line="224"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Exhibit 99.1Registrant’s consolidated financial statements as of June 30, 2022</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Exhibit 99.2Management’s Discussion and Analysis of Financial Condition and Results of Operations.</w:t>
        </w:r>
      </w:hyperlink>
    </w:p>
    <w:p>
      <w:pPr>
        <w:spacing w:after="0" w:line="265" w:lineRule="exact"/>
        <w:rPr>
          <w:sz w:val="20"/>
          <w:szCs w:val="20"/>
          <w:color w:val="auto"/>
        </w:rPr>
      </w:pPr>
    </w:p>
    <w:p>
      <w:pPr>
        <w:ind w:right="420" w:firstLine="582"/>
        <w:spacing w:after="0" w:line="277" w:lineRule="auto"/>
        <w:rPr>
          <w:sz w:val="20"/>
          <w:szCs w:val="20"/>
          <w:color w:val="auto"/>
        </w:rPr>
      </w:pPr>
      <w:r>
        <w:rPr>
          <w:rFonts w:ascii="Arial" w:cs="Arial" w:eastAsia="Arial" w:hAnsi="Arial"/>
          <w:sz w:val="18"/>
          <w:szCs w:val="18"/>
          <w:color w:val="auto"/>
        </w:rPr>
        <w:t>This Form 6-K, including all exhibits hereto, is hereby incorporated by reference into all effective registration statements filed by us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320" w:firstLine="63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3"/>
          </w:tcPr>
          <w:p>
            <w:pPr>
              <w:ind w:left="2040"/>
              <w:spacing w:after="0"/>
              <w:rPr>
                <w:sz w:val="20"/>
                <w:szCs w:val="20"/>
                <w:color w:val="auto"/>
              </w:rPr>
            </w:pPr>
            <w:r>
              <w:rPr>
                <w:rFonts w:ascii="Arial" w:cs="Arial" w:eastAsia="Arial" w:hAnsi="Arial"/>
                <w:sz w:val="18"/>
                <w:szCs w:val="18"/>
                <w:b w:val="1"/>
                <w:bCs w:val="1"/>
                <w:color w:val="auto"/>
              </w:rPr>
              <w:t>TOWER SEMICONDUCTOR LTD.</w:t>
            </w:r>
          </w:p>
        </w:tc>
      </w:tr>
      <w:tr>
        <w:trPr>
          <w:trHeight w:val="392"/>
        </w:trPr>
        <w:tc>
          <w:tcPr>
            <w:tcW w:w="3580" w:type="dxa"/>
            <w:vAlign w:val="bottom"/>
          </w:tcPr>
          <w:p>
            <w:pPr>
              <w:spacing w:after="0"/>
              <w:rPr>
                <w:sz w:val="20"/>
                <w:szCs w:val="20"/>
                <w:color w:val="auto"/>
              </w:rPr>
            </w:pPr>
            <w:r>
              <w:rPr>
                <w:rFonts w:ascii="Arial" w:cs="Arial" w:eastAsia="Arial" w:hAnsi="Arial"/>
                <w:sz w:val="18"/>
                <w:szCs w:val="18"/>
                <w:color w:val="auto"/>
              </w:rPr>
              <w:t>Date: August 8, 2022</w:t>
            </w:r>
          </w:p>
        </w:tc>
        <w:tc>
          <w:tcPr>
            <w:tcW w:w="7660" w:type="dxa"/>
            <w:vAlign w:val="bottom"/>
            <w:gridSpan w:val="3"/>
          </w:tcPr>
          <w:p>
            <w:pPr>
              <w:ind w:left="2040"/>
              <w:spacing w:after="0"/>
              <w:rPr>
                <w:sz w:val="20"/>
                <w:szCs w:val="20"/>
                <w:color w:val="auto"/>
              </w:rPr>
            </w:pPr>
            <w:r>
              <w:rPr>
                <w:rFonts w:ascii="Arial" w:cs="Arial" w:eastAsia="Arial" w:hAnsi="Arial"/>
                <w:sz w:val="18"/>
                <w:szCs w:val="18"/>
                <w:color w:val="auto"/>
              </w:rPr>
              <w:t>By: /s/ Nati Somekh</w:t>
            </w:r>
          </w:p>
        </w:tc>
      </w:tr>
      <w:tr>
        <w:trPr>
          <w:trHeight w:val="20"/>
        </w:trPr>
        <w:tc>
          <w:tcPr>
            <w:tcW w:w="35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22"/>
        </w:trPr>
        <w:tc>
          <w:tcPr>
            <w:tcW w:w="35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Name: Nati Somekh</w:t>
            </w:r>
          </w:p>
        </w:tc>
      </w:tr>
      <w:tr>
        <w:trPr>
          <w:trHeight w:val="230"/>
        </w:trPr>
        <w:tc>
          <w:tcPr>
            <w:tcW w:w="35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Title:  Corporate Secretary</w:t>
            </w:r>
          </w:p>
        </w:tc>
      </w:tr>
      <w:tr>
        <w:trPr>
          <w:trHeight w:val="378"/>
        </w:trPr>
        <w:tc>
          <w:tcPr>
            <w:tcW w:w="35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r>
        <w:trPr>
          <w:trHeight w:val="163"/>
        </w:trPr>
        <w:tc>
          <w:tcPr>
            <w:tcW w:w="35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16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TOWER SEMICONDUCTOR LIMITED</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AND SUBSIDIARIES</w:t>
      </w:r>
    </w:p>
    <w:p>
      <w:pPr>
        <w:spacing w:after="0" w:line="26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UNAUDITED CONDENSED INTERIM</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CONSOLIDATED FINANCIAL STATEMENTS</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AS OF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297180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49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80" w:type="dxa"/>
            <w:vAlign w:val="bottom"/>
            <w:gridSpan w:val="3"/>
          </w:tcPr>
          <w:p>
            <w:pPr>
              <w:jc w:val="center"/>
              <w:ind w:right="1140"/>
              <w:spacing w:after="0"/>
              <w:rPr>
                <w:sz w:val="20"/>
                <w:szCs w:val="20"/>
                <w:color w:val="auto"/>
              </w:rPr>
            </w:pPr>
            <w:r>
              <w:rPr>
                <w:rFonts w:ascii="Arial" w:cs="Arial" w:eastAsia="Arial" w:hAnsi="Arial"/>
                <w:sz w:val="18"/>
                <w:szCs w:val="18"/>
                <w:b w:val="1"/>
                <w:bCs w:val="1"/>
                <w:color w:val="auto"/>
              </w:rPr>
              <w:t>TOWER SEMICONDUCTOR LIMITED AND SUBSIDARIES</w:t>
            </w:r>
          </w:p>
        </w:tc>
        <w:tc>
          <w:tcPr>
            <w:tcW w:w="1900" w:type="dxa"/>
            <w:vAlign w:val="bottom"/>
          </w:tcPr>
          <w:p>
            <w:pPr>
              <w:spacing w:after="0"/>
              <w:rPr>
                <w:sz w:val="20"/>
                <w:szCs w:val="20"/>
                <w:color w:val="auto"/>
              </w:rPr>
            </w:pPr>
          </w:p>
        </w:tc>
      </w:tr>
      <w:tr>
        <w:trPr>
          <w:trHeight w:val="468"/>
        </w:trPr>
        <w:tc>
          <w:tcPr>
            <w:tcW w:w="1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8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rPr>
              <w:t>INDEX TO CONSOLIDATED FINANCIAL STATEMENTS</w:t>
            </w:r>
          </w:p>
        </w:tc>
        <w:tc>
          <w:tcPr>
            <w:tcW w:w="1900" w:type="dxa"/>
            <w:vAlign w:val="bottom"/>
          </w:tcPr>
          <w:p>
            <w:pPr>
              <w:spacing w:after="0"/>
              <w:rPr>
                <w:sz w:val="24"/>
                <w:szCs w:val="24"/>
                <w:color w:val="auto"/>
              </w:rPr>
            </w:pPr>
          </w:p>
        </w:tc>
      </w:tr>
      <w:tr>
        <w:trPr>
          <w:trHeight w:val="216"/>
        </w:trPr>
        <w:tc>
          <w:tcPr>
            <w:tcW w:w="1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20" w:type="dxa"/>
            <w:vAlign w:val="bottom"/>
            <w:gridSpan w:val="2"/>
          </w:tcPr>
          <w:p>
            <w:pPr>
              <w:jc w:val="center"/>
              <w:ind w:right="1820"/>
              <w:spacing w:after="0"/>
              <w:rPr>
                <w:sz w:val="20"/>
                <w:szCs w:val="20"/>
                <w:color w:val="auto"/>
              </w:rPr>
            </w:pPr>
            <w:r>
              <w:rPr>
                <w:rFonts w:ascii="Arial" w:cs="Arial" w:eastAsia="Arial" w:hAnsi="Arial"/>
                <w:sz w:val="18"/>
                <w:szCs w:val="18"/>
                <w:b w:val="1"/>
                <w:bCs w:val="1"/>
                <w:color w:val="auto"/>
              </w:rPr>
              <w:t>CONSOLIDATED FINANCIAL STATEMENTS</w:t>
            </w:r>
          </w:p>
        </w:tc>
        <w:tc>
          <w:tcPr>
            <w:tcW w:w="1900" w:type="dxa"/>
            <w:vAlign w:val="bottom"/>
          </w:tcPr>
          <w:p>
            <w:pPr>
              <w:spacing w:after="0"/>
              <w:rPr>
                <w:sz w:val="18"/>
                <w:szCs w:val="18"/>
                <w:color w:val="auto"/>
              </w:rPr>
            </w:pPr>
          </w:p>
        </w:tc>
      </w:tr>
      <w:tr>
        <w:trPr>
          <w:trHeight w:val="234"/>
        </w:trPr>
        <w:tc>
          <w:tcPr>
            <w:tcW w:w="1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20" w:type="dxa"/>
            <w:vAlign w:val="bottom"/>
            <w:gridSpan w:val="2"/>
          </w:tcPr>
          <w:p>
            <w:pPr>
              <w:jc w:val="center"/>
              <w:ind w:right="1820"/>
              <w:spacing w:after="0"/>
              <w:rPr>
                <w:sz w:val="20"/>
                <w:szCs w:val="20"/>
                <w:color w:val="auto"/>
              </w:rPr>
            </w:pPr>
            <w:r>
              <w:rPr>
                <w:rFonts w:ascii="Arial" w:cs="Arial" w:eastAsia="Arial" w:hAnsi="Arial"/>
                <w:sz w:val="18"/>
                <w:szCs w:val="18"/>
                <w:b w:val="1"/>
                <w:bCs w:val="1"/>
                <w:color w:val="auto"/>
                <w:w w:val="93"/>
              </w:rPr>
              <w:t>AS OF JUNE 30, 2022</w:t>
            </w:r>
          </w:p>
        </w:tc>
        <w:tc>
          <w:tcPr>
            <w:tcW w:w="1900" w:type="dxa"/>
            <w:vAlign w:val="bottom"/>
          </w:tcPr>
          <w:p>
            <w:pPr>
              <w:spacing w:after="0"/>
              <w:rPr>
                <w:sz w:val="20"/>
                <w:szCs w:val="20"/>
                <w:color w:val="auto"/>
              </w:rPr>
            </w:pPr>
          </w:p>
        </w:tc>
      </w:tr>
      <w:tr>
        <w:trPr>
          <w:trHeight w:val="486"/>
        </w:trPr>
        <w:tc>
          <w:tcPr>
            <w:tcW w:w="1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392"/>
        </w:trPr>
        <w:tc>
          <w:tcPr>
            <w:tcW w:w="9340" w:type="dxa"/>
            <w:vAlign w:val="bottom"/>
            <w:gridSpan w:val="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BALANCE SHEETS</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0"/>
        </w:trPr>
        <w:tc>
          <w:tcPr>
            <w:tcW w:w="156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412"/>
        </w:trPr>
        <w:tc>
          <w:tcPr>
            <w:tcW w:w="9340" w:type="dxa"/>
            <w:vAlign w:val="bottom"/>
            <w:gridSpan w:val="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STATEMENTS OF OPERATIONS</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2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412"/>
        </w:trPr>
        <w:tc>
          <w:tcPr>
            <w:tcW w:w="9340" w:type="dxa"/>
            <w:vAlign w:val="bottom"/>
            <w:gridSpan w:val="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STATEMENTS OF COMPREHENSIVE INCOME</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0"/>
        </w:trPr>
        <w:tc>
          <w:tcPr>
            <w:tcW w:w="26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412"/>
        </w:trPr>
        <w:tc>
          <w:tcPr>
            <w:tcW w:w="9340" w:type="dxa"/>
            <w:vAlign w:val="bottom"/>
            <w:gridSpan w:val="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STATEMENTS OF CHANGES IN SHAREHOLDERS’ EQUITY</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412"/>
        </w:trPr>
        <w:tc>
          <w:tcPr>
            <w:tcW w:w="26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3"/>
              </w:rPr>
            </w:pPr>
            <w:hyperlink w:anchor="page10">
              <w:r>
                <w:rPr>
                  <w:rFonts w:ascii="Arial" w:cs="Arial" w:eastAsia="Arial" w:hAnsi="Arial"/>
                  <w:sz w:val="18"/>
                  <w:szCs w:val="18"/>
                  <w:color w:val="0000EE"/>
                  <w:w w:val="93"/>
                </w:rPr>
                <w:t>STATEMENTS OF CASH FLOWS</w:t>
              </w:r>
            </w:hyperlink>
          </w:p>
        </w:tc>
        <w:tc>
          <w:tcPr>
            <w:tcW w:w="2180" w:type="dxa"/>
            <w:vAlign w:val="bottom"/>
            <w:tcBorders>
              <w:top w:val="single" w:sz="8" w:color="0000EE"/>
            </w:tcBorders>
            <w:gridSpan w:val="3"/>
          </w:tcPr>
          <w:p>
            <w:pPr>
              <w:spacing w:after="0"/>
              <w:rPr>
                <w:sz w:val="24"/>
                <w:szCs w:val="24"/>
                <w:color w:val="auto"/>
              </w:rPr>
            </w:pPr>
          </w:p>
        </w:tc>
        <w:tc>
          <w:tcPr>
            <w:tcW w:w="45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F-6 - F-7</w:t>
            </w:r>
          </w:p>
        </w:tc>
      </w:tr>
      <w:tr>
        <w:trPr>
          <w:trHeight w:val="412"/>
        </w:trPr>
        <w:tc>
          <w:tcPr>
            <w:tcW w:w="9340" w:type="dxa"/>
            <w:vAlign w:val="bottom"/>
            <w:gridSpan w:val="7"/>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NOTES TO FINANCIAL STATEMENTS</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F-8 - F-9</w:t>
            </w:r>
          </w:p>
        </w:tc>
      </w:tr>
      <w:tr>
        <w:trPr>
          <w:trHeight w:val="507"/>
        </w:trPr>
        <w:tc>
          <w:tcPr>
            <w:tcW w:w="1560" w:type="dxa"/>
            <w:vAlign w:val="bottom"/>
            <w:tcBorders>
              <w:top w:val="single" w:sz="8" w:color="0000EE"/>
              <w:bottom w:val="single" w:sz="8" w:color="EEEEEE"/>
            </w:tcBorders>
          </w:tcPr>
          <w:p>
            <w:pPr>
              <w:spacing w:after="0"/>
              <w:rPr>
                <w:sz w:val="24"/>
                <w:szCs w:val="24"/>
                <w:color w:val="auto"/>
              </w:rPr>
            </w:pPr>
          </w:p>
        </w:tc>
        <w:tc>
          <w:tcPr>
            <w:tcW w:w="1000" w:type="dxa"/>
            <w:vAlign w:val="bottom"/>
            <w:tcBorders>
              <w:top w:val="single" w:sz="8" w:color="0000EE"/>
              <w:bottom w:val="single" w:sz="8" w:color="EEEEEE"/>
            </w:tcBorders>
          </w:tcPr>
          <w:p>
            <w:pPr>
              <w:spacing w:after="0"/>
              <w:rPr>
                <w:sz w:val="24"/>
                <w:szCs w:val="24"/>
                <w:color w:val="auto"/>
              </w:rPr>
            </w:pPr>
          </w:p>
        </w:tc>
        <w:tc>
          <w:tcPr>
            <w:tcW w:w="40" w:type="dxa"/>
            <w:vAlign w:val="bottom"/>
            <w:tcBorders>
              <w:top w:val="single" w:sz="8" w:color="0000EE"/>
              <w:bottom w:val="single" w:sz="8" w:color="EEEEEE"/>
            </w:tcBorders>
          </w:tcPr>
          <w:p>
            <w:pPr>
              <w:spacing w:after="0"/>
              <w:rPr>
                <w:sz w:val="24"/>
                <w:szCs w:val="24"/>
                <w:color w:val="auto"/>
              </w:rPr>
            </w:pPr>
          </w:p>
        </w:tc>
        <w:tc>
          <w:tcPr>
            <w:tcW w:w="460" w:type="dxa"/>
            <w:vAlign w:val="bottom"/>
            <w:tcBorders>
              <w:top w:val="single" w:sz="8" w:color="0000EE"/>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c>
          <w:tcPr>
            <w:tcW w:w="4560" w:type="dxa"/>
            <w:vAlign w:val="bottom"/>
            <w:tcBorders>
              <w:bottom w:val="single" w:sz="8" w:color="EEEEEE"/>
            </w:tcBorders>
          </w:tcPr>
          <w:p>
            <w:pPr>
              <w:spacing w:after="0"/>
              <w:rPr>
                <w:sz w:val="24"/>
                <w:szCs w:val="24"/>
                <w:color w:val="auto"/>
              </w:rPr>
            </w:pPr>
          </w:p>
        </w:tc>
        <w:tc>
          <w:tcPr>
            <w:tcW w:w="19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5772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TOWER SEMICONDUCTOR LTD. AND SUBSIDIARIES CONDENSED INTERIM CONSOLIDATED BALANCE SHEETS (UNAUDITED)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ind w:left="860"/>
              <w:spacing w:after="0"/>
              <w:rPr>
                <w:sz w:val="20"/>
                <w:szCs w:val="20"/>
                <w:color w:val="auto"/>
              </w:rPr>
            </w:pPr>
            <w:r>
              <w:rPr>
                <w:rFonts w:ascii="Arial" w:cs="Arial" w:eastAsia="Arial" w:hAnsi="Arial"/>
                <w:sz w:val="18"/>
                <w:szCs w:val="18"/>
                <w:b w:val="1"/>
                <w:bCs w:val="1"/>
                <w:color w:val="auto"/>
              </w:rPr>
              <w:t>As of</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Cash and cash equivalents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211,177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210,930</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b w:val="1"/>
                <w:bCs w:val="1"/>
                <w:color w:val="auto"/>
              </w:rPr>
              <w:t>Short-term deposits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468,298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363,648</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Marketable securities (*)</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176,487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190,068</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b w:val="1"/>
                <w:bCs w:val="1"/>
                <w:color w:val="auto"/>
              </w:rPr>
              <w:t>Trade accounts receivable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170,552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142,228</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Inventories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249,038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234,512</w:t>
            </w:r>
          </w:p>
        </w:tc>
      </w:tr>
      <w:tr>
        <w:trPr>
          <w:trHeight w:val="223"/>
        </w:trPr>
        <w:tc>
          <w:tcPr>
            <w:tcW w:w="8680" w:type="dxa"/>
            <w:vAlign w:val="bottom"/>
          </w:tcPr>
          <w:p>
            <w:pPr>
              <w:ind w:left="360"/>
              <w:spacing w:after="0"/>
              <w:rPr>
                <w:sz w:val="20"/>
                <w:szCs w:val="20"/>
                <w:color w:val="auto"/>
              </w:rPr>
            </w:pPr>
            <w:r>
              <w:rPr>
                <w:rFonts w:ascii="Arial" w:cs="Arial" w:eastAsia="Arial" w:hAnsi="Arial"/>
                <w:sz w:val="18"/>
                <w:szCs w:val="18"/>
                <w:b w:val="1"/>
                <w:bCs w:val="1"/>
                <w:color w:val="auto"/>
              </w:rPr>
              <w:t>Other current assets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43,253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54,817</w:t>
            </w:r>
          </w:p>
        </w:tc>
      </w:tr>
      <w:tr>
        <w:trPr>
          <w:trHeight w:val="216"/>
        </w:trPr>
        <w:tc>
          <w:tcPr>
            <w:tcW w:w="868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1,318,805</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1,196,203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LONG-TERM INVESTMENTS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26,544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39,597</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PROPERTY AND EQUIPMENT, NET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878,991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876,683</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GOODWILL AND OTHER INTANGIBLE ASSETS,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16,217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18,820</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DEFERRED TAX AND OTHER LONG-TERM ASSETS, NET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83,866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99,938</w:t>
            </w:r>
          </w:p>
        </w:tc>
      </w:tr>
      <w:tr>
        <w:trPr>
          <w:trHeight w:val="216"/>
        </w:trPr>
        <w:tc>
          <w:tcPr>
            <w:tcW w:w="8680" w:type="dxa"/>
            <w:vAlign w:val="bottom"/>
            <w:tcBorders>
              <w:top w:val="single" w:sz="8" w:color="CCEEFF"/>
            </w:tcBorders>
          </w:tcPr>
          <w:p>
            <w:pPr>
              <w:ind w:left="5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2,324,423</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2,231,241</w:t>
            </w: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Current maturities of long-term debt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79,535</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83,868</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b w:val="1"/>
                <w:bCs w:val="1"/>
                <w:color w:val="auto"/>
              </w:rPr>
              <w:t>Trade accounts payable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127,762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78,712</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Deferred revenue and customers' advances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38,632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39,992</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b w:val="1"/>
                <w:bCs w:val="1"/>
                <w:color w:val="auto"/>
              </w:rPr>
              <w:t>Employee related liabilities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61,831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57,747</w:t>
            </w:r>
          </w:p>
        </w:tc>
      </w:tr>
      <w:tr>
        <w:trPr>
          <w:trHeight w:val="223"/>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Other current liabilities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38,415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16,009</w:t>
            </w:r>
          </w:p>
        </w:tc>
      </w:tr>
      <w:tr>
        <w:trPr>
          <w:trHeight w:val="216"/>
        </w:trPr>
        <w:tc>
          <w:tcPr>
            <w:tcW w:w="8680" w:type="dxa"/>
            <w:vAlign w:val="bottom"/>
            <w:tcBorders>
              <w:top w:val="single" w:sz="8" w:color="CCEEFF"/>
            </w:tcBorders>
          </w:tcPr>
          <w:p>
            <w:pPr>
              <w:ind w:left="54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346,175</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276,328</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LONG-TERM DEBT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200,726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230,972</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LONG-TERM CUSTOMERS' ADVANCES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60,600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69,968</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EMPLOYEE RELATED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13,962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14,622</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DEFERRED TAX AND OTHER LONG-TERM LIABILITIES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14,410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23,962</w:t>
            </w:r>
          </w:p>
        </w:tc>
      </w:tr>
      <w:tr>
        <w:trPr>
          <w:trHeight w:val="223"/>
        </w:trPr>
        <w:tc>
          <w:tcPr>
            <w:tcW w:w="86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635,873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615,852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THE COMPANY'S SHAREHOLDERS' EQUITY</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1,705,271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1,622,007</w:t>
            </w:r>
          </w:p>
        </w:tc>
      </w:tr>
      <w:tr>
        <w:trPr>
          <w:trHeight w:val="223"/>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Non-controlling interest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(16,721)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(6,618)</w:t>
            </w:r>
          </w:p>
        </w:tc>
      </w:tr>
      <w:tr>
        <w:trPr>
          <w:trHeight w:val="216"/>
        </w:trPr>
        <w:tc>
          <w:tcPr>
            <w:tcW w:w="8680" w:type="dxa"/>
            <w:vAlign w:val="bottom"/>
            <w:tcBorders>
              <w:top w:val="single" w:sz="8" w:color="CCEEFF"/>
            </w:tcBorders>
          </w:tcPr>
          <w:p>
            <w:pPr>
              <w:ind w:left="540"/>
              <w:spacing w:after="0"/>
              <w:rPr>
                <w:sz w:val="20"/>
                <w:szCs w:val="20"/>
                <w:color w:val="auto"/>
              </w:rPr>
            </w:pPr>
            <w:r>
              <w:rPr>
                <w:rFonts w:ascii="Arial" w:cs="Arial" w:eastAsia="Arial" w:hAnsi="Arial"/>
                <w:sz w:val="18"/>
                <w:szCs w:val="18"/>
                <w:b w:val="1"/>
                <w:bCs w:val="1"/>
                <w:color w:val="auto"/>
              </w:rPr>
              <w:t>TOTAL SHAREHOLDERS' EQUITY</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1,688,550</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1,615,389</w:t>
            </w:r>
          </w:p>
        </w:tc>
        <w:tc>
          <w:tcPr>
            <w:tcW w:w="10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SHAREHOLDERS' EQUITY</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2,324,423</w:t>
            </w:r>
          </w:p>
        </w:tc>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2,231,241</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ind w:firstLine="8"/>
        <w:spacing w:after="0" w:line="282" w:lineRule="auto"/>
        <w:tabs>
          <w:tab w:leader="none" w:pos="25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 are available-for-sale securities; the amortized cost of such marketable securities of $184,257 and $189,543 as of June 30, 2022 and December 31, 2021, respectively, is presented net of an immaterial allowance for credit losses.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 w:name="page7"/>
    <w:bookmarkEnd w:id="6"/>
    <w:p>
      <w:pPr>
        <w:jc w:val="center"/>
        <w:ind w:left="340" w:right="1860"/>
        <w:spacing w:after="0" w:line="266" w:lineRule="auto"/>
        <w:rPr>
          <w:sz w:val="20"/>
          <w:szCs w:val="20"/>
          <w:color w:val="auto"/>
        </w:rPr>
      </w:pPr>
      <w:r>
        <w:rPr>
          <w:rFonts w:ascii="Arial" w:cs="Arial" w:eastAsia="Arial" w:hAnsi="Arial"/>
          <w:sz w:val="18"/>
          <w:szCs w:val="18"/>
          <w:b w:val="1"/>
          <w:bCs w:val="1"/>
          <w:color w:val="auto"/>
        </w:rPr>
        <w:t>TOWER SEMICONDUCTOR LTD. AND SUBSIDIARIES CONDENSED INTERIM CONSOLIDATED STATEMENTS OF OPERATIONS (UNAUDITED) (dollars and shares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0"/>
              </w:rPr>
              <w:t>Six months ended June 30,</w:t>
            </w:r>
          </w:p>
        </w:tc>
        <w:tc>
          <w:tcPr>
            <w:tcW w:w="254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1"/>
              </w:rPr>
              <w:t>Three months ended June 30,</w:t>
            </w:r>
          </w:p>
        </w:tc>
      </w:tr>
      <w:tr>
        <w:trPr>
          <w:trHeight w:val="223"/>
        </w:trPr>
        <w:tc>
          <w:tcPr>
            <w:tcW w:w="59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847,300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709,352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426,168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362,138</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COST OF REVENUES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630,229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565,783</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313,728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288,383</w:t>
            </w:r>
          </w:p>
        </w:tc>
      </w:tr>
      <w:tr>
        <w:trPr>
          <w:trHeight w:val="223"/>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217,071</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143,569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112,440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73,755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Research and development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40,799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41,424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20,481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21,081</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b w:val="1"/>
                <w:bCs w:val="1"/>
                <w:color w:val="auto"/>
              </w:rPr>
              <w:t>Marketing, general and administrative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42,538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35,662</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21,285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18,671</w:t>
            </w:r>
          </w:p>
        </w:tc>
      </w:tr>
      <w:tr>
        <w:trPr>
          <w:trHeight w:val="257"/>
        </w:trPr>
        <w:tc>
          <w:tcPr>
            <w:tcW w:w="5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83,337</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77,086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41,766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39,752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PROFIT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133,734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66,483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70,674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34,003</w:t>
            </w: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FINANCING AND OTHER EXPENSE, NET</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(10,295)</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(8,326)</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(8,162)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(484)</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PROFIT BEFORE INCOME TAX</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123,439</w:t>
            </w: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58,157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62,512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33,519</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INCOME TAX BENEFIT (EXPENSE), NET</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(9,492)</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3,674</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(4,339)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(2,202)</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PROFIT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113,947</w:t>
            </w: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61,831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58,173</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31,317</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Net income attributable to non-controlling interest</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(1,837)</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(2,643)</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(451)</w:t>
            </w:r>
          </w:p>
        </w:tc>
      </w:tr>
      <w:tr>
        <w:trPr>
          <w:trHeight w:val="257"/>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PROFIT ATTRIBUTABLE TO THE COMPANY</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112,110</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59,188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58,077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30,866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b w:val="1"/>
                <w:bCs w:val="1"/>
                <w:color w:val="auto"/>
              </w:rPr>
              <w:t>BASIC EARNINGS PER SHARE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Earnings per share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0.55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0.53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0.29</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980" w:type="dxa"/>
            <w:vAlign w:val="bottom"/>
          </w:tcPr>
          <w:p>
            <w:pPr>
              <w:ind w:left="180"/>
              <w:spacing w:after="0"/>
              <w:rPr>
                <w:sz w:val="20"/>
                <w:szCs w:val="20"/>
                <w:color w:val="auto"/>
              </w:rPr>
            </w:pPr>
            <w:r>
              <w:rPr>
                <w:rFonts w:ascii="Arial" w:cs="Arial" w:eastAsia="Arial" w:hAnsi="Arial"/>
                <w:sz w:val="18"/>
                <w:szCs w:val="18"/>
                <w:b w:val="1"/>
                <w:bCs w:val="1"/>
                <w:color w:val="auto"/>
              </w:rPr>
              <w:t>Weighted average number of shares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109,037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107,992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109,138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108,043</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ORDINARY SHARE: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b w:val="1"/>
                <w:bCs w:val="1"/>
                <w:color w:val="auto"/>
              </w:rPr>
              <w:t>Earnings per share</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2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0.54</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0.53</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0.28</w:t>
            </w:r>
          </w:p>
        </w:tc>
      </w:tr>
      <w:tr>
        <w:trPr>
          <w:trHeight w:val="21"/>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profit used for diluted earnings per share</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112,110</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59,188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58,077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30,866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1"/>
        </w:trPr>
        <w:tc>
          <w:tcPr>
            <w:tcW w:w="598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Weighted average number of ordinary shares outstanding used for</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980" w:type="dxa"/>
            <w:vAlign w:val="bottom"/>
          </w:tcPr>
          <w:p>
            <w:pPr>
              <w:ind w:left="180"/>
              <w:spacing w:after="0"/>
              <w:rPr>
                <w:sz w:val="20"/>
                <w:szCs w:val="20"/>
                <w:color w:val="auto"/>
              </w:rPr>
            </w:pPr>
            <w:r>
              <w:rPr>
                <w:rFonts w:ascii="Arial" w:cs="Arial" w:eastAsia="Arial" w:hAnsi="Arial"/>
                <w:sz w:val="18"/>
                <w:szCs w:val="18"/>
                <w:b w:val="1"/>
                <w:bCs w:val="1"/>
                <w:color w:val="auto"/>
              </w:rPr>
              <w:t>diluted earnings per share</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110,561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109,545</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110,561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109,629</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INTERIM CONSOLIDATED STATEMENTS OF COMPREHENSIVE INCOME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0"/>
              </w:rPr>
              <w:t>Six months ended June 30,</w:t>
            </w:r>
          </w:p>
        </w:tc>
        <w:tc>
          <w:tcPr>
            <w:tcW w:w="254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1"/>
              </w:rPr>
              <w:t>Three months ended June 30,</w:t>
            </w:r>
          </w:p>
        </w:tc>
      </w:tr>
      <w:tr>
        <w:trPr>
          <w:trHeight w:val="223"/>
        </w:trPr>
        <w:tc>
          <w:tcPr>
            <w:tcW w:w="59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profit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113,947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61,831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58,173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31,317</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Foreign currency translation adjustment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(25,206)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(9,741)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(16,921)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1,209</w:t>
            </w:r>
          </w:p>
        </w:tc>
      </w:tr>
      <w:tr>
        <w:trPr>
          <w:trHeight w:val="198"/>
        </w:trPr>
        <w:tc>
          <w:tcPr>
            <w:tcW w:w="5980" w:type="dxa"/>
            <w:vAlign w:val="bottom"/>
          </w:tcPr>
          <w:p>
            <w:pPr>
              <w:ind w:left="360"/>
              <w:spacing w:after="0" w:line="198" w:lineRule="exact"/>
              <w:rPr>
                <w:sz w:val="20"/>
                <w:szCs w:val="20"/>
                <w:color w:val="auto"/>
              </w:rPr>
            </w:pPr>
            <w:r>
              <w:rPr>
                <w:rFonts w:ascii="Arial" w:cs="Arial" w:eastAsia="Arial" w:hAnsi="Arial"/>
                <w:sz w:val="18"/>
                <w:szCs w:val="18"/>
                <w:b w:val="1"/>
                <w:bCs w:val="1"/>
                <w:color w:val="auto"/>
              </w:rPr>
              <w:t>Change in employees plan assets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80" w:type="dxa"/>
            <w:vAlign w:val="bottom"/>
          </w:tcPr>
          <w:p>
            <w:pPr>
              <w:ind w:left="500"/>
              <w:spacing w:after="0"/>
              <w:rPr>
                <w:sz w:val="20"/>
                <w:szCs w:val="20"/>
                <w:color w:val="auto"/>
              </w:rPr>
            </w:pPr>
            <w:r>
              <w:rPr>
                <w:rFonts w:ascii="Arial" w:cs="Arial" w:eastAsia="Arial" w:hAnsi="Arial"/>
                <w:sz w:val="18"/>
                <w:szCs w:val="18"/>
                <w:b w:val="1"/>
                <w:bCs w:val="1"/>
                <w:color w:val="auto"/>
              </w:rPr>
              <w:t>and benefit obligations, net of taxes</w:t>
            </w:r>
          </w:p>
        </w:tc>
        <w:tc>
          <w:tcPr>
            <w:tcW w:w="1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(100)</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(50)</w:t>
            </w: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Unrealized gain (loss) on derivatives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(14,922)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(523)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(8,151)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1,134</w:t>
            </w:r>
          </w:p>
        </w:tc>
      </w:tr>
      <w:tr>
        <w:trPr>
          <w:trHeight w:val="27"/>
        </w:trPr>
        <w:tc>
          <w:tcPr>
            <w:tcW w:w="5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b w:val="1"/>
                <w:bCs w:val="1"/>
                <w:color w:val="auto"/>
              </w:rPr>
              <w:t>Comprehensive income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73,799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51,467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33,091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33,610</w:t>
            </w:r>
          </w:p>
        </w:tc>
      </w:tr>
      <w:tr>
        <w:trPr>
          <w:trHeight w:val="198"/>
        </w:trPr>
        <w:tc>
          <w:tcPr>
            <w:tcW w:w="5980" w:type="dxa"/>
            <w:vAlign w:val="bottom"/>
            <w:shd w:val="clear" w:color="auto" w:fill="CCEEFF"/>
          </w:tcPr>
          <w:p>
            <w:pPr>
              <w:ind w:left="360"/>
              <w:spacing w:after="0" w:line="198" w:lineRule="exact"/>
              <w:rPr>
                <w:sz w:val="20"/>
                <w:szCs w:val="20"/>
                <w:color w:val="auto"/>
              </w:rPr>
            </w:pPr>
            <w:r>
              <w:rPr>
                <w:rFonts w:ascii="Arial" w:cs="Arial" w:eastAsia="Arial" w:hAnsi="Arial"/>
                <w:sz w:val="18"/>
                <w:szCs w:val="18"/>
                <w:b w:val="1"/>
                <w:bCs w:val="1"/>
                <w:color w:val="auto"/>
              </w:rPr>
              <w:t>Comprehensive loss (income) attributable</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to non-controlling interest</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(1,837)</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2,021</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(552)</w:t>
            </w:r>
          </w:p>
        </w:tc>
      </w:tr>
      <w:tr>
        <w:trPr>
          <w:trHeight w:val="27"/>
        </w:trPr>
        <w:tc>
          <w:tcPr>
            <w:tcW w:w="5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b w:val="1"/>
                <w:bCs w:val="1"/>
                <w:color w:val="auto"/>
              </w:rPr>
              <w:t>Comprehensive income attributable to the Company</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71,962</w:t>
            </w:r>
          </w:p>
        </w:tc>
        <w:tc>
          <w:tcPr>
            <w:tcW w:w="2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53,488</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32,995</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33,058</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INTERIM CONSOLIDATED STATEMENT OF CHANGES IN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and share data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13"/>
          </w:tcPr>
          <w:p>
            <w:pPr>
              <w:jc w:val="right"/>
              <w:ind w:right="280"/>
              <w:spacing w:after="0"/>
              <w:rPr>
                <w:sz w:val="20"/>
                <w:szCs w:val="20"/>
                <w:color w:val="auto"/>
              </w:rPr>
            </w:pPr>
            <w:r>
              <w:rPr>
                <w:rFonts w:ascii="Arial" w:cs="Arial" w:eastAsia="Arial" w:hAnsi="Arial"/>
                <w:sz w:val="14"/>
                <w:szCs w:val="14"/>
                <w:b w:val="1"/>
                <w:bCs w:val="1"/>
                <w:color w:val="auto"/>
              </w:rPr>
              <w:t>THE COMPANY'S SHAREHOLDERS' EQUITY</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46"/>
        </w:trPr>
        <w:tc>
          <w:tcPr>
            <w:tcW w:w="15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86"/>
        </w:trPr>
        <w:tc>
          <w:tcPr>
            <w:tcW w:w="1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Foreign</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7"/>
        </w:trPr>
        <w:tc>
          <w:tcPr>
            <w:tcW w:w="1580" w:type="dxa"/>
            <w:vAlign w:val="bottom"/>
          </w:tcPr>
          <w:p>
            <w:pPr>
              <w:spacing w:after="0"/>
              <w:rPr>
                <w:sz w:val="17"/>
                <w:szCs w:val="17"/>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Ordinary</w:t>
            </w: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Ordinary</w:t>
            </w:r>
          </w:p>
        </w:tc>
        <w:tc>
          <w:tcPr>
            <w:tcW w:w="80" w:type="dxa"/>
            <w:vAlign w:val="bottom"/>
          </w:tcPr>
          <w:p>
            <w:pPr>
              <w:spacing w:after="0"/>
              <w:rPr>
                <w:sz w:val="17"/>
                <w:szCs w:val="17"/>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7"/>
                <w:szCs w:val="17"/>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currency</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Non</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580" w:type="dxa"/>
            <w:vAlign w:val="bottom"/>
          </w:tcPr>
          <w:p>
            <w:pPr>
              <w:spacing w:after="0"/>
              <w:rPr>
                <w:sz w:val="18"/>
                <w:szCs w:val="18"/>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shares</w:t>
            </w: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shares</w:t>
            </w:r>
          </w:p>
        </w:tc>
        <w:tc>
          <w:tcPr>
            <w:tcW w:w="8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paid-in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Unearned</w:t>
            </w:r>
          </w:p>
        </w:tc>
        <w:tc>
          <w:tcPr>
            <w:tcW w:w="11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comprehensive</w:t>
            </w:r>
          </w:p>
        </w:tc>
        <w:tc>
          <w:tcPr>
            <w:tcW w:w="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translation</w:t>
            </w:r>
          </w:p>
        </w:tc>
        <w:tc>
          <w:tcPr>
            <w:tcW w:w="960" w:type="dxa"/>
            <w:vAlign w:val="bottom"/>
            <w:gridSpan w:val="4"/>
          </w:tcPr>
          <w:p>
            <w:pPr>
              <w:ind w:left="60"/>
              <w:spacing w:after="0"/>
              <w:rPr>
                <w:sz w:val="20"/>
                <w:szCs w:val="20"/>
                <w:color w:val="auto"/>
              </w:rPr>
            </w:pPr>
            <w:r>
              <w:rPr>
                <w:rFonts w:ascii="Arial" w:cs="Arial" w:eastAsia="Arial" w:hAnsi="Arial"/>
                <w:sz w:val="14"/>
                <w:szCs w:val="14"/>
                <w:b w:val="1"/>
                <w:bCs w:val="1"/>
                <w:color w:val="auto"/>
              </w:rPr>
              <w:t>Accumulated</w:t>
            </w:r>
          </w:p>
        </w:tc>
        <w:tc>
          <w:tcPr>
            <w:tcW w:w="1880" w:type="dxa"/>
            <w:vAlign w:val="bottom"/>
            <w:gridSpan w:val="7"/>
          </w:tcPr>
          <w:p>
            <w:pPr>
              <w:ind w:left="60"/>
              <w:spacing w:after="0"/>
              <w:rPr>
                <w:sz w:val="20"/>
                <w:szCs w:val="20"/>
                <w:color w:val="auto"/>
              </w:rPr>
            </w:pPr>
            <w:r>
              <w:rPr>
                <w:rFonts w:ascii="Arial" w:cs="Arial" w:eastAsia="Arial" w:hAnsi="Arial"/>
                <w:sz w:val="14"/>
                <w:szCs w:val="14"/>
                <w:b w:val="1"/>
                <w:bCs w:val="1"/>
                <w:color w:val="auto"/>
              </w:rPr>
              <w:t>Treasury  Comprehensive</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controlling</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issued</w:t>
            </w: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8"/>
                <w:szCs w:val="18"/>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capital</w:t>
            </w:r>
          </w:p>
        </w:tc>
        <w:tc>
          <w:tcPr>
            <w:tcW w:w="980" w:type="dxa"/>
            <w:vAlign w:val="bottom"/>
            <w:gridSpan w:val="4"/>
          </w:tcPr>
          <w:p>
            <w:pPr>
              <w:ind w:left="60"/>
              <w:spacing w:after="0"/>
              <w:rPr>
                <w:sz w:val="20"/>
                <w:szCs w:val="20"/>
                <w:color w:val="auto"/>
              </w:rPr>
            </w:pPr>
            <w:r>
              <w:rPr>
                <w:rFonts w:ascii="Arial" w:cs="Arial" w:eastAsia="Arial" w:hAnsi="Arial"/>
                <w:sz w:val="14"/>
                <w:szCs w:val="14"/>
                <w:b w:val="1"/>
                <w:bCs w:val="1"/>
                <w:color w:val="auto"/>
                <w:w w:val="94"/>
              </w:rPr>
              <w:t>compensation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8"/>
              </w:rPr>
              <w:t>loss</w:t>
            </w:r>
          </w:p>
        </w:tc>
        <w:tc>
          <w:tcPr>
            <w:tcW w:w="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adjustments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7"/>
              </w:rPr>
              <w:t>stock</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interest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46"/>
        </w:trPr>
        <w:tc>
          <w:tcPr>
            <w:tcW w:w="15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166"/>
        </w:trPr>
        <w:tc>
          <w:tcPr>
            <w:tcW w:w="1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AS OF</w:t>
            </w: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85"/>
        </w:trPr>
        <w:tc>
          <w:tcPr>
            <w:tcW w:w="1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JANUARY 1, 2022</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108,970</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89"/>
              </w:rPr>
              <w:t>$ 435,453</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$ 1,389,051</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149,906</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(412)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(27,471)</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(315,448)</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(9,072)</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(6,618)</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89"/>
              </w:rPr>
              <w:t>$ 1,615,389</w:t>
            </w:r>
          </w:p>
        </w:tc>
      </w:tr>
      <w:tr>
        <w:trPr>
          <w:trHeight w:val="166"/>
        </w:trPr>
        <w:tc>
          <w:tcPr>
            <w:tcW w:w="1580" w:type="dxa"/>
            <w:vAlign w:val="bottom"/>
          </w:tcPr>
          <w:p>
            <w:pPr>
              <w:spacing w:after="0"/>
              <w:rPr>
                <w:sz w:val="20"/>
                <w:szCs w:val="20"/>
                <w:color w:val="auto"/>
              </w:rPr>
            </w:pPr>
            <w:r>
              <w:rPr>
                <w:rFonts w:ascii="Arial" w:cs="Arial" w:eastAsia="Arial" w:hAnsi="Arial"/>
                <w:sz w:val="14"/>
                <w:szCs w:val="14"/>
                <w:b w:val="1"/>
                <w:bCs w:val="1"/>
                <w:color w:val="auto"/>
              </w:rPr>
              <w:t>Changes during the</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1580" w:type="dxa"/>
            <w:vAlign w:val="bottom"/>
          </w:tcPr>
          <w:p>
            <w:pPr>
              <w:spacing w:after="0"/>
              <w:rPr>
                <w:sz w:val="20"/>
                <w:szCs w:val="20"/>
                <w:color w:val="auto"/>
              </w:rPr>
            </w:pPr>
            <w:r>
              <w:rPr>
                <w:rFonts w:ascii="Arial" w:cs="Arial" w:eastAsia="Arial" w:hAnsi="Arial"/>
                <w:sz w:val="14"/>
                <w:szCs w:val="14"/>
                <w:b w:val="1"/>
                <w:bCs w:val="1"/>
                <w:color w:val="auto"/>
              </w:rPr>
              <w:t>period:</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6"/>
        </w:trPr>
        <w:tc>
          <w:tcPr>
            <w:tcW w:w="1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8"/>
              </w:rPr>
              <w:t>Exercise of options and</w:t>
            </w: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85"/>
        </w:trPr>
        <w:tc>
          <w:tcPr>
            <w:tcW w:w="1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RSUs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402</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1,812</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(1,768)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44</w:t>
            </w:r>
          </w:p>
        </w:tc>
      </w:tr>
      <w:tr>
        <w:trPr>
          <w:trHeight w:val="166"/>
        </w:trPr>
        <w:tc>
          <w:tcPr>
            <w:tcW w:w="1580" w:type="dxa"/>
            <w:vAlign w:val="bottom"/>
          </w:tcPr>
          <w:p>
            <w:pPr>
              <w:spacing w:after="0"/>
              <w:rPr>
                <w:sz w:val="20"/>
                <w:szCs w:val="20"/>
                <w:color w:val="auto"/>
              </w:rPr>
            </w:pPr>
            <w:r>
              <w:rPr>
                <w:rFonts w:ascii="Arial" w:cs="Arial" w:eastAsia="Arial" w:hAnsi="Arial"/>
                <w:sz w:val="14"/>
                <w:szCs w:val="14"/>
                <w:b w:val="1"/>
                <w:bCs w:val="1"/>
                <w:color w:val="auto"/>
              </w:rPr>
              <w:t>Employee stock-based</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1580" w:type="dxa"/>
            <w:vAlign w:val="bottom"/>
          </w:tcPr>
          <w:p>
            <w:pPr>
              <w:spacing w:after="0"/>
              <w:rPr>
                <w:sz w:val="20"/>
                <w:szCs w:val="20"/>
                <w:color w:val="auto"/>
              </w:rPr>
            </w:pPr>
            <w:r>
              <w:rPr>
                <w:rFonts w:ascii="Arial" w:cs="Arial" w:eastAsia="Arial" w:hAnsi="Arial"/>
                <w:sz w:val="14"/>
                <w:szCs w:val="14"/>
                <w:b w:val="1"/>
                <w:bCs w:val="1"/>
                <w:color w:val="auto"/>
              </w:rPr>
              <w:t>compensation</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11,258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11,258</w:t>
            </w:r>
          </w:p>
        </w:tc>
      </w:tr>
      <w:tr>
        <w:trPr>
          <w:trHeight w:val="166"/>
        </w:trPr>
        <w:tc>
          <w:tcPr>
            <w:tcW w:w="1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comprehensive</w:t>
            </w: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85"/>
        </w:trPr>
        <w:tc>
          <w:tcPr>
            <w:tcW w:w="1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income:</w:t>
            </w: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1580" w:type="dxa"/>
            <w:vAlign w:val="bottom"/>
          </w:tcPr>
          <w:p>
            <w:pPr>
              <w:ind w:left="180"/>
              <w:spacing w:after="0"/>
              <w:rPr>
                <w:sz w:val="20"/>
                <w:szCs w:val="20"/>
                <w:color w:val="auto"/>
              </w:rPr>
            </w:pPr>
            <w:r>
              <w:rPr>
                <w:rFonts w:ascii="Arial" w:cs="Arial" w:eastAsia="Arial" w:hAnsi="Arial"/>
                <w:sz w:val="14"/>
                <w:szCs w:val="14"/>
                <w:b w:val="1"/>
                <w:bCs w:val="1"/>
                <w:color w:val="auto"/>
              </w:rPr>
              <w:t>Profit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112,110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112,110</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1,837</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113,947</w:t>
            </w:r>
          </w:p>
        </w:tc>
      </w:tr>
      <w:tr>
        <w:trPr>
          <w:trHeight w:val="166"/>
        </w:trPr>
        <w:tc>
          <w:tcPr>
            <w:tcW w:w="158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Foreign currency</w:t>
            </w: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5"/>
        </w:trPr>
        <w:tc>
          <w:tcPr>
            <w:tcW w:w="158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translation</w:t>
            </w: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5"/>
        </w:trPr>
        <w:tc>
          <w:tcPr>
            <w:tcW w:w="158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adjustments</w:t>
            </w: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(25,206)</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(25,206)</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(11,940)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(37,146)</w:t>
            </w:r>
          </w:p>
        </w:tc>
      </w:tr>
      <w:tr>
        <w:trPr>
          <w:trHeight w:val="166"/>
        </w:trPr>
        <w:tc>
          <w:tcPr>
            <w:tcW w:w="1580" w:type="dxa"/>
            <w:vAlign w:val="bottom"/>
          </w:tcPr>
          <w:p>
            <w:pPr>
              <w:ind w:left="180"/>
              <w:spacing w:after="0"/>
              <w:rPr>
                <w:sz w:val="20"/>
                <w:szCs w:val="20"/>
                <w:color w:val="auto"/>
              </w:rPr>
            </w:pPr>
            <w:r>
              <w:rPr>
                <w:rFonts w:ascii="Arial" w:cs="Arial" w:eastAsia="Arial" w:hAnsi="Arial"/>
                <w:sz w:val="14"/>
                <w:szCs w:val="14"/>
                <w:b w:val="1"/>
                <w:bCs w:val="1"/>
                <w:color w:val="auto"/>
                <w:w w:val="95"/>
              </w:rPr>
              <w:t>Change in employees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6"/>
        </w:trPr>
        <w:tc>
          <w:tcPr>
            <w:tcW w:w="1580" w:type="dxa"/>
            <w:vAlign w:val="bottom"/>
          </w:tcPr>
          <w:p>
            <w:pPr>
              <w:ind w:left="180"/>
              <w:spacing w:after="0"/>
              <w:rPr>
                <w:sz w:val="20"/>
                <w:szCs w:val="20"/>
                <w:color w:val="auto"/>
              </w:rPr>
            </w:pPr>
            <w:r>
              <w:rPr>
                <w:rFonts w:ascii="Arial" w:cs="Arial" w:eastAsia="Arial" w:hAnsi="Arial"/>
                <w:sz w:val="14"/>
                <w:szCs w:val="14"/>
                <w:b w:val="1"/>
                <w:bCs w:val="1"/>
                <w:color w:val="auto"/>
              </w:rPr>
              <w:t>plan assets and</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1580" w:type="dxa"/>
            <w:vAlign w:val="bottom"/>
          </w:tcPr>
          <w:p>
            <w:pPr>
              <w:ind w:left="180"/>
              <w:spacing w:after="0"/>
              <w:rPr>
                <w:sz w:val="20"/>
                <w:szCs w:val="20"/>
                <w:color w:val="auto"/>
              </w:rPr>
            </w:pPr>
            <w:r>
              <w:rPr>
                <w:rFonts w:ascii="Arial" w:cs="Arial" w:eastAsia="Arial" w:hAnsi="Arial"/>
                <w:sz w:val="14"/>
                <w:szCs w:val="14"/>
                <w:b w:val="1"/>
                <w:bCs w:val="1"/>
                <w:color w:val="auto"/>
              </w:rPr>
              <w:t>benefit obligations</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w:t>
            </w:r>
          </w:p>
        </w:tc>
      </w:tr>
      <w:tr>
        <w:trPr>
          <w:trHeight w:val="166"/>
        </w:trPr>
        <w:tc>
          <w:tcPr>
            <w:tcW w:w="158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Unrealized loss on</w:t>
            </w: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92"/>
        </w:trPr>
        <w:tc>
          <w:tcPr>
            <w:tcW w:w="158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derivatives</w:t>
            </w: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(14,922)</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(14,922)</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(14,922)</w:t>
            </w:r>
          </w:p>
        </w:tc>
      </w:tr>
      <w:tr>
        <w:trPr>
          <w:trHeight w:val="166"/>
        </w:trPr>
        <w:tc>
          <w:tcPr>
            <w:tcW w:w="1580" w:type="dxa"/>
            <w:vAlign w:val="bottom"/>
            <w:tcBorders>
              <w:top w:val="single" w:sz="8" w:color="CCEEFF"/>
            </w:tcBorders>
          </w:tcPr>
          <w:p>
            <w:pPr>
              <w:ind w:left="180"/>
              <w:spacing w:after="0"/>
              <w:rPr>
                <w:sz w:val="20"/>
                <w:szCs w:val="20"/>
                <w:color w:val="auto"/>
              </w:rPr>
            </w:pPr>
            <w:r>
              <w:rPr>
                <w:rFonts w:ascii="Arial" w:cs="Arial" w:eastAsia="Arial" w:hAnsi="Arial"/>
                <w:sz w:val="14"/>
                <w:szCs w:val="14"/>
                <w:b w:val="1"/>
                <w:bCs w:val="1"/>
                <w:color w:val="auto"/>
              </w:rPr>
              <w:t>Comprehensive</w:t>
            </w:r>
          </w:p>
        </w:tc>
        <w:tc>
          <w:tcPr>
            <w:tcW w:w="5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6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185"/>
        </w:trPr>
        <w:tc>
          <w:tcPr>
            <w:tcW w:w="1580" w:type="dxa"/>
            <w:vAlign w:val="bottom"/>
          </w:tcPr>
          <w:p>
            <w:pPr>
              <w:ind w:left="180"/>
              <w:spacing w:after="0"/>
              <w:rPr>
                <w:sz w:val="20"/>
                <w:szCs w:val="20"/>
                <w:color w:val="auto"/>
              </w:rPr>
            </w:pPr>
            <w:r>
              <w:rPr>
                <w:rFonts w:ascii="Arial" w:cs="Arial" w:eastAsia="Arial" w:hAnsi="Arial"/>
                <w:sz w:val="14"/>
                <w:szCs w:val="14"/>
                <w:b w:val="1"/>
                <w:bCs w:val="1"/>
                <w:color w:val="auto"/>
              </w:rPr>
              <w:t>income</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71,962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
        </w:trPr>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1580" w:type="dxa"/>
            <w:vAlign w:val="bottom"/>
            <w:shd w:val="clear" w:color="auto" w:fill="CCEEFF"/>
          </w:tcPr>
          <w:p>
            <w:pPr>
              <w:ind w:left="360"/>
              <w:spacing w:after="0" w:line="160" w:lineRule="exact"/>
              <w:rPr>
                <w:sz w:val="20"/>
                <w:szCs w:val="20"/>
                <w:color w:val="auto"/>
              </w:rPr>
            </w:pPr>
            <w:r>
              <w:rPr>
                <w:rFonts w:ascii="Arial" w:cs="Arial" w:eastAsia="Arial" w:hAnsi="Arial"/>
                <w:sz w:val="14"/>
                <w:szCs w:val="14"/>
                <w:b w:val="1"/>
                <w:bCs w:val="1"/>
                <w:color w:val="auto"/>
              </w:rPr>
              <w:t>BALANCE AS</w:t>
            </w: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75"/>
        </w:trPr>
        <w:tc>
          <w:tcPr>
            <w:tcW w:w="158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OF JUNE 30,</w:t>
            </w: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25"/>
        </w:trPr>
        <w:tc>
          <w:tcPr>
            <w:tcW w:w="158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2022</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109,372</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89"/>
              </w:rPr>
              <w:t>$ 437,265</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$ 1,387,283</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161,164</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(15,354)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(52,677)</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(203,338)</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(9,072)</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(16,721)</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89"/>
              </w:rPr>
              <w:t>$ 1,688,550</w:t>
            </w:r>
          </w:p>
        </w:tc>
      </w:tr>
      <w:tr>
        <w:trPr>
          <w:trHeight w:val="160"/>
        </w:trPr>
        <w:tc>
          <w:tcPr>
            <w:tcW w:w="1580" w:type="dxa"/>
            <w:vAlign w:val="bottom"/>
            <w:tcBorders>
              <w:top w:val="single" w:sz="8" w:color="CCEEFF"/>
            </w:tcBorders>
          </w:tcPr>
          <w:p>
            <w:pPr>
              <w:spacing w:after="0" w:line="160" w:lineRule="exact"/>
              <w:rPr>
                <w:sz w:val="20"/>
                <w:szCs w:val="20"/>
                <w:color w:val="auto"/>
              </w:rPr>
            </w:pPr>
            <w:r>
              <w:rPr>
                <w:rFonts w:ascii="Arial" w:cs="Arial" w:eastAsia="Arial" w:hAnsi="Arial"/>
                <w:sz w:val="14"/>
                <w:szCs w:val="14"/>
                <w:b w:val="1"/>
                <w:bCs w:val="1"/>
                <w:color w:val="auto"/>
              </w:rPr>
              <w:t>OUTSTANDING</w:t>
            </w:r>
          </w:p>
        </w:tc>
        <w:tc>
          <w:tcPr>
            <w:tcW w:w="58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78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r>
      <w:tr>
        <w:trPr>
          <w:trHeight w:val="176"/>
        </w:trPr>
        <w:tc>
          <w:tcPr>
            <w:tcW w:w="1580" w:type="dxa"/>
            <w:vAlign w:val="bottom"/>
          </w:tcPr>
          <w:p>
            <w:pPr>
              <w:spacing w:after="0"/>
              <w:rPr>
                <w:sz w:val="20"/>
                <w:szCs w:val="20"/>
                <w:color w:val="auto"/>
              </w:rPr>
            </w:pPr>
            <w:r>
              <w:rPr>
                <w:rFonts w:ascii="Arial" w:cs="Arial" w:eastAsia="Arial" w:hAnsi="Arial"/>
                <w:sz w:val="14"/>
                <w:szCs w:val="14"/>
                <w:b w:val="1"/>
                <w:bCs w:val="1"/>
                <w:color w:val="auto"/>
              </w:rPr>
              <w:t>SHARES, NET OF</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1580" w:type="dxa"/>
            <w:vAlign w:val="bottom"/>
          </w:tcPr>
          <w:p>
            <w:pPr>
              <w:spacing w:after="0"/>
              <w:rPr>
                <w:sz w:val="20"/>
                <w:szCs w:val="20"/>
                <w:color w:val="auto"/>
              </w:rPr>
            </w:pPr>
            <w:r>
              <w:rPr>
                <w:rFonts w:ascii="Arial" w:cs="Arial" w:eastAsia="Arial" w:hAnsi="Arial"/>
                <w:sz w:val="14"/>
                <w:szCs w:val="14"/>
                <w:b w:val="1"/>
                <w:bCs w:val="1"/>
                <w:color w:val="auto"/>
              </w:rPr>
              <w:t>TREASURY STOCK</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1580" w:type="dxa"/>
            <w:vAlign w:val="bottom"/>
          </w:tcPr>
          <w:p>
            <w:pPr>
              <w:spacing w:after="0"/>
              <w:rPr>
                <w:sz w:val="20"/>
                <w:szCs w:val="20"/>
                <w:color w:val="auto"/>
              </w:rPr>
            </w:pPr>
            <w:r>
              <w:rPr>
                <w:rFonts w:ascii="Arial" w:cs="Arial" w:eastAsia="Arial" w:hAnsi="Arial"/>
                <w:sz w:val="14"/>
                <w:szCs w:val="14"/>
                <w:b w:val="1"/>
                <w:bCs w:val="1"/>
                <w:color w:val="auto"/>
              </w:rPr>
              <w:t>AS OF JUNE 30, 2022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109,285</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 w:name="page10"/>
    <w:bookmarkEnd w:id="9"/>
    <w:p>
      <w:pPr>
        <w:jc w:val="center"/>
        <w:spacing w:after="0" w:line="275" w:lineRule="auto"/>
        <w:rPr>
          <w:sz w:val="20"/>
          <w:szCs w:val="20"/>
          <w:color w:val="auto"/>
        </w:rPr>
      </w:pPr>
      <w:r>
        <w:rPr>
          <w:rFonts w:ascii="Arial" w:cs="Arial" w:eastAsia="Arial" w:hAnsi="Arial"/>
          <w:sz w:val="18"/>
          <w:szCs w:val="18"/>
          <w:b w:val="1"/>
          <w:bCs w:val="1"/>
          <w:color w:val="auto"/>
        </w:rPr>
        <w:t>TOWER SEMICONDUCTOR LTD. AND SUBSIDIARIES CONDENSED INTERIM CONSOLIDATED STATEMENTS OF CASH FLOWS (UNAUDITED) (dollars in thousands)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89"/>
              </w:rPr>
              <w:t>Six months ended June 30,</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b w:val="1"/>
                <w:bCs w:val="1"/>
                <w:color w:val="auto"/>
              </w:rPr>
              <w:t>Net profit for the period</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113,947</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61,831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Adjustments to reconcile net profit for the period to net cash provided by operating activities: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540"/>
              <w:spacing w:after="0"/>
              <w:rPr>
                <w:sz w:val="20"/>
                <w:szCs w:val="20"/>
                <w:color w:val="auto"/>
              </w:rPr>
            </w:pPr>
            <w:r>
              <w:rPr>
                <w:rFonts w:ascii="Arial" w:cs="Arial" w:eastAsia="Arial" w:hAnsi="Arial"/>
                <w:sz w:val="18"/>
                <w:szCs w:val="18"/>
                <w:b w:val="1"/>
                <w:bCs w:val="1"/>
                <w:color w:val="auto"/>
              </w:rPr>
              <w:t>Income and expense items not involving cash flows: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Depreciation and amortization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137,787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127,535</w:t>
            </w:r>
          </w:p>
        </w:tc>
        <w:tc>
          <w:tcPr>
            <w:tcW w:w="0" w:type="dxa"/>
            <w:vAlign w:val="bottom"/>
          </w:tcPr>
          <w:p>
            <w:pPr>
              <w:spacing w:after="0"/>
              <w:rPr>
                <w:sz w:val="1"/>
                <w:szCs w:val="1"/>
                <w:color w:val="auto"/>
              </w:rPr>
            </w:pPr>
          </w:p>
        </w:tc>
      </w:tr>
      <w:tr>
        <w:trPr>
          <w:trHeight w:val="216"/>
        </w:trPr>
        <w:tc>
          <w:tcPr>
            <w:tcW w:w="8680" w:type="dxa"/>
            <w:vAlign w:val="bottom"/>
          </w:tcPr>
          <w:p>
            <w:pPr>
              <w:ind w:left="720"/>
              <w:spacing w:after="0"/>
              <w:rPr>
                <w:sz w:val="20"/>
                <w:szCs w:val="20"/>
                <w:color w:val="auto"/>
              </w:rPr>
            </w:pPr>
            <w:r>
              <w:rPr>
                <w:rFonts w:ascii="Arial" w:cs="Arial" w:eastAsia="Arial" w:hAnsi="Arial"/>
                <w:sz w:val="18"/>
                <w:szCs w:val="18"/>
                <w:b w:val="1"/>
                <w:bCs w:val="1"/>
                <w:color w:val="auto"/>
              </w:rPr>
              <w:t>Effect of exchange rate differences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946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(1,994)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Other expense (income), net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(3,227)</w:t>
            </w: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b w:val="1"/>
                <w:bCs w:val="1"/>
                <w:color w:val="auto"/>
              </w:rPr>
              <w:t>Changes in assets and liabilities: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Trade accounts receivable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(31,603)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12,722</w:t>
            </w:r>
          </w:p>
        </w:tc>
        <w:tc>
          <w:tcPr>
            <w:tcW w:w="0" w:type="dxa"/>
            <w:vAlign w:val="bottom"/>
          </w:tcPr>
          <w:p>
            <w:pPr>
              <w:spacing w:after="0"/>
              <w:rPr>
                <w:sz w:val="1"/>
                <w:szCs w:val="1"/>
                <w:color w:val="auto"/>
              </w:rPr>
            </w:pPr>
          </w:p>
        </w:tc>
      </w:tr>
      <w:tr>
        <w:trPr>
          <w:trHeight w:val="216"/>
        </w:trPr>
        <w:tc>
          <w:tcPr>
            <w:tcW w:w="8680" w:type="dxa"/>
            <w:vAlign w:val="bottom"/>
          </w:tcPr>
          <w:p>
            <w:pPr>
              <w:ind w:left="720"/>
              <w:spacing w:after="0"/>
              <w:rPr>
                <w:sz w:val="20"/>
                <w:szCs w:val="20"/>
                <w:color w:val="auto"/>
              </w:rPr>
            </w:pPr>
            <w:r>
              <w:rPr>
                <w:rFonts w:ascii="Arial" w:cs="Arial" w:eastAsia="Arial" w:hAnsi="Arial"/>
                <w:sz w:val="18"/>
                <w:szCs w:val="18"/>
                <w:b w:val="1"/>
                <w:bCs w:val="1"/>
                <w:color w:val="auto"/>
              </w:rPr>
              <w:t>Other current assets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10,519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(8,983)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Inventories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(28,958)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(15,484)</w:t>
            </w:r>
          </w:p>
        </w:tc>
        <w:tc>
          <w:tcPr>
            <w:tcW w:w="0" w:type="dxa"/>
            <w:vAlign w:val="bottom"/>
          </w:tcPr>
          <w:p>
            <w:pPr>
              <w:spacing w:after="0"/>
              <w:rPr>
                <w:sz w:val="1"/>
                <w:szCs w:val="1"/>
                <w:color w:val="auto"/>
              </w:rPr>
            </w:pPr>
          </w:p>
        </w:tc>
      </w:tr>
      <w:tr>
        <w:trPr>
          <w:trHeight w:val="216"/>
        </w:trPr>
        <w:tc>
          <w:tcPr>
            <w:tcW w:w="8680" w:type="dxa"/>
            <w:vAlign w:val="bottom"/>
          </w:tcPr>
          <w:p>
            <w:pPr>
              <w:ind w:left="720"/>
              <w:spacing w:after="0"/>
              <w:rPr>
                <w:sz w:val="20"/>
                <w:szCs w:val="20"/>
                <w:color w:val="auto"/>
              </w:rPr>
            </w:pPr>
            <w:r>
              <w:rPr>
                <w:rFonts w:ascii="Arial" w:cs="Arial" w:eastAsia="Arial" w:hAnsi="Arial"/>
                <w:sz w:val="18"/>
                <w:szCs w:val="18"/>
                <w:b w:val="1"/>
                <w:bCs w:val="1"/>
                <w:color w:val="auto"/>
              </w:rPr>
              <w:t>Trade accounts payable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53,010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(14,568)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Deferred revenue and customers' advances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(10,646)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16,207</w:t>
            </w:r>
          </w:p>
        </w:tc>
        <w:tc>
          <w:tcPr>
            <w:tcW w:w="0" w:type="dxa"/>
            <w:vAlign w:val="bottom"/>
          </w:tcPr>
          <w:p>
            <w:pPr>
              <w:spacing w:after="0"/>
              <w:rPr>
                <w:sz w:val="1"/>
                <w:szCs w:val="1"/>
                <w:color w:val="auto"/>
              </w:rPr>
            </w:pPr>
          </w:p>
        </w:tc>
      </w:tr>
      <w:tr>
        <w:trPr>
          <w:trHeight w:val="216"/>
        </w:trPr>
        <w:tc>
          <w:tcPr>
            <w:tcW w:w="8680" w:type="dxa"/>
            <w:vAlign w:val="bottom"/>
          </w:tcPr>
          <w:p>
            <w:pPr>
              <w:ind w:left="720"/>
              <w:spacing w:after="0"/>
              <w:rPr>
                <w:sz w:val="20"/>
                <w:szCs w:val="20"/>
                <w:color w:val="auto"/>
              </w:rPr>
            </w:pPr>
            <w:r>
              <w:rPr>
                <w:rFonts w:ascii="Arial" w:cs="Arial" w:eastAsia="Arial" w:hAnsi="Arial"/>
                <w:sz w:val="18"/>
                <w:szCs w:val="18"/>
                <w:b w:val="1"/>
                <w:bCs w:val="1"/>
                <w:color w:val="auto"/>
              </w:rPr>
              <w:t>Employee related liabilities and other current liabilities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26,077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19,696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Long-term employee related liabilities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140</w:t>
            </w:r>
          </w:p>
        </w:tc>
        <w:tc>
          <w:tcPr>
            <w:tcW w:w="0" w:type="dxa"/>
            <w:vAlign w:val="bottom"/>
          </w:tcPr>
          <w:p>
            <w:pPr>
              <w:spacing w:after="0"/>
              <w:rPr>
                <w:sz w:val="1"/>
                <w:szCs w:val="1"/>
                <w:color w:val="auto"/>
              </w:rPr>
            </w:pPr>
          </w:p>
        </w:tc>
      </w:tr>
      <w:tr>
        <w:trPr>
          <w:trHeight w:val="162"/>
        </w:trPr>
        <w:tc>
          <w:tcPr>
            <w:tcW w:w="868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Deferred tax, net and other long-term liabilities</w:t>
            </w: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8"/>
                <w:szCs w:val="18"/>
                <w:b w:val="1"/>
                <w:bCs w:val="1"/>
                <w:color w:val="auto"/>
              </w:rPr>
              <w:t>1,325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100"/>
              <w:spacing w:after="0" w:line="162" w:lineRule="exact"/>
              <w:rPr>
                <w:sz w:val="20"/>
                <w:szCs w:val="20"/>
                <w:color w:val="auto"/>
              </w:rPr>
            </w:pPr>
            <w:r>
              <w:rPr>
                <w:rFonts w:ascii="Arial" w:cs="Arial" w:eastAsia="Arial" w:hAnsi="Arial"/>
                <w:sz w:val="18"/>
                <w:szCs w:val="18"/>
                <w:b w:val="1"/>
                <w:bCs w:val="1"/>
                <w:color w:val="auto"/>
              </w:rPr>
              <w:t>(13,212</w:t>
            </w:r>
          </w:p>
        </w:tc>
        <w:tc>
          <w:tcPr>
            <w:tcW w:w="0" w:type="dxa"/>
            <w:vAlign w:val="bottom"/>
          </w:tcPr>
          <w:p>
            <w:pPr>
              <w:spacing w:after="0"/>
              <w:rPr>
                <w:sz w:val="1"/>
                <w:szCs w:val="1"/>
                <w:color w:val="auto"/>
              </w:rPr>
            </w:pPr>
          </w:p>
        </w:tc>
      </w:tr>
      <w:tr>
        <w:trPr>
          <w:trHeight w:val="61"/>
        </w:trPr>
        <w:tc>
          <w:tcPr>
            <w:tcW w:w="86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gridSpan w:val="2"/>
          </w:tcPr>
          <w:p>
            <w:pPr>
              <w:jc w:val="right"/>
              <w:ind w:right="40"/>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274,668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180,663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Investments in property and equipment, net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(130,217)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(105,599)</w:t>
            </w:r>
          </w:p>
        </w:tc>
        <w:tc>
          <w:tcPr>
            <w:tcW w:w="0" w:type="dxa"/>
            <w:vAlign w:val="bottom"/>
          </w:tcPr>
          <w:p>
            <w:pPr>
              <w:spacing w:after="0"/>
              <w:rPr>
                <w:sz w:val="1"/>
                <w:szCs w:val="1"/>
                <w:color w:val="auto"/>
              </w:rPr>
            </w:pPr>
          </w:p>
        </w:tc>
      </w:tr>
      <w:tr>
        <w:trPr>
          <w:trHeight w:val="223"/>
        </w:trPr>
        <w:tc>
          <w:tcPr>
            <w:tcW w:w="8680" w:type="dxa"/>
            <w:vAlign w:val="bottom"/>
          </w:tcPr>
          <w:p>
            <w:pPr>
              <w:ind w:left="160"/>
              <w:spacing w:after="0"/>
              <w:rPr>
                <w:sz w:val="20"/>
                <w:szCs w:val="20"/>
                <w:color w:val="auto"/>
              </w:rPr>
            </w:pPr>
            <w:r>
              <w:rPr>
                <w:rFonts w:ascii="Arial" w:cs="Arial" w:eastAsia="Arial" w:hAnsi="Arial"/>
                <w:sz w:val="18"/>
                <w:szCs w:val="18"/>
                <w:b w:val="1"/>
                <w:bCs w:val="1"/>
                <w:color w:val="auto"/>
              </w:rPr>
              <w:t>Investments in marketable securities and other assets, net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(94,745)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(18,666)</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(224,962)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(124,265)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Exercise of options, net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364</w:t>
            </w: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b w:val="1"/>
                <w:bCs w:val="1"/>
                <w:color w:val="auto"/>
              </w:rPr>
              <w:t>Loans repayment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(11,163)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Principal payments on account of capital lease obligation</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(17,778)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(17,903)</w:t>
            </w:r>
          </w:p>
        </w:tc>
        <w:tc>
          <w:tcPr>
            <w:tcW w:w="0" w:type="dxa"/>
            <w:vAlign w:val="bottom"/>
          </w:tcPr>
          <w:p>
            <w:pPr>
              <w:spacing w:after="0"/>
              <w:rPr>
                <w:sz w:val="1"/>
                <w:szCs w:val="1"/>
                <w:color w:val="auto"/>
              </w:rPr>
            </w:pPr>
          </w:p>
        </w:tc>
      </w:tr>
      <w:tr>
        <w:trPr>
          <w:trHeight w:val="223"/>
        </w:trPr>
        <w:tc>
          <w:tcPr>
            <w:tcW w:w="8680" w:type="dxa"/>
            <w:vAlign w:val="bottom"/>
          </w:tcPr>
          <w:p>
            <w:pPr>
              <w:ind w:left="160"/>
              <w:spacing w:after="0"/>
              <w:rPr>
                <w:sz w:val="20"/>
                <w:szCs w:val="20"/>
                <w:color w:val="auto"/>
              </w:rPr>
            </w:pPr>
            <w:r>
              <w:rPr>
                <w:rFonts w:ascii="Arial" w:cs="Arial" w:eastAsia="Arial" w:hAnsi="Arial"/>
                <w:sz w:val="18"/>
                <w:szCs w:val="18"/>
                <w:b w:val="1"/>
                <w:bCs w:val="1"/>
                <w:color w:val="auto"/>
              </w:rPr>
              <w:t>Debentures repayment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20,972)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(20,078)</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b w:val="1"/>
                <w:bCs w:val="1"/>
                <w:color w:val="auto"/>
              </w:rPr>
              <w:t>Net cash used in financing activities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(38,706)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(48,780)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line="196" w:lineRule="exact"/>
              <w:rPr>
                <w:sz w:val="20"/>
                <w:szCs w:val="20"/>
                <w:color w:val="auto"/>
              </w:rPr>
            </w:pPr>
            <w:r>
              <w:rPr>
                <w:rFonts w:ascii="Arial" w:cs="Arial" w:eastAsia="Arial" w:hAnsi="Arial"/>
                <w:sz w:val="18"/>
                <w:szCs w:val="18"/>
                <w:b w:val="1"/>
                <w:bCs w:val="1"/>
                <w:color w:val="auto"/>
              </w:rPr>
              <w:t>EFFECT OF FOREIGN CURRENCY EXCHANGE RATE CHANGE</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line="196" w:lineRule="exact"/>
              <w:rPr>
                <w:sz w:val="20"/>
                <w:szCs w:val="20"/>
                <w:color w:val="auto"/>
              </w:rPr>
            </w:pPr>
            <w:r>
              <w:rPr>
                <w:rFonts w:ascii="Arial" w:cs="Arial" w:eastAsia="Arial" w:hAnsi="Arial"/>
                <w:sz w:val="18"/>
                <w:szCs w:val="18"/>
                <w:b w:val="1"/>
                <w:bCs w:val="1"/>
                <w:color w:val="auto"/>
              </w:rPr>
              <w:t>(10,753)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line="196" w:lineRule="exact"/>
              <w:rPr>
                <w:sz w:val="20"/>
                <w:szCs w:val="20"/>
                <w:color w:val="auto"/>
              </w:rPr>
            </w:pPr>
            <w:r>
              <w:rPr>
                <w:rFonts w:ascii="Arial" w:cs="Arial" w:eastAsia="Arial" w:hAnsi="Arial"/>
                <w:sz w:val="18"/>
                <w:szCs w:val="18"/>
                <w:b w:val="1"/>
                <w:bCs w:val="1"/>
                <w:color w:val="auto"/>
              </w:rPr>
              <w:t>(3,546)</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INCREASE IN CASH AND CASH EQUIVALENTS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4,072</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210,930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211,683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line="196" w:lineRule="exact"/>
              <w:rPr>
                <w:sz w:val="20"/>
                <w:szCs w:val="20"/>
                <w:color w:val="auto"/>
              </w:rPr>
            </w:pPr>
            <w:r>
              <w:rPr>
                <w:rFonts w:ascii="Arial" w:cs="Arial" w:eastAsia="Arial" w:hAnsi="Arial"/>
                <w:sz w:val="18"/>
                <w:szCs w:val="18"/>
                <w:b w:val="1"/>
                <w:bCs w:val="1"/>
                <w:color w:val="auto"/>
              </w:rPr>
              <w:t>CASH AND CASH EQUIVALENTS - END OF PERIOD</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211,177</w:t>
            </w:r>
          </w:p>
        </w:tc>
        <w:tc>
          <w:tcPr>
            <w:tcW w:w="220" w:type="dxa"/>
            <w:vAlign w:val="bottom"/>
          </w:tcPr>
          <w:p>
            <w:pPr>
              <w:spacing w:after="0"/>
              <w:rPr>
                <w:sz w:val="18"/>
                <w:szCs w:val="18"/>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rPr>
              <w:t>215,755</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 w:name="page11"/>
    <w:bookmarkEnd w:id="10"/>
    <w:p>
      <w:pPr>
        <w:jc w:val="center"/>
        <w:spacing w:after="0" w:line="275" w:lineRule="auto"/>
        <w:rPr>
          <w:sz w:val="20"/>
          <w:szCs w:val="20"/>
          <w:color w:val="auto"/>
        </w:rPr>
      </w:pPr>
      <w:r>
        <w:rPr>
          <w:rFonts w:ascii="Arial" w:cs="Arial" w:eastAsia="Arial" w:hAnsi="Arial"/>
          <w:sz w:val="18"/>
          <w:szCs w:val="18"/>
          <w:b w:val="1"/>
          <w:bCs w:val="1"/>
          <w:color w:val="auto"/>
        </w:rPr>
        <w:t>TOWER SEMICONDUCTOR LTD. AND SUBSIDIARIES CONDENSED INTERIM CONSOLIDATED STATEMENTS OF CASH FLOWS (UNAUDITED) (dollars in thousands)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5"/>
          </w:tcPr>
          <w:p>
            <w:pPr>
              <w:ind w:left="6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8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43"/>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ACTIVITIES:</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8680" w:type="dxa"/>
            <w:vAlign w:val="bottom"/>
          </w:tcPr>
          <w:p>
            <w:pPr>
              <w:ind w:left="160"/>
              <w:spacing w:after="0" w:line="196" w:lineRule="exact"/>
              <w:rPr>
                <w:sz w:val="20"/>
                <w:szCs w:val="20"/>
                <w:color w:val="auto"/>
              </w:rPr>
            </w:pPr>
            <w:r>
              <w:rPr>
                <w:rFonts w:ascii="Arial" w:cs="Arial" w:eastAsia="Arial" w:hAnsi="Arial"/>
                <w:sz w:val="18"/>
                <w:szCs w:val="18"/>
                <w:b w:val="1"/>
                <w:bCs w:val="1"/>
                <w:color w:val="auto"/>
              </w:rPr>
              <w:t>Investments in property and equipment</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b w:val="1"/>
                <w:bCs w:val="1"/>
                <w:color w:val="auto"/>
              </w:rPr>
              <w:t>82,526</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rPr>
              <w:t>74,142</w:t>
            </w:r>
          </w:p>
        </w:tc>
      </w:tr>
      <w:tr>
        <w:trPr>
          <w:trHeight w:val="20"/>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8680" w:type="dxa"/>
            <w:vAlign w:val="bottom"/>
          </w:tcPr>
          <w:p>
            <w:pPr>
              <w:ind w:left="160"/>
              <w:spacing w:after="0"/>
              <w:rPr>
                <w:sz w:val="20"/>
                <w:szCs w:val="20"/>
                <w:color w:val="auto"/>
              </w:rPr>
            </w:pPr>
            <w:r>
              <w:rPr>
                <w:rFonts w:ascii="Arial" w:cs="Arial" w:eastAsia="Arial" w:hAnsi="Arial"/>
                <w:sz w:val="18"/>
                <w:szCs w:val="18"/>
                <w:b w:val="1"/>
                <w:bCs w:val="1"/>
                <w:color w:val="auto"/>
              </w:rPr>
              <w:t>Cash received during the period from interest,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1,495</w:t>
            </w:r>
          </w:p>
        </w:tc>
        <w:tc>
          <w:tcPr>
            <w:tcW w:w="2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769</w:t>
            </w:r>
          </w:p>
        </w:tc>
        <w:tc>
          <w:tcPr>
            <w:tcW w:w="10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8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Cash paid during the period for income taxes,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8,718</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5,016</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 AS OF 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234" w:lineRule="exact"/>
        <w:rPr>
          <w:sz w:val="20"/>
          <w:szCs w:val="20"/>
          <w:color w:val="auto"/>
        </w:rPr>
      </w:pPr>
    </w:p>
    <w:p>
      <w:pPr>
        <w:spacing w:after="0"/>
        <w:tabs>
          <w:tab w:leader="none" w:pos="820" w:val="left"/>
          <w:tab w:leader="none" w:pos="1060" w:val="left"/>
        </w:tabs>
        <w:rPr>
          <w:sz w:val="20"/>
          <w:szCs w:val="20"/>
          <w:color w:val="auto"/>
        </w:rPr>
      </w:pPr>
      <w:r>
        <w:rPr>
          <w:rFonts w:ascii="Arial" w:cs="Arial" w:eastAsia="Arial" w:hAnsi="Arial"/>
          <w:sz w:val="18"/>
          <w:szCs w:val="18"/>
          <w:b w:val="1"/>
          <w:bCs w:val="1"/>
          <w:color w:val="auto"/>
        </w:rPr>
        <w:t>NOTE 1</w:t>
        <w:tab/>
        <w:t>-</w:t>
      </w:r>
      <w:r>
        <w:rPr>
          <w:sz w:val="20"/>
          <w:szCs w:val="20"/>
          <w:color w:val="auto"/>
        </w:rPr>
        <w:tab/>
      </w:r>
      <w:r>
        <w:rPr>
          <w:rFonts w:ascii="Arial" w:cs="Arial" w:eastAsia="Arial" w:hAnsi="Arial"/>
          <w:sz w:val="17"/>
          <w:szCs w:val="17"/>
          <w:b w:val="1"/>
          <w:bCs w:val="1"/>
          <w:color w:val="auto"/>
        </w:rPr>
        <w:t>GENERAL</w:t>
      </w:r>
    </w:p>
    <w:p>
      <w:pPr>
        <w:spacing w:after="0" w:line="239"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Basis for Presentation</w:t>
      </w:r>
    </w:p>
    <w:p>
      <w:pPr>
        <w:spacing w:after="0" w:line="243" w:lineRule="exact"/>
        <w:rPr>
          <w:sz w:val="20"/>
          <w:szCs w:val="20"/>
          <w:color w:val="auto"/>
        </w:rPr>
      </w:pPr>
    </w:p>
    <w:p>
      <w:pPr>
        <w:jc w:val="both"/>
        <w:ind w:left="1080"/>
        <w:spacing w:after="0" w:line="296" w:lineRule="auto"/>
        <w:rPr>
          <w:sz w:val="20"/>
          <w:szCs w:val="20"/>
          <w:color w:val="auto"/>
        </w:rPr>
      </w:pPr>
      <w:r>
        <w:rPr>
          <w:rFonts w:ascii="Arial" w:cs="Arial" w:eastAsia="Arial" w:hAnsi="Arial"/>
          <w:sz w:val="16"/>
          <w:szCs w:val="16"/>
          <w:color w:val="auto"/>
        </w:rPr>
        <w:t>The unaudited condensed interim consolidated financial statements of Tower Semiconductor Ltd. (“Tower” or “the Company”) as of June 30, 2022 include the financial statements of Tower and (i) its wholly-owned subsidiary Tower US Holdings Inc., the sole owner of: (1) Tower Semiconductor NPB Holdings, Inc. and its wholly-owned subsidiary, Tower Semiconductor Newport Beach, Inc. and (2) Tower Semiconductor San Antonio, Inc. (ii) its 51% owned subsidiary, Tower Partners Semiconductor Co., Ltd. (“TPSCo”) and (iii) its wholly-owned subsidiary, Tower Semiconductor Italy S.r.l. (“TSIT”). Tower and its subsidiaries are collectively referred to as the “Company”.</w:t>
      </w:r>
    </w:p>
    <w:p>
      <w:pPr>
        <w:spacing w:after="0" w:line="188" w:lineRule="exact"/>
        <w:rPr>
          <w:sz w:val="20"/>
          <w:szCs w:val="20"/>
          <w:color w:val="auto"/>
        </w:rPr>
      </w:pPr>
    </w:p>
    <w:p>
      <w:pPr>
        <w:jc w:val="both"/>
        <w:ind w:left="1080"/>
        <w:spacing w:after="0" w:line="308" w:lineRule="auto"/>
        <w:rPr>
          <w:sz w:val="20"/>
          <w:szCs w:val="20"/>
          <w:color w:val="auto"/>
        </w:rPr>
      </w:pPr>
      <w:r>
        <w:rPr>
          <w:rFonts w:ascii="Arial" w:cs="Arial" w:eastAsia="Arial" w:hAnsi="Arial"/>
          <w:sz w:val="17"/>
          <w:szCs w:val="17"/>
          <w:color w:val="auto"/>
        </w:rPr>
        <w:t>The Company’s unaudited condensed interim consolidated financial statements are presented after elimination of inter-company transactions and balances and are presented in accordance with U.S. generally accepted accounting principles (“US GAAP”).</w:t>
      </w:r>
    </w:p>
    <w:p>
      <w:pPr>
        <w:spacing w:after="0" w:line="173" w:lineRule="exact"/>
        <w:rPr>
          <w:sz w:val="20"/>
          <w:szCs w:val="20"/>
          <w:color w:val="auto"/>
        </w:rPr>
      </w:pPr>
    </w:p>
    <w:p>
      <w:pPr>
        <w:jc w:val="both"/>
        <w:ind w:left="1080"/>
        <w:spacing w:after="0" w:line="308" w:lineRule="auto"/>
        <w:rPr>
          <w:sz w:val="20"/>
          <w:szCs w:val="20"/>
          <w:color w:val="auto"/>
        </w:rPr>
      </w:pPr>
      <w:r>
        <w:rPr>
          <w:rFonts w:ascii="Arial" w:cs="Arial" w:eastAsia="Arial" w:hAnsi="Arial"/>
          <w:sz w:val="17"/>
          <w:szCs w:val="17"/>
          <w:color w:val="auto"/>
        </w:rPr>
        <w:t>The unaudited condensed interim consolidated financial statements of the Company should be read in conjunction with the audited consolidated financial statements of the Company as of December 31, 2021 and for the year then ended, including the notes thereto.</w:t>
      </w:r>
    </w:p>
    <w:p>
      <w:pPr>
        <w:spacing w:after="0" w:line="173" w:lineRule="exact"/>
        <w:rPr>
          <w:sz w:val="20"/>
          <w:szCs w:val="20"/>
          <w:color w:val="auto"/>
        </w:rPr>
      </w:pPr>
    </w:p>
    <w:p>
      <w:pPr>
        <w:jc w:val="both"/>
        <w:ind w:left="1080"/>
        <w:spacing w:after="0" w:line="259" w:lineRule="auto"/>
        <w:rPr>
          <w:sz w:val="20"/>
          <w:szCs w:val="20"/>
          <w:color w:val="auto"/>
        </w:rPr>
      </w:pPr>
      <w:r>
        <w:rPr>
          <w:rFonts w:ascii="Arial" w:cs="Arial" w:eastAsia="Arial" w:hAnsi="Arial"/>
          <w:sz w:val="18"/>
          <w:szCs w:val="18"/>
          <w:color w:val="auto"/>
        </w:rPr>
        <w:t>In the opinion of the Company's management, the unaudited condensed interim consolidated financial statements include all adjustments necessary for a fair presentation of the Company’s financial position as of the dates presented and results of operations for the interim periods presented. The results of operations for the interim periods are not necessarily indicative of the results to be expected on a full-year basis.</w:t>
      </w:r>
    </w:p>
    <w:p>
      <w:pPr>
        <w:spacing w:after="0" w:line="210" w:lineRule="exact"/>
        <w:rPr>
          <w:sz w:val="20"/>
          <w:szCs w:val="20"/>
          <w:color w:val="auto"/>
        </w:rPr>
      </w:pPr>
    </w:p>
    <w:p>
      <w:pPr>
        <w:spacing w:after="0"/>
        <w:tabs>
          <w:tab w:leader="none" w:pos="820" w:val="left"/>
          <w:tab w:leader="none" w:pos="1060" w:val="left"/>
        </w:tabs>
        <w:rPr>
          <w:sz w:val="20"/>
          <w:szCs w:val="20"/>
          <w:color w:val="auto"/>
        </w:rPr>
      </w:pPr>
      <w:r>
        <w:rPr>
          <w:rFonts w:ascii="Arial" w:cs="Arial" w:eastAsia="Arial" w:hAnsi="Arial"/>
          <w:sz w:val="18"/>
          <w:szCs w:val="18"/>
          <w:b w:val="1"/>
          <w:bCs w:val="1"/>
          <w:color w:val="auto"/>
        </w:rPr>
        <w:t>NOTE 2</w:t>
        <w:tab/>
        <w:t>-</w:t>
        <w:tab/>
        <w:t>INITIAL ADOPTION OF NEW STANDARDS</w:t>
      </w:r>
    </w:p>
    <w:p>
      <w:pPr>
        <w:spacing w:after="0" w:line="25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During the period there was no initial adoption of new accounting standards.</w:t>
      </w:r>
    </w:p>
    <w:p>
      <w:pPr>
        <w:spacing w:after="0" w:line="248" w:lineRule="exact"/>
        <w:rPr>
          <w:sz w:val="20"/>
          <w:szCs w:val="20"/>
          <w:color w:val="auto"/>
        </w:rPr>
      </w:pPr>
    </w:p>
    <w:p>
      <w:pPr>
        <w:spacing w:after="0"/>
        <w:tabs>
          <w:tab w:leader="none" w:pos="820" w:val="left"/>
          <w:tab w:leader="none" w:pos="1060" w:val="left"/>
        </w:tabs>
        <w:rPr>
          <w:sz w:val="20"/>
          <w:szCs w:val="20"/>
          <w:color w:val="auto"/>
        </w:rPr>
      </w:pPr>
      <w:r>
        <w:rPr>
          <w:rFonts w:ascii="Arial" w:cs="Arial" w:eastAsia="Arial" w:hAnsi="Arial"/>
          <w:sz w:val="18"/>
          <w:szCs w:val="18"/>
          <w:b w:val="1"/>
          <w:bCs w:val="1"/>
          <w:color w:val="auto"/>
        </w:rPr>
        <w:t>NOTE 3</w:t>
        <w:tab/>
        <w:t>-</w:t>
        <w:tab/>
        <w:t>RECENT DEVELOPMENTS</w:t>
      </w:r>
    </w:p>
    <w:p>
      <w:pPr>
        <w:spacing w:after="0" w:line="243" w:lineRule="exact"/>
        <w:rPr>
          <w:sz w:val="20"/>
          <w:szCs w:val="20"/>
          <w:color w:val="auto"/>
        </w:rPr>
      </w:pPr>
    </w:p>
    <w:p>
      <w:pPr>
        <w:jc w:val="both"/>
        <w:ind w:left="1080"/>
        <w:spacing w:after="0" w:line="276" w:lineRule="auto"/>
        <w:rPr>
          <w:sz w:val="20"/>
          <w:szCs w:val="20"/>
          <w:color w:val="auto"/>
        </w:rPr>
      </w:pPr>
      <w:r>
        <w:rPr>
          <w:rFonts w:ascii="Arial" w:cs="Arial" w:eastAsia="Arial" w:hAnsi="Arial"/>
          <w:sz w:val="16"/>
          <w:szCs w:val="16"/>
          <w:color w:val="auto"/>
        </w:rPr>
        <w:t>On February 15, 2022, Intel Corporation (“Intel”) and Tower announced the signing of a definitive agreement under which Intel will acquire all of Tower’s outstanding Ordinary Shares for cash consideration of $53 per share. The transaction was approved by the boards of directors of both Intel and Tower, by Tower’s shareholders and is subject to certain regulatory approvals and customary closing conditions.</w:t>
      </w:r>
    </w:p>
    <w:p>
      <w:pPr>
        <w:spacing w:after="0" w:line="189" w:lineRule="exact"/>
        <w:rPr>
          <w:sz w:val="20"/>
          <w:szCs w:val="20"/>
          <w:color w:val="auto"/>
        </w:rPr>
      </w:pPr>
    </w:p>
    <w:p>
      <w:pPr>
        <w:jc w:val="both"/>
        <w:ind w:left="1080" w:firstLine="5"/>
        <w:spacing w:after="0" w:line="275" w:lineRule="auto"/>
        <w:rPr>
          <w:sz w:val="20"/>
          <w:szCs w:val="20"/>
          <w:color w:val="auto"/>
        </w:rPr>
      </w:pPr>
      <w:r>
        <w:rPr>
          <w:rFonts w:ascii="Arial" w:cs="Arial" w:eastAsia="Arial" w:hAnsi="Arial"/>
          <w:sz w:val="17"/>
          <w:szCs w:val="17"/>
          <w:color w:val="auto"/>
        </w:rPr>
        <w:t>As part of the agreement between the Company, Nuvoton Technology Corporation Japan (“NTCJ”) and TPSCo, it has been decided to re-organize and re-structure operations in Japan such that, while operations at the Uozu and Tonami facilities will remain unchanged, the Arai manufacturing factory, which manufactured products solely for NTCJ and was not serving the Company’s customers, ceased operations effective June 30, 2022. The Company evaluated the need for impairment and concluded there was no material impairment to its long-lived assets as of June 30, 2022. All other restructuring related costs will be reported as incurred.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 AS OF 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200" w:lineRule="exact"/>
        <w:rPr>
          <w:sz w:val="20"/>
          <w:szCs w:val="20"/>
          <w:color w:val="auto"/>
        </w:rPr>
      </w:pPr>
    </w:p>
    <w:p>
      <w:pPr>
        <w:spacing w:after="0" w:line="223" w:lineRule="exact"/>
        <w:rPr>
          <w:sz w:val="20"/>
          <w:szCs w:val="20"/>
          <w:color w:val="auto"/>
        </w:rPr>
      </w:pPr>
    </w:p>
    <w:p>
      <w:pPr>
        <w:spacing w:after="0"/>
        <w:tabs>
          <w:tab w:leader="none" w:pos="820" w:val="left"/>
          <w:tab w:leader="none" w:pos="1060" w:val="left"/>
        </w:tabs>
        <w:rPr>
          <w:sz w:val="20"/>
          <w:szCs w:val="20"/>
          <w:color w:val="auto"/>
        </w:rPr>
      </w:pPr>
      <w:r>
        <w:rPr>
          <w:rFonts w:ascii="Arial" w:cs="Arial" w:eastAsia="Arial" w:hAnsi="Arial"/>
          <w:sz w:val="18"/>
          <w:szCs w:val="18"/>
          <w:b w:val="1"/>
          <w:bCs w:val="1"/>
          <w:color w:val="auto"/>
        </w:rPr>
        <w:t>NOTE 4</w:t>
        <w:tab/>
        <w:t>-</w:t>
      </w:r>
      <w:r>
        <w:rPr>
          <w:sz w:val="20"/>
          <w:szCs w:val="20"/>
          <w:color w:val="auto"/>
        </w:rPr>
        <w:tab/>
      </w:r>
      <w:r>
        <w:rPr>
          <w:rFonts w:ascii="Arial" w:cs="Arial" w:eastAsia="Arial" w:hAnsi="Arial"/>
          <w:sz w:val="17"/>
          <w:szCs w:val="17"/>
          <w:b w:val="1"/>
          <w:bCs w:val="1"/>
          <w:color w:val="auto"/>
        </w:rPr>
        <w:t>SUBSEQUENT EVENTS</w:t>
      </w:r>
    </w:p>
    <w:p>
      <w:pPr>
        <w:spacing w:after="0" w:line="256" w:lineRule="exact"/>
        <w:rPr>
          <w:sz w:val="20"/>
          <w:szCs w:val="20"/>
          <w:color w:val="auto"/>
        </w:rPr>
      </w:pPr>
    </w:p>
    <w:p>
      <w:pPr>
        <w:jc w:val="both"/>
        <w:ind w:left="1080"/>
        <w:spacing w:after="0" w:line="255" w:lineRule="auto"/>
        <w:rPr>
          <w:sz w:val="20"/>
          <w:szCs w:val="20"/>
          <w:color w:val="auto"/>
        </w:rPr>
      </w:pPr>
      <w:r>
        <w:rPr>
          <w:rFonts w:ascii="Arial" w:cs="Arial" w:eastAsia="Arial" w:hAnsi="Arial"/>
          <w:sz w:val="18"/>
          <w:szCs w:val="18"/>
          <w:color w:val="auto"/>
        </w:rPr>
        <w:t>On July 1, 2022, the Company’s affiliates, including TPSCo, have extended their existing capital lease lines with JA Mitsui Leasing, Ltd., described in Note 11D to the Company’s annual financial statements as of December 31, 2021, whereby the ability to utilize such lines was extended by one year to mature in June 2023 with an increased remaining amount available for future utilization, totaling up to approximately JPY 7 billion (approximately $50,000 as of July 1, 2022), as compared to approximately JPY 3.5 billion prior to such extension (approximately $25,000 as of June 30, 2022). The lease agreements’ terms did not change and contain annual interest rates of approximately 2%.</w:t>
      </w:r>
    </w:p>
    <w:p>
      <w:pPr>
        <w:spacing w:after="0" w:line="246" w:lineRule="exact"/>
        <w:rPr>
          <w:sz w:val="20"/>
          <w:szCs w:val="20"/>
          <w:color w:val="auto"/>
        </w:rPr>
      </w:pPr>
    </w:p>
    <w:p>
      <w:pPr>
        <w:jc w:val="both"/>
        <w:ind w:left="1080"/>
        <w:spacing w:after="0" w:line="255" w:lineRule="auto"/>
        <w:rPr>
          <w:sz w:val="20"/>
          <w:szCs w:val="20"/>
          <w:color w:val="auto"/>
        </w:rPr>
      </w:pPr>
      <w:r>
        <w:rPr>
          <w:rFonts w:ascii="Arial" w:cs="Arial" w:eastAsia="Arial" w:hAnsi="Arial"/>
          <w:sz w:val="18"/>
          <w:szCs w:val="18"/>
          <w:color w:val="auto"/>
        </w:rPr>
        <w:t>On July 14, 2022, TSNB entered into an agreement with Wells Fargo Capital Finance, part of Wells Fargo &amp; Company (“Wells Fargo”), under which it extended its secured asset-based revolving credit line in the total amount of up to $70,000, to mature in September 2023, under substantially similar terms as the terms and conditions of the line described in Note 11F to the Company’s annual financial statements as of December 31, 2021. As of June 30, 2022, no loan amounts were outstanding under the TSNB Credit Line Agreement and the borrowing availability under the TSNB Credit Line Agreement was approximately $54,000, of which approximately $1,000 was utilized through letters of credit.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 w:name="page14"/>
    <w:bookmarkEnd w:id="13"/>
    <w:p>
      <w:pPr>
        <w:ind w:left="1032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 AND RESULTS OF OPERATIONS</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The information contained in this section should be read in conjunction with (1) our unaudited condensed interim consolidated financial statements as of June 30, 2022 and for the six months then ended and related notes included in this report and (2) our audited consolidated financial statements and related notes included in our Annual Report on Form 20-F for the year ended December 31, 2021 and the other information contained in such annual report, particularly the information in Item 5 - “Operating and Financial Review and Prospects”. Our financial statements have been prepared in accordance with generally accepted accounting principles in the United States (“US GAAP”).</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40" w:right="300" w:firstLine="5"/>
        <w:spacing w:after="0" w:line="277" w:lineRule="auto"/>
        <w:rPr>
          <w:sz w:val="20"/>
          <w:szCs w:val="20"/>
          <w:color w:val="auto"/>
        </w:rPr>
      </w:pPr>
      <w:r>
        <w:rPr>
          <w:rFonts w:ascii="Arial" w:cs="Arial" w:eastAsia="Arial" w:hAnsi="Arial"/>
          <w:sz w:val="18"/>
          <w:szCs w:val="18"/>
          <w:color w:val="auto"/>
        </w:rPr>
        <w:t>The following table sets forth certain statement of operations data as a percentage of total revenues for the six months ended June 30, 2022 and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Details</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Cost of Revenues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74.4</w:t>
            </w:r>
          </w:p>
        </w:tc>
        <w:tc>
          <w:tcPr>
            <w:tcW w:w="2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79.8</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r>
      <w:tr>
        <w:trPr>
          <w:trHeight w:val="223"/>
        </w:trPr>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Marketing, general and administrative expense</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Operating profit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9.4</w:t>
            </w:r>
          </w:p>
        </w:tc>
      </w:tr>
      <w:tr>
        <w:trPr>
          <w:trHeight w:val="223"/>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Financing and other expense, net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8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Profit before income tax</w:t>
            </w: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60" w:type="dxa"/>
            <w:vAlign w:val="bottom"/>
            <w:tcBorders>
              <w:top w:val="single" w:sz="8" w:color="CCEEFF"/>
            </w:tcBorders>
          </w:tcPr>
          <w:p>
            <w:pPr>
              <w:spacing w:after="0"/>
              <w:rPr>
                <w:sz w:val="18"/>
                <w:szCs w:val="18"/>
                <w:color w:val="auto"/>
              </w:rPr>
            </w:pPr>
          </w:p>
        </w:tc>
      </w:tr>
      <w:tr>
        <w:trPr>
          <w:trHeight w:val="223"/>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 net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r>
      <w:tr>
        <w:trPr>
          <w:trHeight w:val="216"/>
        </w:trPr>
        <w:tc>
          <w:tcPr>
            <w:tcW w:w="8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profit</w:t>
            </w: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60" w:type="dxa"/>
            <w:vAlign w:val="bottom"/>
            <w:tcBorders>
              <w:top w:val="single" w:sz="8" w:color="CCEEFF"/>
            </w:tcBorders>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27"/>
        </w:trPr>
        <w:tc>
          <w:tcPr>
            <w:tcW w:w="8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Net profit attributable to the company</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r>
      <w:tr>
        <w:trPr>
          <w:trHeight w:val="20"/>
        </w:trPr>
        <w:tc>
          <w:tcPr>
            <w:tcW w:w="8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statement of operations data for the six months ended June 30, 2022 and 2021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Details</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847,300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709,352</w:t>
            </w:r>
          </w:p>
        </w:tc>
        <w:tc>
          <w:tcPr>
            <w:tcW w:w="100" w:type="dxa"/>
            <w:vAlign w:val="bottom"/>
            <w:shd w:val="clear" w:color="auto" w:fill="CCEEFF"/>
          </w:tcPr>
          <w:p>
            <w:pPr>
              <w:spacing w:after="0"/>
              <w:rPr>
                <w:sz w:val="18"/>
                <w:szCs w:val="18"/>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630,229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565,783</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217,071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143,569</w:t>
            </w:r>
          </w:p>
        </w:tc>
        <w:tc>
          <w:tcPr>
            <w:tcW w:w="10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40,799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41,424</w:t>
            </w:r>
          </w:p>
        </w:tc>
      </w:tr>
      <w:tr>
        <w:trPr>
          <w:trHeight w:val="223"/>
        </w:trPr>
        <w:tc>
          <w:tcPr>
            <w:tcW w:w="8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Marketing, general and administrative expense</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42,538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Operating profit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133,734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66,483</w:t>
            </w:r>
          </w:p>
        </w:tc>
      </w:tr>
      <w:tr>
        <w:trPr>
          <w:trHeight w:val="223"/>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Financing and other expense, net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(10,295)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(8,326)</w:t>
            </w:r>
          </w:p>
        </w:tc>
      </w:tr>
      <w:tr>
        <w:trPr>
          <w:trHeight w:val="216"/>
        </w:trPr>
        <w:tc>
          <w:tcPr>
            <w:tcW w:w="8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Profit before income tax</w:t>
            </w: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123,439</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58,157</w:t>
            </w:r>
          </w:p>
        </w:tc>
        <w:tc>
          <w:tcPr>
            <w:tcW w:w="100" w:type="dxa"/>
            <w:vAlign w:val="bottom"/>
            <w:tcBorders>
              <w:top w:val="single" w:sz="8" w:color="CCEEFF"/>
            </w:tcBorders>
          </w:tcPr>
          <w:p>
            <w:pPr>
              <w:spacing w:after="0"/>
              <w:rPr>
                <w:sz w:val="18"/>
                <w:szCs w:val="18"/>
                <w:color w:val="auto"/>
              </w:rPr>
            </w:pPr>
          </w:p>
        </w:tc>
      </w:tr>
      <w:tr>
        <w:trPr>
          <w:trHeight w:val="223"/>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 net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(9,492)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3,674</w:t>
            </w:r>
          </w:p>
        </w:tc>
      </w:tr>
      <w:tr>
        <w:trPr>
          <w:trHeight w:val="216"/>
        </w:trPr>
        <w:tc>
          <w:tcPr>
            <w:tcW w:w="8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profit</w:t>
            </w: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113,947</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61,831</w:t>
            </w:r>
          </w:p>
        </w:tc>
        <w:tc>
          <w:tcPr>
            <w:tcW w:w="100" w:type="dxa"/>
            <w:vAlign w:val="bottom"/>
            <w:tcBorders>
              <w:top w:val="single" w:sz="8" w:color="CCEEFF"/>
            </w:tcBorders>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(2,643)</w:t>
            </w: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Net profit attributable to the company</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112,110</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59,188</w:t>
            </w: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2"/>
        </w:trPr>
        <w:tc>
          <w:tcPr>
            <w:tcW w:w="8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18" w:right="339" w:bottom="1440" w:gutter="0" w:footer="0" w:header="0"/>
        </w:sectPr>
      </w:pPr>
    </w:p>
    <w:bookmarkStart w:id="14" w:name="page15"/>
    <w:bookmarkEnd w:id="14"/>
    <w:p>
      <w:pPr>
        <w:jc w:val="center"/>
        <w:ind w:right="620"/>
        <w:spacing w:after="0" w:line="266" w:lineRule="auto"/>
        <w:rPr>
          <w:sz w:val="20"/>
          <w:szCs w:val="20"/>
          <w:color w:val="auto"/>
        </w:rPr>
      </w:pPr>
      <w:r>
        <w:rPr>
          <w:rFonts w:ascii="Arial" w:cs="Arial" w:eastAsia="Arial" w:hAnsi="Arial"/>
          <w:sz w:val="18"/>
          <w:szCs w:val="18"/>
          <w:b w:val="1"/>
          <w:bCs w:val="1"/>
          <w:color w:val="auto"/>
        </w:rPr>
        <w:t>TOWER SEMICONDUCTOR LTD. AND SUBSIDIARIES MANAGEMENT’S DISCUSSION AND ANALYSIS OF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2022 compared to six months ended June 30,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Revenues for the six months ended June 30, 2022 were $847.3 million, as compared to $709.4 million for the six months ended June 30, 2021. The $137.9 million revenue increase is attributed mainly to an increase in the quantity of products (CMOS silicon wafers) manufactured and shipped to our foundry customers from our factories in Israel, USA &amp; Japan during the six months ended June 30, 2022 as compared to the six months ended June 30, 2021, as well as to the increase in the average selling price per product we experienced.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Cost of revenues for the six months ended June 30, 2022 amounted to $630.2 million as compared to $565.8 million for the six months ended June 30, 2021. The $64.4 million increase in manufacturing cost is mainly due to the increased quantity of wafers manufactured and shipped to our foundry customers from our factories as described above, which resulted in additional variable and other manufacturing cost.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Gross profit for the six months ended June 30, 2022 amounted to $217.1 million as compared to $143.6 million for the six months ended June 30, 2021. The $73.5 million increase in gross profit resulted from the $137.9 million revenue increase, net of the $64.4 million increased cost of revenues, as described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Research and development expense for the six months ended June 30, 2022, amounted to $40.8 million, reflecting a $0.6 million cost reduction as compared to $41.4 million in the six months ended June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General and Administrative</w:t>
      </w:r>
    </w:p>
    <w:p>
      <w:pPr>
        <w:spacing w:after="0" w:line="229" w:lineRule="exact"/>
        <w:rPr>
          <w:sz w:val="20"/>
          <w:szCs w:val="20"/>
          <w:color w:val="auto"/>
        </w:rPr>
      </w:pPr>
    </w:p>
    <w:p>
      <w:pPr>
        <w:ind w:right="160" w:firstLine="5"/>
        <w:spacing w:after="0" w:line="277" w:lineRule="auto"/>
        <w:rPr>
          <w:sz w:val="20"/>
          <w:szCs w:val="20"/>
          <w:color w:val="auto"/>
        </w:rPr>
      </w:pPr>
      <w:r>
        <w:rPr>
          <w:rFonts w:ascii="Arial" w:cs="Arial" w:eastAsia="Arial" w:hAnsi="Arial"/>
          <w:sz w:val="18"/>
          <w:szCs w:val="18"/>
          <w:color w:val="auto"/>
        </w:rPr>
        <w:t>Marketing, general and administrative expense for the six months ended June 30, 2022 amounted to $42.5 million, an increase of $6.8 million as compared to $35.7 million recorded in the six months ended June 30, 2021, both reflecting 5.0% of revenues.</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Operating Profit</w:t>
      </w:r>
    </w:p>
    <w:p>
      <w:pPr>
        <w:spacing w:after="0" w:line="229" w:lineRule="exact"/>
        <w:rPr>
          <w:sz w:val="20"/>
          <w:szCs w:val="20"/>
          <w:color w:val="auto"/>
        </w:rPr>
      </w:pPr>
    </w:p>
    <w:p>
      <w:pPr>
        <w:jc w:val="both"/>
        <w:ind w:right="120" w:firstLine="5"/>
        <w:spacing w:after="0" w:line="263" w:lineRule="auto"/>
        <w:rPr>
          <w:sz w:val="20"/>
          <w:szCs w:val="20"/>
          <w:color w:val="auto"/>
        </w:rPr>
      </w:pPr>
      <w:r>
        <w:rPr>
          <w:rFonts w:ascii="Arial" w:cs="Arial" w:eastAsia="Arial" w:hAnsi="Arial"/>
          <w:sz w:val="18"/>
          <w:szCs w:val="18"/>
          <w:color w:val="auto"/>
        </w:rPr>
        <w:t>Operating profit for the six months ended June 30, 2022 amounted to $133.7 million as compared to $66.5 million for the six months ended June 30, 2021. The $67.2 million increase in operating profit resulted mainly from the $73.5 million increase in gross profit described above, offset by the $6.8 million increase in marketing, general and administrative expense described above.</w:t>
      </w:r>
    </w:p>
    <w:p>
      <w:pPr>
        <w:spacing w:after="0" w:line="35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48895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60" w:top="337" w:right="359" w:bottom="1440" w:gutter="0" w:footer="0" w:header="0"/>
        </w:sectPr>
      </w:pPr>
    </w:p>
    <w:bookmarkStart w:id="15" w:name="page16"/>
    <w:bookmarkEnd w:id="15"/>
    <w:p>
      <w:pPr>
        <w:jc w:val="center"/>
        <w:ind w:right="600"/>
        <w:spacing w:after="0" w:line="266" w:lineRule="auto"/>
        <w:rPr>
          <w:sz w:val="20"/>
          <w:szCs w:val="20"/>
          <w:color w:val="auto"/>
        </w:rPr>
      </w:pPr>
      <w:r>
        <w:rPr>
          <w:rFonts w:ascii="Arial" w:cs="Arial" w:eastAsia="Arial" w:hAnsi="Arial"/>
          <w:sz w:val="18"/>
          <w:szCs w:val="18"/>
          <w:b w:val="1"/>
          <w:bCs w:val="1"/>
          <w:color w:val="auto"/>
        </w:rPr>
        <w:t>TOWER SEMICONDUCTOR LTD. AND SUBSIDIARIES MANAGEMENT’S DISCUSSION AND ANALYSIS OF FINANCIAL CONDITION AND RESULTS OF OPERATIONS</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Financing and other expense, net</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Financing and other expense, net for the six months ended June 30, 2022 amounted to $10.3 million as compared to $8.3 million for the six months ended June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 (Expense), Net</w:t>
      </w:r>
    </w:p>
    <w:p>
      <w:pPr>
        <w:spacing w:after="0" w:line="22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Income tax expense, net for the six months ended June 30, 2022 amounted to $9.5 million as compared to $3.7 million income tax benefit, net for the six months ended June 30, 2021. This difference resulted mainly from an income tax benefit recorded in the six months ended June 30, 2021 due to an expiration of a deferred tax liability recorded in prior years, offset by higher tax expenses recorded in the six months ended June 30, 2022 due to the higher profit before tax for the six months ended June 30, 2022 as compared to the six months ended June 30,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Profit</w:t>
      </w:r>
    </w:p>
    <w:p>
      <w:pPr>
        <w:spacing w:after="0" w:line="229"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Net profit for the six months ended June 30, 2022 amounted to $113.9 million as compared to a net profit of $61.8 million for the six months ended June 30, 2021. The increase in net profit in the amount of $52.1 million was mainly due to the increase in operating profit, offset by the increase in financing and other expense, net, and by the increase in tax expense, net, as described above.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Non-Controlling Interest</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Net income attributable to the non-controlling interest for the six months ended June 30, 2022 amounted to $1.8 million as compared to $2.6 million for the six months ended June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Profit Attributable to the Company</w:t>
      </w:r>
    </w:p>
    <w:p>
      <w:pPr>
        <w:spacing w:after="0" w:line="229" w:lineRule="exact"/>
        <w:rPr>
          <w:sz w:val="20"/>
          <w:szCs w:val="20"/>
          <w:color w:val="auto"/>
        </w:rPr>
      </w:pPr>
    </w:p>
    <w:p>
      <w:pPr>
        <w:ind w:right="140" w:firstLine="5"/>
        <w:spacing w:after="0" w:line="259" w:lineRule="auto"/>
        <w:rPr>
          <w:sz w:val="20"/>
          <w:szCs w:val="20"/>
          <w:color w:val="auto"/>
        </w:rPr>
      </w:pPr>
      <w:r>
        <w:rPr>
          <w:rFonts w:ascii="Arial" w:cs="Arial" w:eastAsia="Arial" w:hAnsi="Arial"/>
          <w:sz w:val="18"/>
          <w:szCs w:val="18"/>
          <w:color w:val="auto"/>
        </w:rPr>
        <w:t>Net profit attributable to the company for the six months ended June 30, 2022 amounted to $112.1 million as compared to a net profit of $59.2 million for the six months ended June 30, 2021. The increase in net profit attributable to the company in the amount of $52.9 million was mainly due to the increase in the net profit of $52.1 million and the decrease in net income attributable to non-controlling interest, of $0.8 million, as described above.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details with regards to risks associated with the COVID-19 pandemic and/or risks that may result from the pandemic, see our disclosure under Note 1 to our annual consolidated financial statements as of December 31, 2021 and the risk factors section in ITEM 3D in our Form 20-F filed on April 29, 2022.</w:t>
      </w:r>
    </w:p>
    <w:p>
      <w:pPr>
        <w:spacing w:after="0" w:line="35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48895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60" w:top="337" w:right="379" w:bottom="1440" w:gutter="0" w:footer="0" w:header="0"/>
        </w:sectPr>
      </w:pPr>
    </w:p>
    <w:bookmarkStart w:id="16" w:name="page17"/>
    <w:bookmarkEnd w:id="16"/>
    <w:p>
      <w:pPr>
        <w:jc w:val="center"/>
        <w:ind w:right="640"/>
        <w:spacing w:after="0" w:line="266" w:lineRule="auto"/>
        <w:rPr>
          <w:sz w:val="20"/>
          <w:szCs w:val="20"/>
          <w:color w:val="auto"/>
        </w:rPr>
      </w:pPr>
      <w:r>
        <w:rPr>
          <w:rFonts w:ascii="Arial" w:cs="Arial" w:eastAsia="Arial" w:hAnsi="Arial"/>
          <w:sz w:val="18"/>
          <w:szCs w:val="18"/>
          <w:b w:val="1"/>
          <w:bCs w:val="1"/>
          <w:color w:val="auto"/>
        </w:rPr>
        <w:t>TOWER SEMICONDUCTOR LTD. AND SUBSIDIARIES MANAGEMENT’S DISCUSSION AND ANALYSIS OF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Currency Fluctuations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currently operates in three different regions: The United States, Israel and Japan. The functional currency of our entities in the United States and Israel is the US dollar (“USD”). The functional currency of our operations in Japan is the Japanese Yen (“JPY”). Our expenses and costs are denominated mainly in USD, JPY and New Israeli Shekels (“NIS”), revenues are denominated mainly in USD and JPY, and our cash from operations, investing and financing activities are denominated mainly in USD, JPY and NIS. Therefore, the Company is exposed to the risk of currency exchange rate fluctuations in Israel and Japan.</w:t>
      </w:r>
    </w:p>
    <w:p>
      <w:pPr>
        <w:spacing w:after="0" w:line="18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USD cost of our operations in Israel is influenced by changes in the USD-to-NIS exchange rate, with respect to costs that are denominated in NIS. During the six months ended June 30, 2022, the USD appreciated against the NIS by 12.5%, as compared to 1.4% appreciation during the six months ended June 30, 2021.</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fluctuation of the USD against the NIS can affect our results of operations as it relates to the entity in Israel. Appreciation of the NIS has the effect of increasing the cost, in USD terms, of some of the purchases and labor costs that are denominated in NIS, which may lead to erosion in the profit margins. The Company uses foreign currency cylinder transactions to hedge a portion of this currency exposure to be contained within a pre-defined fixed range. In addition, the Company executed swap-hedging transactions to hedge the exposure to the fluctuation of the USD against the NIS to the extent it relates to our non-convertible Series G debentures, which are denominated in NIS.</w:t>
      </w:r>
    </w:p>
    <w:p>
      <w:pPr>
        <w:spacing w:after="0" w:line="176"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The majority of TPSCo revenues are denominated in JPY and the majority of TPSCo expenses are in JPY, which limits the exposure to fluctuations of the USD/JPY exchange rate on TPSCo’s results of operations. In order to mitigate a portion of the net exposure to the USD/JPY exchange rate, the Company has engaged in cylinder hedging transactions to contain the currency’s fluctuation within a pre-defined fixed range.</w:t>
      </w:r>
    </w:p>
    <w:p>
      <w:pPr>
        <w:spacing w:after="0" w:line="149"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color w:val="auto"/>
        </w:rPr>
        <w:t>During the six months ended June 30, 2022, the USD appreciated against the JPY by 18.5%, as compared to 7.2% appreciation during the six months ended June 30, 2021. The net effect of USD appreciation against the JPY on TPSCo’s assets and liabilities denominated in JPY is presented in the Cumulative Translation Adjustment (“CTA”) as part of Other Comprehensive Income (“OCI”) in the balance sheet.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of June 30, 2022, the Company had an aggregate amount of $211.2 million in cash and cash equivalents, as compared to $210.9 million as of December 31, 2021. The main cash activities during the six months ended June 30, 2022 were as follows: $274.7 million net cash provided by operating activities; $130.2 million invested in property and equipment, net; $94.7 million invested in short-term deposits, marketable securities and other assets, net; and $38.8 million repayment of debt, net.</w:t>
      </w:r>
    </w:p>
    <w:p>
      <w:pPr>
        <w:spacing w:after="0" w:line="18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Short-term and long-term debt presented in the balance sheet as of June 30, 2022 amounted to $79.5 million and $200.7 million, respectively, and included bank loans, debentures and leasing contract liabilities. As of June 30, 2022, the aggregate principal amount of debentures was $38.2 million, and their carrying amount in the balance sheet was $38.0 million, presented as a short-term liability.</w:t>
      </w:r>
    </w:p>
    <w:p>
      <w:pPr>
        <w:spacing w:after="0" w:line="16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74930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168910</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0600"/>
      </w:cols>
      <w:pgMar w:left="96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2022-08-09T02:01:09Z</dcterms:created>
  <dcterms:modified xsi:type="dcterms:W3CDTF">2022-08-09T02:01:09Z</dcterms:modified>
</cp:coreProperties>
</file>