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SCHEDULE 13G/A</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Under the Securities Exchange Act of 1934</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1)*</w:t>
      </w:r>
    </w:p>
    <w:p>
      <w:pPr>
        <w:spacing w:after="0" w:line="18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u w:val="single" w:color="auto"/>
          <w:color w:val="auto"/>
        </w:rPr>
        <w:t>TOWER SEMICONDUCTOR LTD.</w:t>
      </w:r>
    </w:p>
    <w:p>
      <w:pPr>
        <w:spacing w:after="0" w:line="4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Ordinary Shares, NIS 1.00 par value per share</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M87915100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December 31, 2005</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 - 1(b)</w:t>
      </w:r>
    </w:p>
    <w:p>
      <w:pPr>
        <w:spacing w:after="0" w:line="238"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 - 1(c)</w:t>
      </w: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 - 1(d)</w:t>
      </w:r>
    </w:p>
    <w:p>
      <w:pPr>
        <w:spacing w:after="0" w:line="8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4"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571" w:right="479" w:bottom="1440" w:gutter="0" w:footer="0" w:header="0"/>
        </w:sectPr>
      </w:pPr>
    </w:p>
    <w:bookmarkStart w:id="1" w:name="page2"/>
    <w:bookmarkEnd w:id="1"/>
    <w:p>
      <w:pPr>
        <w:spacing w:after="0"/>
        <w:tabs>
          <w:tab w:leader="none" w:pos="5520" w:val="left"/>
          <w:tab w:leader="none" w:pos="9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419100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4 Pages</w:t>
      </w:r>
    </w:p>
    <w:p>
      <w:pPr>
        <w:spacing w:after="0" w:line="21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 o</w:t>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o</w:t>
      </w:r>
    </w:p>
    <w:p>
      <w:pPr>
        <w:spacing w:after="0" w:line="27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82" w:lineRule="exact"/>
        <w:rPr>
          <w:sz w:val="20"/>
          <w:szCs w:val="20"/>
          <w:color w:val="auto"/>
        </w:rPr>
      </w:pPr>
    </w:p>
    <w:p>
      <w:pPr>
        <w:ind w:left="460" w:right="7260" w:hanging="452"/>
        <w:spacing w:after="0" w:line="53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17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7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ind w:left="140"/>
              <w:spacing w:after="0"/>
              <w:rPr>
                <w:sz w:val="20"/>
                <w:szCs w:val="20"/>
                <w:color w:val="auto"/>
              </w:rPr>
            </w:pPr>
            <w:r>
              <w:rPr>
                <w:rFonts w:ascii="Arial" w:cs="Arial" w:eastAsia="Arial" w:hAnsi="Arial"/>
                <w:sz w:val="18"/>
                <w:szCs w:val="18"/>
                <w:color w:val="auto"/>
              </w:rPr>
              <w:t>6,312,273</w:t>
            </w:r>
          </w:p>
        </w:tc>
        <w:tc>
          <w:tcPr>
            <w:tcW w:w="0" w:type="dxa"/>
            <w:vAlign w:val="bottom"/>
          </w:tcPr>
          <w:p>
            <w:pPr>
              <w:spacing w:after="0"/>
              <w:rPr>
                <w:sz w:val="1"/>
                <w:szCs w:val="1"/>
                <w:color w:val="auto"/>
              </w:rPr>
            </w:pPr>
          </w:p>
        </w:tc>
      </w:tr>
      <w:tr>
        <w:trPr>
          <w:trHeight w:val="446"/>
        </w:trPr>
        <w:tc>
          <w:tcPr>
            <w:tcW w:w="1700" w:type="dxa"/>
            <w:vAlign w:val="bottom"/>
            <w:vMerge w:val="restart"/>
          </w:tcPr>
          <w:p>
            <w:pPr>
              <w:jc w:val="center"/>
              <w:ind w:right="352"/>
              <w:spacing w:after="0"/>
              <w:rPr>
                <w:sz w:val="20"/>
                <w:szCs w:val="20"/>
                <w:color w:val="auto"/>
              </w:rPr>
            </w:pPr>
            <w:r>
              <w:rPr>
                <w:rFonts w:ascii="Arial" w:cs="Arial" w:eastAsia="Arial" w:hAnsi="Arial"/>
                <w:sz w:val="18"/>
                <w:szCs w:val="18"/>
                <w:color w:val="auto"/>
                <w:w w:val="98"/>
              </w:rPr>
              <w:t>NUMBER OF</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6"/>
        </w:trPr>
        <w:tc>
          <w:tcPr>
            <w:tcW w:w="1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ind w:right="372"/>
              <w:spacing w:after="0" w:line="202" w:lineRule="exact"/>
              <w:rPr>
                <w:sz w:val="20"/>
                <w:szCs w:val="20"/>
                <w:color w:val="auto"/>
              </w:rPr>
            </w:pPr>
            <w:r>
              <w:rPr>
                <w:rFonts w:ascii="Arial" w:cs="Arial" w:eastAsia="Arial" w:hAnsi="Arial"/>
                <w:sz w:val="18"/>
                <w:szCs w:val="18"/>
                <w:color w:val="auto"/>
                <w:w w:val="97"/>
              </w:rPr>
              <w:t>SHARES</w:t>
            </w:r>
          </w:p>
        </w:tc>
        <w:tc>
          <w:tcPr>
            <w:tcW w:w="720" w:type="dxa"/>
            <w:vAlign w:val="bottom"/>
          </w:tcPr>
          <w:p>
            <w:pPr>
              <w:spacing w:after="0"/>
              <w:rPr>
                <w:sz w:val="17"/>
                <w:szCs w:val="17"/>
                <w:color w:val="auto"/>
              </w:rPr>
            </w:pPr>
          </w:p>
        </w:tc>
        <w:tc>
          <w:tcPr>
            <w:tcW w:w="2740" w:type="dxa"/>
            <w:vAlign w:val="bottom"/>
            <w:vMerge w:val="restart"/>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00" w:type="dxa"/>
            <w:vAlign w:val="bottom"/>
          </w:tcPr>
          <w:p>
            <w:pPr>
              <w:jc w:val="center"/>
              <w:ind w:right="352"/>
              <w:spacing w:after="0" w:line="202" w:lineRule="exact"/>
              <w:rPr>
                <w:sz w:val="20"/>
                <w:szCs w:val="20"/>
                <w:color w:val="auto"/>
              </w:rPr>
            </w:pPr>
            <w:r>
              <w:rPr>
                <w:rFonts w:ascii="Arial" w:cs="Arial" w:eastAsia="Arial" w:hAnsi="Arial"/>
                <w:sz w:val="18"/>
                <w:szCs w:val="18"/>
                <w:color w:val="auto"/>
                <w:w w:val="95"/>
              </w:rPr>
              <w:t>BENEFICIALLY</w:t>
            </w:r>
          </w:p>
        </w:tc>
        <w:tc>
          <w:tcPr>
            <w:tcW w:w="7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ind w:right="372"/>
              <w:spacing w:after="0" w:line="202" w:lineRule="exact"/>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ind w:right="372"/>
              <w:spacing w:after="0" w:line="202" w:lineRule="exact"/>
              <w:rPr>
                <w:sz w:val="20"/>
                <w:szCs w:val="20"/>
                <w:color w:val="auto"/>
              </w:rPr>
            </w:pPr>
            <w:r>
              <w:rPr>
                <w:rFonts w:ascii="Arial" w:cs="Arial" w:eastAsia="Arial" w:hAnsi="Arial"/>
                <w:sz w:val="18"/>
                <w:szCs w:val="18"/>
                <w:color w:val="auto"/>
                <w:w w:val="95"/>
              </w:rPr>
              <w:t>EACH</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w:t>
            </w:r>
          </w:p>
        </w:tc>
        <w:tc>
          <w:tcPr>
            <w:tcW w:w="2740" w:type="dxa"/>
            <w:vAlign w:val="bottom"/>
          </w:tcPr>
          <w:p>
            <w:pPr>
              <w:ind w:left="1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700" w:type="dxa"/>
            <w:vAlign w:val="bottom"/>
          </w:tcPr>
          <w:p>
            <w:pPr>
              <w:jc w:val="center"/>
              <w:ind w:right="372"/>
              <w:spacing w:after="0" w:line="202" w:lineRule="exact"/>
              <w:rPr>
                <w:sz w:val="20"/>
                <w:szCs w:val="20"/>
                <w:color w:val="auto"/>
              </w:rPr>
            </w:pPr>
            <w:r>
              <w:rPr>
                <w:rFonts w:ascii="Arial" w:cs="Arial" w:eastAsia="Arial" w:hAnsi="Arial"/>
                <w:sz w:val="18"/>
                <w:szCs w:val="18"/>
                <w:color w:val="auto"/>
                <w:w w:val="97"/>
              </w:rPr>
              <w:t>REPORTING</w:t>
            </w:r>
          </w:p>
        </w:tc>
        <w:tc>
          <w:tcPr>
            <w:tcW w:w="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00" w:type="dxa"/>
            <w:vAlign w:val="bottom"/>
          </w:tcPr>
          <w:p>
            <w:pPr>
              <w:jc w:val="center"/>
              <w:ind w:right="372"/>
              <w:spacing w:after="0"/>
              <w:rPr>
                <w:sz w:val="20"/>
                <w:szCs w:val="20"/>
                <w:color w:val="auto"/>
              </w:rPr>
            </w:pPr>
            <w:r>
              <w:rPr>
                <w:rFonts w:ascii="Arial" w:cs="Arial" w:eastAsia="Arial" w:hAnsi="Arial"/>
                <w:sz w:val="18"/>
                <w:szCs w:val="18"/>
                <w:color w:val="auto"/>
                <w:w w:val="97"/>
              </w:rPr>
              <w:t>PERSON WITH</w:t>
            </w:r>
          </w:p>
        </w:tc>
        <w:tc>
          <w:tcPr>
            <w:tcW w:w="720" w:type="dxa"/>
            <w:vAlign w:val="bottom"/>
          </w:tcPr>
          <w:p>
            <w:pPr>
              <w:spacing w:after="0"/>
              <w:rPr>
                <w:sz w:val="18"/>
                <w:szCs w:val="18"/>
                <w:color w:val="auto"/>
              </w:rPr>
            </w:pPr>
          </w:p>
        </w:tc>
        <w:tc>
          <w:tcPr>
            <w:tcW w:w="2740" w:type="dxa"/>
            <w:vAlign w:val="bottom"/>
            <w:vMerge w:val="restart"/>
          </w:tcPr>
          <w:p>
            <w:pPr>
              <w:ind w:left="140"/>
              <w:spacing w:after="0"/>
              <w:rPr>
                <w:sz w:val="20"/>
                <w:szCs w:val="20"/>
                <w:color w:val="auto"/>
              </w:rPr>
            </w:pPr>
            <w:r>
              <w:rPr>
                <w:rFonts w:ascii="Arial" w:cs="Arial" w:eastAsia="Arial" w:hAnsi="Arial"/>
                <w:sz w:val="18"/>
                <w:szCs w:val="18"/>
                <w:color w:val="auto"/>
              </w:rPr>
              <w:t>6,312,273</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740" w:type="dxa"/>
            <w:vAlign w:val="bottom"/>
          </w:tcPr>
          <w:p>
            <w:pPr>
              <w:ind w:left="140"/>
              <w:spacing w:after="0"/>
              <w:rPr>
                <w:sz w:val="20"/>
                <w:szCs w:val="20"/>
                <w:color w:val="auto"/>
              </w:rPr>
            </w:pPr>
            <w:r>
              <w:rPr>
                <w:rFonts w:ascii="Arial" w:cs="Arial" w:eastAsia="Arial" w:hAnsi="Arial"/>
                <w:sz w:val="18"/>
                <w:szCs w:val="18"/>
                <w:color w:val="auto"/>
                <w:w w:val="96"/>
              </w:rPr>
              <w:t>SHARED DISPOSITIVE POWER</w:t>
            </w: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60" w:right="4340" w:hanging="452"/>
        <w:spacing w:after="0" w:line="51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6,312,273</w:t>
      </w:r>
    </w:p>
    <w:p>
      <w:pPr>
        <w:spacing w:after="0" w:line="1" w:lineRule="exact"/>
        <w:rPr>
          <w:sz w:val="20"/>
          <w:szCs w:val="20"/>
          <w:color w:val="auto"/>
        </w:rPr>
      </w:pPr>
    </w:p>
    <w:p>
      <w:pPr>
        <w:ind w:left="460" w:right="3820" w:hanging="452"/>
        <w:spacing w:after="0" w:line="51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460" w:right="5880" w:hanging="452"/>
        <w:spacing w:after="0" w:line="51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1" w:lineRule="exact"/>
        <w:rPr>
          <w:rFonts w:ascii="Arial" w:cs="Arial" w:eastAsia="Arial" w:hAnsi="Arial"/>
          <w:sz w:val="18"/>
          <w:szCs w:val="18"/>
          <w:color w:val="auto"/>
        </w:rPr>
      </w:pPr>
    </w:p>
    <w:p>
      <w:pPr>
        <w:ind w:left="460" w:right="8320" w:hanging="452"/>
        <w:spacing w:after="0" w:line="53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Issuer</w:t>
      </w:r>
    </w:p>
    <w:p>
      <w:pPr>
        <w:spacing w:after="0" w:line="23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 Tower Semiconductor Ltd. ("Corporation")</w:t>
      </w:r>
    </w:p>
    <w:p>
      <w:pPr>
        <w:spacing w:after="0" w:line="225" w:lineRule="exact"/>
        <w:rPr>
          <w:rFonts w:ascii="Arial" w:cs="Arial" w:eastAsia="Arial" w:hAnsi="Arial"/>
          <w:sz w:val="18"/>
          <w:szCs w:val="18"/>
          <w:color w:val="auto"/>
        </w:rPr>
      </w:pPr>
    </w:p>
    <w:p>
      <w:pPr>
        <w:ind w:right="6560" w:firstLine="8"/>
        <w:spacing w:after="0" w:line="49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619, Migdal Haemek, 23105, ISRAEL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Person Filing and Securities Statement Being Filed in Respect Of</w:t>
      </w:r>
    </w:p>
    <w:p>
      <w:pPr>
        <w:spacing w:after="0" w:line="23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 Ontario Teachers' Pension Plan Board (the "Board")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ectPr>
          <w:pgSz w:w="11900" w:h="16838" w:orient="portrait"/>
          <w:cols w:equalWidth="0" w:num="1">
            <w:col w:w="11420"/>
          </w:cols>
          <w:pgMar w:left="240" w:top="926"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5650 Yonge Street, Suite 500, Toronto, Ontario, Canada, M2M 4H5</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The Board is a corporation incorporated under the laws of the Province of Ontario, Canada.</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 This statement relates to Ordinary Shares, NIS 1.00 par value per share, of the Corporation.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 M87915100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is filing this statement pursuant to the "no-action" relief granted to it by the Office of Tender Offers, Division of Corporation Finance of the United States Securities and Exchange Commission in a letter dated May 6, 1992.</w:t>
      </w:r>
    </w:p>
    <w:p>
      <w:pPr>
        <w:spacing w:after="0" w:line="186"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1209675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6,312,273 (as of December 31, 2005)</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9.0%</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Sole power to vote or direct the vote: 6,312,273 II. Shared power to vote or direct the vote: NONE III. Sole power to dispose or direct the disposition: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6,312,273 IV. Shared power to dispose or to direct the disposition: 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January 30, 2006</w:t>
      </w:r>
    </w:p>
    <w:p>
      <w:pPr>
        <w:spacing w:after="0" w:line="38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Roger Barton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w:t>
      </w:r>
    </w:p>
    <w:p>
      <w:pPr>
        <w:ind w:left="5720"/>
        <w:spacing w:after="0" w:line="234" w:lineRule="auto"/>
        <w:rPr>
          <w:sz w:val="20"/>
          <w:szCs w:val="20"/>
          <w:color w:val="auto"/>
        </w:rPr>
      </w:pPr>
      <w:r>
        <w:rPr>
          <w:rFonts w:ascii="Arial" w:cs="Arial" w:eastAsia="Arial" w:hAnsi="Arial"/>
          <w:sz w:val="18"/>
          <w:szCs w:val="18"/>
          <w:i w:val="1"/>
          <w:iCs w:val="1"/>
          <w:color w:val="auto"/>
        </w:rPr>
        <w:t>Roger Barton</w:t>
      </w:r>
    </w:p>
    <w:p>
      <w:pPr>
        <w:ind w:left="5720"/>
        <w:spacing w:after="0" w:line="235" w:lineRule="auto"/>
        <w:rPr>
          <w:sz w:val="20"/>
          <w:szCs w:val="20"/>
          <w:color w:val="auto"/>
        </w:rPr>
      </w:pPr>
      <w:r>
        <w:rPr>
          <w:rFonts w:ascii="Arial" w:cs="Arial" w:eastAsia="Arial" w:hAnsi="Arial"/>
          <w:sz w:val="18"/>
          <w:szCs w:val="18"/>
          <w:i w:val="1"/>
          <w:iCs w:val="1"/>
          <w:color w:val="auto"/>
        </w:rPr>
        <w:t>Vice President, General Counsel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sectPr>
      <w:pgSz w:w="11900" w:h="16838" w:orient="portrait"/>
      <w:cols w:equalWidth="0" w:num="1">
        <w:col w:w="11360"/>
      </w:cols>
      <w:pgMar w:left="240" w:top="65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2019-12-14T03:29:17Z</dcterms:created>
  <dcterms:modified xsi:type="dcterms:W3CDTF">2019-12-14T03:29:17Z</dcterms:modified>
</cp:coreProperties>
</file>