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September 2006, No. 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September 28 2006, Tower Semiconductor announces Closing of Definitive Agreements with its Banks and Israel Corp.,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28,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2120"/>
        <w:spacing w:after="0"/>
        <w:rPr>
          <w:sz w:val="20"/>
          <w:szCs w:val="20"/>
          <w:color w:val="auto"/>
        </w:rPr>
      </w:pPr>
      <w:r>
        <w:rPr>
          <w:rFonts w:ascii="Courier New" w:cs="Courier New" w:eastAsia="Courier New" w:hAnsi="Courier New"/>
          <w:sz w:val="18"/>
          <w:szCs w:val="18"/>
          <w:color w:val="auto"/>
        </w:rPr>
        <w:t>TOWER SEMICONDUCTOR ANNOUNCES CLOSING OF</w:t>
      </w:r>
    </w:p>
    <w:p>
      <w:pPr>
        <w:ind w:left="1380"/>
        <w:spacing w:after="0" w:line="238" w:lineRule="auto"/>
        <w:rPr>
          <w:sz w:val="20"/>
          <w:szCs w:val="20"/>
          <w:color w:val="auto"/>
        </w:rPr>
      </w:pPr>
      <w:r>
        <w:rPr>
          <w:rFonts w:ascii="Courier New" w:cs="Courier New" w:eastAsia="Courier New" w:hAnsi="Courier New"/>
          <w:sz w:val="18"/>
          <w:szCs w:val="18"/>
          <w:color w:val="auto"/>
        </w:rPr>
        <w:t>DEFINITIVE AGREEMENTS WITH ITS BANKS AND ISRAEL CORP.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September 28, 2006 - Tower Semiconductor Ltd. (NASDAQ: TSEM; TASE: TSEM), a pure-play independent specialty foundry, today announced the closing of the previously announced definitive agreements with its lender banks and with Israel Corp., following the approval of Tower's shareholders at a meeting held today and the completion of all other closing conditions.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According to these agreements, $158 million of long-term debt was converted by the banks into equity equivalent capital notes, convertible into 51,973,684 Tower's ordinary shares, and $100 million was invested by Israel Corp. in Tower for an equity equivalent capital note, convertible into 65,789,474 ordinary shares.</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Other principal terms of the definitive agreements are described in Tower's proxy statement filed on August 24, 2006 at www.sec.gov and at www.maya.tase.co.il.</w:t>
      </w:r>
    </w:p>
    <w:p>
      <w:pPr>
        <w:spacing w:after="0" w:line="200" w:lineRule="exact"/>
        <w:rPr>
          <w:sz w:val="20"/>
          <w:szCs w:val="20"/>
          <w:color w:val="auto"/>
        </w:rPr>
      </w:pPr>
    </w:p>
    <w:p>
      <w:pPr>
        <w:spacing w:after="0" w:line="206"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ABOUT TOWER SEMICONDUCTOR</w:t>
      </w:r>
      <w:r>
        <w:rPr>
          <w:sz w:val="20"/>
          <w:szCs w:val="20"/>
          <w:color w:val="auto"/>
        </w:rPr>
        <w:tab/>
      </w:r>
      <w:r>
        <w:rPr>
          <w:rFonts w:ascii="Courier New" w:cs="Courier New" w:eastAsia="Courier New" w:hAnsi="Courier New"/>
          <w:sz w:val="16"/>
          <w:szCs w:val="16"/>
          <w:color w:val="auto"/>
        </w:rPr>
        <w:t>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a current capacity of up to 15,000 200mm wafers per month. Tower's website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Tower Semiconductor</w:t>
      </w:r>
    </w:p>
    <w:p>
      <w:pPr>
        <w:ind w:left="6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640"/>
        <w:spacing w:after="0"/>
        <w:rPr>
          <w:sz w:val="20"/>
          <w:szCs w:val="20"/>
          <w:color w:val="auto"/>
        </w:rPr>
      </w:pPr>
      <w:r>
        <w:rPr>
          <w:rFonts w:ascii="Courier New" w:cs="Courier New" w:eastAsia="Courier New" w:hAnsi="Courier New"/>
          <w:sz w:val="18"/>
          <w:szCs w:val="18"/>
          <w:color w:val="auto"/>
        </w:rPr>
        <w:t>ilanitvu@towersemi.com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in the short-term and raising the funds required to implement the current ramp up plan and complete Fab 2,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our ability to satisfy certain of the covenants stipulated in our amended facility agreement, (vi) our ability to capitalize on increases in demand for foundry services, (vii) meeting the conditions to receive Israeli government grants and tax benefits approved for Fab 2 and obtaining the approval of the Israeli Investment Center for a new expansion program, (viii) attracting additional customers, (ix) not receiving orders from our wafer partners, customers and technology providers, (x) failing to maintain and develop our technology processes and services, (xi) competing effectively, (xii) our large amount of debt and our ability to repay our debt on a timely basis, (xiii) achieving acceptable device yields, product performance and delivery times, (xi) the timely development, internal qualification and customer acceptance of new processes and products, and (xv) business interruption due to terror attacks, including the current effect of the military situation, earthquakes, and other acts of God.</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2019-12-14T03:26:53Z</dcterms:created>
  <dcterms:modified xsi:type="dcterms:W3CDTF">2019-12-14T03:26:53Z</dcterms:modified>
</cp:coreProperties>
</file>