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August 2010 No. 3</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380"/>
        <w:spacing w:after="0"/>
        <w:tabs>
          <w:tab w:leader="none" w:pos="666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August 17, 2010, the registrant announces Closing of a Definitive Agreement with its Lender Banks to Refinance and Reduce Its Debt to Improve Its Balance Sheet and Cash Flows.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4780" w:val="left"/>
          <w:tab w:leader="none" w:pos="5240" w:val="left"/>
        </w:tabs>
        <w:rPr>
          <w:sz w:val="20"/>
          <w:szCs w:val="20"/>
          <w:color w:val="auto"/>
        </w:rPr>
      </w:pPr>
      <w:r>
        <w:rPr>
          <w:rFonts w:ascii="Arial" w:cs="Arial" w:eastAsia="Arial" w:hAnsi="Arial"/>
          <w:sz w:val="18"/>
          <w:szCs w:val="18"/>
          <w:color w:val="auto"/>
        </w:rPr>
        <w:t>Date: August 17,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1780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line="265" w:lineRule="auto"/>
        <w:rPr>
          <w:sz w:val="20"/>
          <w:szCs w:val="20"/>
          <w:color w:val="auto"/>
        </w:rPr>
      </w:pPr>
      <w:r>
        <w:rPr>
          <w:rFonts w:ascii="Arial" w:cs="Arial" w:eastAsia="Arial" w:hAnsi="Arial"/>
          <w:sz w:val="25"/>
          <w:szCs w:val="25"/>
          <w:b w:val="1"/>
          <w:bCs w:val="1"/>
          <w:color w:val="auto"/>
        </w:rPr>
        <w:t>TowerJazz Announces Closing of a Definitive Agreement with its Lender Banks to Refinance and Reduce Its Debt to Improve Its Balance Sheet and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Agreement, $210 Million Bank Loans Have Been Paid Down to $160 million and Extended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2013 through 2015 at Libor plus 2.75%</w:t>
      </w:r>
    </w:p>
    <w:p>
      <w:pPr>
        <w:spacing w:after="0" w:line="2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MIGDAL HAEMEK, Israel – August 17, 2010 – TowerJazz, the global specialty foundry leader, today announced that it has signed and closed a definitive agreement with its lender banks, strengthening its balance sheet and debt structure, as well as enabling its business plan forecasted growth.</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the agreement, approximately $160 million of principal amount were extended and scheduled to be paid in 10 quarterly installments commencing the third quarter of 2013 and ending in the fourth quarter of 2015. The loans will bear an annual interest rate of Libor plus 2.75 percent. As part of the agreement, the company will prepay $30 million, on top of $20 million previously announced, both originally due next year. This is funded by its improved operating margins, which have outperformed street expectations.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Oren Shirazi, TowerJazz’s CFO, said: “Following the previous announced $80 million bonds to notes exchange, the extension of the $45 million Wells Fargo credit lines, with due dates of 2015 and 2014 respectively, a conversion of approximately $30 million of Israeli bonds, and with this additional banks agreement, we have now refinanced/ restructured more than $350 million of debt. Considering our greater than $160 million 2010 EBITDA target, this restructure has improved our debt to EBITDA ratio to less than 2.5X, being a servable ratio and much lower than in the past.”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Russell Ellwanger, TowerJazz's chief executive officer, added, "This new debt balance and schedule is critical to sustaining a significant cash balance enabling quick execution of material growth opportunities. The signing of this definitive agreement with our Israeli lender banks was the most significant step towards the execution of our comprehensive debt restructuring plan. Servicing the reduced remaining principle with the associated due dates of all banks and bonds debt, falls easily within the operating models of the company, for a wide range of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The success of the Company’s debt restructuring efforts is subject to many factors, including the following: (i) negotiation of mutually acceptable arrangements with the Company’s institutional and other debt and debenture holders; (ii) market interest in any new debt securities the Company may propose to issue; (iii) the overall global economy conditions as well as the situation of the credit and financial markets; and (iv) the Company’s operating results, cash flow, financial position and future prospects.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complete discussion of risks and uncertainties that may affect the accuracy of forward-looking statements included in this press release or which may otherwise affect our business is included under the heading "Risk Factors" in Tower’s most recent filing on Form 20-F. The Company does not intend to update, and expressly disclaims any obligation to update, the information contained in this release.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applied in this release, the term Earnings Before Interest Tax Depreciation and Amortization (EBITDA) consists of loss, according to U.S. GAAP, excluding interest and financing expenses (net), tax, depreciation and amortization and stock based compensation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3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5"/>
        </w:trPr>
        <w:tc>
          <w:tcPr>
            <w:tcW w:w="5480" w:type="dxa"/>
            <w:vAlign w:val="bottom"/>
            <w:gridSpan w:val="3"/>
          </w:tcPr>
          <w:p>
            <w:pPr>
              <w:jc w:val="center"/>
              <w:ind w:right="2040"/>
              <w:spacing w:after="0"/>
              <w:rPr>
                <w:sz w:val="20"/>
                <w:szCs w:val="20"/>
                <w:color w:val="auto"/>
              </w:rPr>
            </w:pPr>
            <w:r>
              <w:rPr>
                <w:rFonts w:ascii="Arial" w:cs="Arial" w:eastAsia="Arial" w:hAnsi="Arial"/>
                <w:sz w:val="18"/>
                <w:szCs w:val="18"/>
                <w:color w:val="auto"/>
                <w:w w:val="89"/>
              </w:rPr>
              <w:t>TowerJazz Investor Relations</w:t>
            </w:r>
          </w:p>
        </w:tc>
        <w:tc>
          <w:tcPr>
            <w:tcW w:w="3280" w:type="dxa"/>
            <w:vAlign w:val="bottom"/>
          </w:tcPr>
          <w:p>
            <w:pPr>
              <w:spacing w:after="0"/>
              <w:rPr>
                <w:sz w:val="24"/>
                <w:szCs w:val="24"/>
                <w:color w:val="auto"/>
              </w:rPr>
            </w:pPr>
          </w:p>
        </w:tc>
        <w:tc>
          <w:tcPr>
            <w:tcW w:w="2660" w:type="dxa"/>
            <w:vAlign w:val="bottom"/>
            <w:gridSpan w:val="2"/>
          </w:tcPr>
          <w:p>
            <w:pPr>
              <w:jc w:val="center"/>
              <w:ind w:right="760"/>
              <w:spacing w:after="0"/>
              <w:rPr>
                <w:sz w:val="20"/>
                <w:szCs w:val="20"/>
                <w:color w:val="auto"/>
              </w:rPr>
            </w:pPr>
            <w:r>
              <w:rPr>
                <w:rFonts w:ascii="Arial" w:cs="Arial" w:eastAsia="Arial" w:hAnsi="Arial"/>
                <w:sz w:val="18"/>
                <w:szCs w:val="18"/>
                <w:color w:val="auto"/>
                <w:w w:val="92"/>
              </w:rPr>
              <w:t>CCG Investor Relations</w:t>
            </w:r>
          </w:p>
        </w:tc>
      </w:tr>
      <w:tr>
        <w:trPr>
          <w:trHeight w:val="216"/>
        </w:trPr>
        <w:tc>
          <w:tcPr>
            <w:tcW w:w="5480" w:type="dxa"/>
            <w:vAlign w:val="bottom"/>
            <w:gridSpan w:val="3"/>
          </w:tcPr>
          <w:p>
            <w:pPr>
              <w:jc w:val="center"/>
              <w:ind w:right="2040"/>
              <w:spacing w:after="0"/>
              <w:rPr>
                <w:sz w:val="20"/>
                <w:szCs w:val="20"/>
                <w:color w:val="auto"/>
              </w:rPr>
            </w:pPr>
            <w:r>
              <w:rPr>
                <w:rFonts w:ascii="Arial" w:cs="Arial" w:eastAsia="Arial" w:hAnsi="Arial"/>
                <w:sz w:val="18"/>
                <w:szCs w:val="18"/>
                <w:color w:val="auto"/>
                <w:w w:val="92"/>
              </w:rPr>
              <w:t>Noit Levi, +972 4 604 7066</w:t>
            </w:r>
          </w:p>
        </w:tc>
        <w:tc>
          <w:tcPr>
            <w:tcW w:w="5940" w:type="dxa"/>
            <w:vAlign w:val="bottom"/>
            <w:gridSpan w:val="3"/>
          </w:tcPr>
          <w:p>
            <w:pPr>
              <w:jc w:val="center"/>
              <w:ind w:left="2430"/>
              <w:spacing w:after="0"/>
              <w:rPr>
                <w:sz w:val="20"/>
                <w:szCs w:val="20"/>
                <w:color w:val="auto"/>
              </w:rPr>
            </w:pPr>
            <w:r>
              <w:rPr>
                <w:rFonts w:ascii="Arial" w:cs="Arial" w:eastAsia="Arial" w:hAnsi="Arial"/>
                <w:sz w:val="18"/>
                <w:szCs w:val="18"/>
                <w:color w:val="auto"/>
                <w:w w:val="91"/>
              </w:rPr>
              <w:t>Ehud Helft / Kenny Green, (646) 201 9246</w:t>
            </w:r>
          </w:p>
        </w:tc>
      </w:tr>
      <w:tr>
        <w:trPr>
          <w:trHeight w:val="190"/>
        </w:trPr>
        <w:tc>
          <w:tcPr>
            <w:tcW w:w="800" w:type="dxa"/>
            <w:vAlign w:val="bottom"/>
          </w:tcPr>
          <w:p>
            <w:pPr>
              <w:spacing w:after="0"/>
              <w:rPr>
                <w:sz w:val="16"/>
                <w:szCs w:val="16"/>
                <w:color w:val="auto"/>
              </w:rPr>
            </w:pPr>
          </w:p>
        </w:tc>
        <w:tc>
          <w:tcPr>
            <w:tcW w:w="4680" w:type="dxa"/>
            <w:vAlign w:val="bottom"/>
            <w:gridSpan w:val="2"/>
          </w:tcPr>
          <w:p>
            <w:pPr>
              <w:jc w:val="center"/>
              <w:ind w:right="2820"/>
              <w:spacing w:after="0" w:line="190" w:lineRule="exact"/>
              <w:rPr>
                <w:sz w:val="20"/>
                <w:szCs w:val="20"/>
                <w:color w:val="auto"/>
              </w:rPr>
            </w:pPr>
            <w:r>
              <w:rPr>
                <w:rFonts w:ascii="Arial" w:cs="Arial" w:eastAsia="Arial" w:hAnsi="Arial"/>
                <w:sz w:val="18"/>
                <w:szCs w:val="18"/>
                <w:color w:val="auto"/>
                <w:w w:val="94"/>
              </w:rPr>
              <w:t>Noit.levi@towerjazz.com</w:t>
            </w:r>
          </w:p>
        </w:tc>
        <w:tc>
          <w:tcPr>
            <w:tcW w:w="5940" w:type="dxa"/>
            <w:vAlign w:val="bottom"/>
            <w:gridSpan w:val="3"/>
          </w:tcPr>
          <w:p>
            <w:pPr>
              <w:jc w:val="center"/>
              <w:ind w:left="2430"/>
              <w:spacing w:after="0" w:line="190" w:lineRule="exact"/>
              <w:rPr>
                <w:sz w:val="20"/>
                <w:szCs w:val="20"/>
                <w:color w:val="auto"/>
              </w:rPr>
            </w:pPr>
            <w:r>
              <w:rPr>
                <w:rFonts w:ascii="Arial" w:cs="Arial" w:eastAsia="Arial" w:hAnsi="Arial"/>
                <w:sz w:val="18"/>
                <w:szCs w:val="18"/>
                <w:color w:val="auto"/>
                <w:w w:val="90"/>
              </w:rPr>
              <w:t>towersemi@ccgisrael.com</w:t>
            </w:r>
          </w:p>
        </w:tc>
      </w:tr>
      <w:tr>
        <w:trPr>
          <w:trHeight w:val="382"/>
        </w:trPr>
        <w:tc>
          <w:tcPr>
            <w:tcW w:w="8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71"/>
        </w:trPr>
        <w:tc>
          <w:tcPr>
            <w:tcW w:w="800" w:type="dxa"/>
            <w:vAlign w:val="bottom"/>
            <w:shd w:val="clear" w:color="auto" w:fill="808080"/>
          </w:tcPr>
          <w:p>
            <w:pPr>
              <w:spacing w:after="0"/>
              <w:rPr>
                <w:sz w:val="6"/>
                <w:szCs w:val="6"/>
                <w:color w:val="auto"/>
              </w:rPr>
            </w:pPr>
          </w:p>
        </w:tc>
        <w:tc>
          <w:tcPr>
            <w:tcW w:w="1860" w:type="dxa"/>
            <w:vAlign w:val="bottom"/>
            <w:shd w:val="clear" w:color="auto" w:fill="808080"/>
          </w:tcPr>
          <w:p>
            <w:pPr>
              <w:spacing w:after="0"/>
              <w:rPr>
                <w:sz w:val="6"/>
                <w:szCs w:val="6"/>
                <w:color w:val="auto"/>
              </w:rPr>
            </w:pPr>
          </w:p>
        </w:tc>
        <w:tc>
          <w:tcPr>
            <w:tcW w:w="2820" w:type="dxa"/>
            <w:vAlign w:val="bottom"/>
            <w:shd w:val="clear" w:color="auto" w:fill="808080"/>
          </w:tcPr>
          <w:p>
            <w:pPr>
              <w:spacing w:after="0"/>
              <w:rPr>
                <w:sz w:val="6"/>
                <w:szCs w:val="6"/>
                <w:color w:val="auto"/>
              </w:rPr>
            </w:pPr>
          </w:p>
        </w:tc>
        <w:tc>
          <w:tcPr>
            <w:tcW w:w="328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2019-12-10T12:41:13Z</dcterms:created>
  <dcterms:modified xsi:type="dcterms:W3CDTF">2019-12-10T12:41:13Z</dcterms:modified>
</cp:coreProperties>
</file>