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000-24790</w:t>
        </w:r>
      </w:hyperlink>
    </w:p>
    <w:p>
      <w:pPr>
        <w:spacing w:after="0" w:line="125" w:lineRule="exact"/>
        <w:rPr>
          <w:sz w:val="24"/>
          <w:szCs w:val="24"/>
          <w:color w:val="auto"/>
        </w:rPr>
      </w:pPr>
    </w:p>
    <w:p>
      <w:pPr>
        <w:ind w:left="2940"/>
        <w:spacing w:after="0"/>
        <w:tabs>
          <w:tab w:leader="none" w:pos="390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TOWER SEMICONDUCTOR LTD</w:t>
        </w:r>
      </w:hyperlink>
    </w:p>
    <w:p>
      <w:pPr>
        <w:spacing w:after="0" w:line="44" w:lineRule="exact"/>
        <w:rPr>
          <w:sz w:val="24"/>
          <w:szCs w:val="24"/>
          <w:color w:val="auto"/>
        </w:rPr>
      </w:pPr>
    </w:p>
    <w:p>
      <w:pPr>
        <w:ind w:left="2940"/>
        <w:spacing w:after="0"/>
        <w:rPr>
          <w:sz w:val="20"/>
          <w:szCs w:val="20"/>
          <w:color w:val="auto"/>
        </w:rPr>
      </w:pPr>
      <w:r>
        <w:rPr>
          <w:rFonts w:ascii="Arial" w:cs="Arial" w:eastAsia="Arial" w:hAnsi="Arial"/>
          <w:sz w:val="22"/>
          <w:szCs w:val="22"/>
          <w:color w:val="auto"/>
        </w:rPr>
        <w:t>Exchange: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920"/>
        <w:spacing w:after="0"/>
        <w:rPr>
          <w:sz w:val="20"/>
          <w:szCs w:val="20"/>
          <w:color w:val="auto"/>
        </w:rPr>
      </w:pPr>
      <w:r>
        <w:rPr>
          <w:rFonts w:ascii="Arial" w:cs="Arial" w:eastAsia="Arial" w:hAnsi="Arial"/>
          <w:sz w:val="22"/>
          <w:szCs w:val="22"/>
          <w:color w:val="auto"/>
        </w:rPr>
        <w:t>Address: Ramat Gavriel Industrial Park</w:t>
      </w:r>
    </w:p>
    <w:p>
      <w:pPr>
        <w:spacing w:after="0" w:line="44" w:lineRule="exact"/>
        <w:rPr>
          <w:sz w:val="24"/>
          <w:szCs w:val="24"/>
          <w:color w:val="auto"/>
        </w:rPr>
      </w:pPr>
    </w:p>
    <w:p>
      <w:pPr>
        <w:ind w:left="3760"/>
        <w:spacing w:after="0"/>
        <w:rPr>
          <w:sz w:val="20"/>
          <w:szCs w:val="20"/>
          <w:color w:val="auto"/>
        </w:rPr>
      </w:pPr>
      <w:r>
        <w:rPr>
          <w:rFonts w:ascii="Arial" w:cs="Arial" w:eastAsia="Arial" w:hAnsi="Arial"/>
          <w:sz w:val="22"/>
          <w:szCs w:val="22"/>
          <w:color w:val="auto"/>
        </w:rPr>
        <w:t>P.O. 619</w:t>
      </w:r>
    </w:p>
    <w:p>
      <w:pPr>
        <w:spacing w:after="0" w:line="44" w:lineRule="exact"/>
        <w:rPr>
          <w:sz w:val="24"/>
          <w:szCs w:val="24"/>
          <w:color w:val="auto"/>
        </w:rPr>
      </w:pPr>
    </w:p>
    <w:p>
      <w:pPr>
        <w:jc w:val="center"/>
        <w:ind w:right="-299"/>
        <w:spacing w:after="0"/>
        <w:rPr>
          <w:sz w:val="20"/>
          <w:szCs w:val="20"/>
          <w:color w:val="auto"/>
        </w:rPr>
      </w:pPr>
      <w:r>
        <w:rPr>
          <w:rFonts w:ascii="Arial" w:cs="Arial" w:eastAsia="Arial" w:hAnsi="Arial"/>
          <w:sz w:val="22"/>
          <w:szCs w:val="22"/>
          <w:color w:val="auto"/>
        </w:rPr>
        <w:t>Migdal Haemek ISRAEL 23105</w:t>
      </w:r>
    </w:p>
    <w:p>
      <w:pPr>
        <w:spacing w:after="0" w:line="44" w:lineRule="exact"/>
        <w:rPr>
          <w:sz w:val="24"/>
          <w:szCs w:val="24"/>
          <w:color w:val="auto"/>
        </w:rPr>
      </w:pPr>
    </w:p>
    <w:tbl>
      <w:tblPr>
        <w:tblLayout w:type="fixed"/>
        <w:tblInd w:w="2020" w:type="dxa"/>
        <w:tblCellMar>
          <w:top w:w="0" w:type="dxa"/>
          <w:left w:w="0" w:type="dxa"/>
          <w:bottom w:w="0" w:type="dxa"/>
          <w:right w:w="0" w:type="dxa"/>
        </w:tblCellMar>
      </w:tblPr>
      <w:tr>
        <w:trPr>
          <w:trHeight w:val="275"/>
        </w:trPr>
        <w:tc>
          <w:tcPr>
            <w:tcW w:w="3140" w:type="dxa"/>
            <w:vAlign w:val="bottom"/>
          </w:tcPr>
          <w:p>
            <w:pPr>
              <w:spacing w:after="0"/>
              <w:rPr>
                <w:sz w:val="20"/>
                <w:szCs w:val="20"/>
                <w:color w:val="auto"/>
              </w:rPr>
            </w:pPr>
            <w:r>
              <w:rPr>
                <w:rFonts w:ascii="Arial" w:cs="Arial" w:eastAsia="Arial" w:hAnsi="Arial"/>
                <w:sz w:val="22"/>
                <w:szCs w:val="22"/>
                <w:color w:val="auto"/>
              </w:rPr>
              <w:t>Telephone number:</w:t>
            </w:r>
          </w:p>
        </w:tc>
        <w:tc>
          <w:tcPr>
            <w:tcW w:w="2800" w:type="dxa"/>
            <w:vAlign w:val="bottom"/>
          </w:tcPr>
          <w:p>
            <w:pPr>
              <w:jc w:val="right"/>
              <w:spacing w:after="0"/>
              <w:rPr>
                <w:sz w:val="20"/>
                <w:szCs w:val="20"/>
                <w:color w:val="auto"/>
              </w:rPr>
            </w:pPr>
            <w:r>
              <w:rPr>
                <w:rFonts w:ascii="Arial" w:cs="Arial" w:eastAsia="Arial" w:hAnsi="Arial"/>
                <w:sz w:val="22"/>
                <w:szCs w:val="22"/>
                <w:color w:val="auto"/>
              </w:rPr>
              <w:t>972-4-6506611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Debentures convertible into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100"/>
        <w:spacing w:after="0" w:line="258" w:lineRule="auto"/>
        <w:rPr>
          <w:sz w:val="20"/>
          <w:szCs w:val="20"/>
          <w:color w:val="auto"/>
        </w:rPr>
      </w:pPr>
      <w:r>
        <w:rPr>
          <w:rFonts w:ascii="Arial" w:cs="Arial" w:eastAsia="Arial" w:hAnsi="Arial"/>
          <w:sz w:val="21"/>
          <w:szCs w:val="21"/>
          <w:color w:val="auto"/>
        </w:rPr>
        <w:t>Pursuant to the requirements fo the Securities Exchange Act of 1934, NASDAQ Stock Market LLC certifies that it has reasonable grounds to believe that it meets all of the requirements for filing the Form 25 and has caused this notification to be signed on its behalf by the undersigned duly authorized person.</w:t>
      </w:r>
    </w:p>
    <w:p>
      <w:pPr>
        <w:spacing w:after="0" w:line="45"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2012-01-09</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280"/>
              <w:spacing w:after="0"/>
              <w:rPr>
                <w:sz w:val="20"/>
                <w:szCs w:val="20"/>
                <w:color w:val="auto"/>
              </w:rPr>
            </w:pPr>
            <w:r>
              <w:rPr>
                <w:rFonts w:ascii="Arial" w:cs="Arial" w:eastAsia="Arial" w:hAnsi="Arial"/>
                <w:sz w:val="22"/>
                <w:szCs w:val="22"/>
                <w:color w:val="auto"/>
              </w:rPr>
              <w:t>Tara Petta</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Director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tsemg-form25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0-24790" TargetMode="External"/><Relationship Id="rId10" Type="http://schemas.openxmlformats.org/officeDocument/2006/relationships/hyperlink" Target="http://www.sec.gov/cgi-bin/browse-edgar?action=getcompany&amp;CIK=0000928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2019-12-09T11:06:41Z</dcterms:created>
  <dcterms:modified xsi:type="dcterms:W3CDTF">2019-12-09T11:06:41Z</dcterms:modified>
</cp:coreProperties>
</file>