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July 2008 (No. 4)</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On July 18, 2008, the registrant announced Tower Receives Nasdaq Notification Related to Minimum Bid Price. Attached please find the press release.</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55" w:orient="portrait"/>
          <w:cols w:equalWidth="0" w:num="1">
            <w:col w:w="11420"/>
          </w:cols>
          <w:pgMar w:left="240" w:top="476" w:right="23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July 18, 2008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55" w:orient="portrait"/>
          <w:cols w:equalWidth="0" w:num="2">
            <w:col w:w="5000" w:space="720"/>
            <w:col w:w="5700"/>
          </w:cols>
          <w:pgMar w:left="240" w:top="476" w:right="239" w:bottom="0" w:gutter="0" w:footer="0" w:header="0"/>
          <w:type w:val="continuous"/>
        </w:sectPr>
      </w:pP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Tower Receives Nasdaq Notification Related to Minimum Bid Price</w:t>
      </w:r>
    </w:p>
    <w:p>
      <w:pPr>
        <w:spacing w:after="0" w:line="306" w:lineRule="exact"/>
        <w:rPr>
          <w:sz w:val="24"/>
          <w:szCs w:val="24"/>
          <w:color w:val="auto"/>
        </w:rPr>
      </w:pPr>
    </w:p>
    <w:p>
      <w:pPr>
        <w:ind w:right="80"/>
        <w:spacing w:after="0" w:line="289" w:lineRule="auto"/>
        <w:rPr>
          <w:sz w:val="20"/>
          <w:szCs w:val="20"/>
          <w:color w:val="auto"/>
        </w:rPr>
      </w:pPr>
      <w:r>
        <w:rPr>
          <w:rFonts w:ascii="Arial" w:cs="Arial" w:eastAsia="Arial" w:hAnsi="Arial"/>
          <w:sz w:val="16"/>
          <w:szCs w:val="16"/>
          <w:color w:val="auto"/>
        </w:rPr>
        <w:t>MIGDAL HAEMEK, Israel – July 18, 2008 – Tower Semiconductor Ltd. (NASDAQ: TSEM; TASE: TSEM), a pure-play independent specialty foundry, announced today that it received a Nasdaq Staff Deficiency Letter on July 15, 2008 indicating that the Company fails to comply with the minimum bid price requirement for continued listing set forth in Marketplace Rule 4450(a)(5). Nasdaq provided Tower with a 180 calendar days period, or until January 12, 2009, to regain compliance with the minimum bid price requirement of $1.00 per share. During the coming 180 days period, the Company’s ordinary shares will continue to be listed and traded on the Nasdaq Global Market under the symbol TSEM, as well as will continue to be listed and traded on the Tel Aviv Stock Exchange under the same symbol. Further, if the Company’s ordinary shares close at $1.00 per share or more for 10 consecutive business days during that 180 day period, the Nasdaq will provide a written notification that the Company has achieved compliance with the minimum bid price requirement and the Company’s ordinary shares will continue to be listed and traded on the Nasdaq Global Market.</w:t>
      </w:r>
    </w:p>
    <w:p>
      <w:pPr>
        <w:spacing w:after="0" w:line="172"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If the Company’s ordinary shares do not close at $1.00 per share or more for 10 consecutive business days during that 180 day period, the Company’s ordinary shares may be transferred to be listed and traded at the Nasdaq Capital Market rather than on the Nasdaq Global Market. Nasdaq rules also permit the Company to appeal any delisting determination. If accepted for listing on the Nasdaq Capital Market, the Company would have an additional 180 calendar days period to comply with the minimum bid price requirement, or until July 10, 2009. If the Company’s ordinary shares are transferred to be listed and traded on the Nasdaq Capital Market, no change will occur in terms of the continued trading of Tower’s ordinary shares and its continued quotation by Nasdaq, or anticipated to occur from the perspective of the financial markets, at least to the extent that from their point of view the trading is transparent whether in The Nasdaq Capital Market or The Nasdaq Global Market. For avoidance of doubt, this Nasdaq letter does not affect Tower’s listing on the Tel-Aviv Stock Exchange, where Tower’s ordinary shares will continue to be listed and traded under the symbol TSEM with no change.</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312" w:lineRule="exact"/>
        <w:rPr>
          <w:sz w:val="24"/>
          <w:szCs w:val="24"/>
          <w:color w:val="auto"/>
        </w:rPr>
      </w:pPr>
    </w:p>
    <w:p>
      <w:pPr>
        <w:ind w:right="60"/>
        <w:spacing w:after="0" w:line="335" w:lineRule="auto"/>
        <w:rPr>
          <w:sz w:val="20"/>
          <w:szCs w:val="20"/>
          <w:color w:val="auto"/>
        </w:rPr>
      </w:pPr>
      <w:r>
        <w:rPr>
          <w:rFonts w:ascii="Arial" w:cs="Arial" w:eastAsia="Arial" w:hAnsi="Arial"/>
          <w:sz w:val="15"/>
          <w:szCs w:val="15"/>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w:t>
      </w:r>
    </w:p>
    <w:p>
      <w:pPr>
        <w:sectPr>
          <w:pgSz w:w="11900" w:h="16855" w:orient="portrait"/>
          <w:cols w:equalWidth="0" w:num="1">
            <w:col w:w="11420"/>
          </w:cols>
          <w:pgMar w:left="240" w:top="476" w:right="239" w:bottom="0" w:gutter="0" w:footer="0" w:header="0"/>
          <w:type w:val="continuous"/>
        </w:sectPr>
      </w:pPr>
    </w:p>
    <w:bookmarkStart w:id="1" w:name="page2"/>
    <w:bookmarkEnd w:id="1"/>
    <w:p>
      <w:pPr>
        <w:ind w:right="220"/>
        <w:spacing w:after="0" w:line="256" w:lineRule="auto"/>
        <w:rPr>
          <w:sz w:val="20"/>
          <w:szCs w:val="20"/>
          <w:color w:val="auto"/>
        </w:rPr>
      </w:pPr>
      <w:r>
        <w:rPr>
          <w:rFonts w:ascii="Arial" w:cs="Arial" w:eastAsia="Arial" w:hAnsi="Arial"/>
          <w:sz w:val="18"/>
          <w:szCs w:val="18"/>
          <w:color w:val="auto"/>
        </w:rPr>
        <w:t xml:space="preserve">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w:t>
      </w:r>
      <w:r>
        <w:rPr>
          <w:rFonts w:ascii="Arial" w:cs="Arial" w:eastAsia="Arial" w:hAnsi="Arial"/>
          <w:sz w:val="18"/>
          <w:szCs w:val="18"/>
          <w:u w:val="single" w:color="auto"/>
          <w:color w:val="auto"/>
        </w:rPr>
        <w:t>http://www.towersemi.com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 Looking Statements</w:t>
      </w:r>
    </w:p>
    <w:p>
      <w:pPr>
        <w:spacing w:after="0" w:line="3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filings on Forms 20-F, F-3, F-4 and 6-K, as were filed with the Securities and Exchange Commission and the Israel Securities Authority. We do not intend to update, and expressly disclaim any obligation to update, the information contained in this release.</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Press Contact:</w:t>
      </w:r>
    </w:p>
    <w:p>
      <w:pPr>
        <w:spacing w:after="0" w:line="3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Limor Asif, + 972-4-650 6936</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Limoras@towersemi.com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2019-12-14T04:14:38Z</dcterms:created>
  <dcterms:modified xsi:type="dcterms:W3CDTF">2019-12-14T04:14:38Z</dcterms:modified>
</cp:coreProperties>
</file>