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May 2010 No. 6</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TOWER SEMICONDUCTOR LTD.</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500"/>
        <w:spacing w:after="0"/>
        <w:tabs>
          <w:tab w:leader="none" w:pos="60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20"/>
        <w:spacing w:after="0"/>
        <w:tabs>
          <w:tab w:leader="none" w:pos="60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On May 25, 2010, the registrant announces TowerJazz to Provide ARM® Low Power Libraries for 0.13 SiGe BiCMOS and RF CMOS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438785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900" w:top="490" w:right="4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4780" w:val="left"/>
        </w:tabs>
        <w:rPr>
          <w:sz w:val="20"/>
          <w:szCs w:val="20"/>
          <w:color w:val="auto"/>
        </w:rPr>
      </w:pPr>
      <w:r>
        <w:rPr>
          <w:rFonts w:ascii="Arial" w:cs="Arial" w:eastAsia="Arial" w:hAnsi="Arial"/>
          <w:sz w:val="18"/>
          <w:szCs w:val="18"/>
          <w:color w:val="auto"/>
        </w:rPr>
        <w:t>Date: May 25, 2010</w:t>
      </w:r>
      <w:r>
        <w:rPr>
          <w:sz w:val="20"/>
          <w:szCs w:val="20"/>
          <w:color w:val="auto"/>
        </w:rPr>
        <w:tab/>
      </w:r>
      <w:r>
        <w:rPr>
          <w:rFonts w:ascii="Arial" w:cs="Arial" w:eastAsia="Arial" w:hAnsi="Arial"/>
          <w:sz w:val="17"/>
          <w:szCs w:val="17"/>
          <w:color w:val="auto"/>
        </w:rPr>
        <w:t>By: /s/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18783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1835150" cy="805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3515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
        <w:spacing w:after="0"/>
        <w:tabs>
          <w:tab w:leader="none" w:pos="8620" w:val="left"/>
        </w:tabs>
        <w:rPr>
          <w:sz w:val="20"/>
          <w:szCs w:val="20"/>
          <w:color w:val="auto"/>
        </w:rPr>
      </w:pPr>
      <w:r>
        <w:rPr>
          <w:rFonts w:ascii="Arial" w:cs="Arial" w:eastAsia="Arial" w:hAnsi="Arial"/>
          <w:sz w:val="25"/>
          <w:szCs w:val="25"/>
          <w:b w:val="1"/>
          <w:bCs w:val="1"/>
          <w:i w:val="1"/>
          <w:iCs w:val="1"/>
          <w:color w:val="auto"/>
        </w:rPr>
        <w:t>NEWS ANNOUNCEMENT</w:t>
      </w:r>
      <w:r>
        <w:rPr>
          <w:sz w:val="20"/>
          <w:szCs w:val="20"/>
          <w:color w:val="auto"/>
        </w:rPr>
        <w:tab/>
      </w:r>
      <w:r>
        <w:rPr>
          <w:rFonts w:ascii="Arial" w:cs="Arial" w:eastAsia="Arial" w:hAnsi="Arial"/>
          <w:sz w:val="21"/>
          <w:szCs w:val="21"/>
          <w:b w:val="1"/>
          <w:bCs w:val="1"/>
          <w:i w:val="1"/>
          <w:iCs w:val="1"/>
          <w:color w:val="auto"/>
        </w:rPr>
        <w:t>FOR IMMEDIATE RELEASE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TowerJazz to Provide ARM® Low Power Libraries for 0.13 SiGe BiCMOS and RF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CMOS Platforms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Customized for RF and mobile applications that need high frequency while maintaining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long battery life</w:t>
      </w: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MIGDAL HAEMEK, Israel </w:t>
      </w:r>
      <w:r>
        <w:rPr>
          <w:rFonts w:ascii="Arial" w:cs="Arial" w:eastAsia="Arial" w:hAnsi="Arial"/>
          <w:sz w:val="18"/>
          <w:szCs w:val="18"/>
          <w:color w:val="auto"/>
        </w:rPr>
        <w:t>–</w:t>
      </w:r>
      <w:r>
        <w:rPr>
          <w:rFonts w:ascii="Arial" w:cs="Arial" w:eastAsia="Arial" w:hAnsi="Arial"/>
          <w:sz w:val="18"/>
          <w:szCs w:val="18"/>
          <w:b w:val="1"/>
          <w:bCs w:val="1"/>
          <w:color w:val="auto"/>
        </w:rPr>
        <w:t xml:space="preserve"> May 25 2010 – </w:t>
      </w:r>
      <w:r>
        <w:rPr>
          <w:rFonts w:ascii="Arial" w:cs="Arial" w:eastAsia="Arial" w:hAnsi="Arial"/>
          <w:sz w:val="18"/>
          <w:szCs w:val="18"/>
          <w:u w:val="single" w:color="auto"/>
          <w:color w:val="auto"/>
        </w:rPr>
        <w:t>TowerJazz</w:t>
      </w:r>
      <w:r>
        <w:rPr>
          <w:rFonts w:ascii="Arial" w:cs="Arial" w:eastAsia="Arial" w:hAnsi="Arial"/>
          <w:sz w:val="18"/>
          <w:szCs w:val="18"/>
          <w:color w:val="auto"/>
        </w:rPr>
        <w:t>, the global specialty foundry leader, today announced they will be providing ARM physical IP</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low power std cells and memory libraries for TowerJazz’s new 0.13u </w:t>
      </w:r>
      <w:r>
        <w:rPr>
          <w:rFonts w:ascii="Arial" w:cs="Arial" w:eastAsia="Arial" w:hAnsi="Arial"/>
          <w:sz w:val="18"/>
          <w:szCs w:val="18"/>
          <w:u w:val="single" w:color="auto"/>
          <w:color w:val="auto"/>
        </w:rPr>
        <w:t>SiGe BiCMOS</w:t>
      </w:r>
      <w:r>
        <w:rPr>
          <w:rFonts w:ascii="Arial" w:cs="Arial" w:eastAsia="Arial" w:hAnsi="Arial"/>
          <w:sz w:val="18"/>
          <w:szCs w:val="18"/>
          <w:color w:val="auto"/>
        </w:rPr>
        <w:t xml:space="preserve"> process (SBL13) and its 0.13u </w:t>
      </w:r>
      <w:r>
        <w:rPr>
          <w:rFonts w:ascii="Arial" w:cs="Arial" w:eastAsia="Arial" w:hAnsi="Arial"/>
          <w:sz w:val="18"/>
          <w:szCs w:val="18"/>
          <w:u w:val="single" w:color="auto"/>
          <w:color w:val="auto"/>
        </w:rPr>
        <w:t>RF CMOS</w:t>
      </w:r>
      <w:r>
        <w:rPr>
          <w:rFonts w:ascii="Arial" w:cs="Arial" w:eastAsia="Arial" w:hAnsi="Arial"/>
          <w:sz w:val="18"/>
          <w:szCs w:val="18"/>
          <w:color w:val="auto"/>
        </w:rPr>
        <w:t xml:space="preserve"> process (TSL13). TowerJazz is adding this to its existing s uite of IP to provide leading low power and high performance physical libraries for its customers. The combination of TowerJazz’s technology platforms with ARM standard cells, memory compilers and I/Os are ideal for customers designing RF and mobile applications that need high frequency and long battery life.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SBL13 process combines SiGe bipolar performance with a mature 130nm CMOS copper (Cu) backend and is now also available from TowerJazz’s Israel fab, achieving high performance RF with more integrated digital logic. Target markets for the solution are low power devices for wireless mobile (WLAN), general purpose communication, and digital TV tuners.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“ARM physical IP libraries have assisted thousands of system designers in accelerating their time to volume of SoC designs,” said Simon Segars, Executive Vice President and General Manager, ARM, Physical IP Division. “We are pleased that TowerJazz, an industry leading specialty foundry, has chosen to offer ARM high density libraries to customers who require low power and high performance for their innovative applications. The ARM libraries enable TowerJazz customers to deliver high value designs while keeping their manufacturing costs low.”</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excited about the combination of ARM low-power libraries with TowerJazz’s state-of-the-art 0.13um RF CMOS and SiGe BiCMOS processes to provide unprecedented value in RF performance and long battery life to our customers," said Ori Galzur Vice President, VLSI Design Center at TowerJazz. "This latest announcement builds on a partnership with ARM that now extends across multiple technology nodes and serves both our Newport Beach and Israeli fabs and is consistent with our commitment to invest in the best design enablement and IP technology to continue providing excellence in design and manufacturing for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Availability</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Libraries are available for download thru the ARM DesignStart™ website, </w:t>
      </w:r>
      <w:r>
        <w:rPr>
          <w:rFonts w:ascii="Arial" w:cs="Arial" w:eastAsia="Arial" w:hAnsi="Arial"/>
          <w:sz w:val="17"/>
          <w:szCs w:val="17"/>
          <w:u w:val="single" w:color="auto"/>
          <w:color w:val="auto"/>
        </w:rPr>
        <w:t>http://designstart.arm.com</w:t>
      </w:r>
      <w:r>
        <w:rPr>
          <w:rFonts w:ascii="Arial" w:cs="Arial" w:eastAsia="Arial" w:hAnsi="Arial"/>
          <w:sz w:val="17"/>
          <w:szCs w:val="17"/>
          <w:color w:val="auto"/>
        </w:rPr>
        <w:t xml:space="preserve"> and are free to use for TowerJazz customers.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Tower Semiconductor Ltd. (NASDAQ: </w:t>
      </w:r>
      <w:r>
        <w:rPr>
          <w:rFonts w:ascii="Arial" w:cs="Arial" w:eastAsia="Arial" w:hAnsi="Arial"/>
          <w:sz w:val="16"/>
          <w:szCs w:val="16"/>
          <w:u w:val="single" w:color="auto"/>
          <w:color w:val="auto"/>
        </w:rPr>
        <w:t>TSEM</w:t>
      </w:r>
      <w:r>
        <w:rPr>
          <w:rFonts w:ascii="Arial" w:cs="Arial" w:eastAsia="Arial" w:hAnsi="Arial"/>
          <w:sz w:val="16"/>
          <w:szCs w:val="16"/>
          <w:color w:val="auto"/>
        </w:rPr>
        <w:t xml:space="preserve">,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 abilities.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 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208280</wp:posOffset>
            </wp:positionV>
            <wp:extent cx="1106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b w:val="1"/>
                <w:bCs w:val="1"/>
                <w:color w:val="auto"/>
                <w:w w:val="91"/>
              </w:rPr>
              <w:t>For TowerJazz</w:t>
            </w:r>
          </w:p>
        </w:tc>
        <w:tc>
          <w:tcPr>
            <w:tcW w:w="5660" w:type="dxa"/>
            <w:vAlign w:val="bottom"/>
            <w:gridSpan w:val="4"/>
          </w:tcPr>
          <w:p>
            <w:pPr>
              <w:spacing w:after="0"/>
              <w:rPr>
                <w:sz w:val="17"/>
                <w:szCs w:val="17"/>
                <w:color w:val="auto"/>
              </w:rPr>
            </w:pPr>
          </w:p>
        </w:tc>
        <w:tc>
          <w:tcPr>
            <w:tcW w:w="4600" w:type="dxa"/>
            <w:vAlign w:val="bottom"/>
            <w:gridSpan w:val="4"/>
          </w:tcPr>
          <w:p>
            <w:pPr>
              <w:spacing w:after="0"/>
              <w:rPr>
                <w:sz w:val="20"/>
                <w:szCs w:val="20"/>
                <w:color w:val="auto"/>
              </w:rPr>
            </w:pPr>
            <w:r>
              <w:rPr>
                <w:rFonts w:ascii="Arial" w:cs="Arial" w:eastAsia="Arial" w:hAnsi="Arial"/>
                <w:sz w:val="18"/>
                <w:szCs w:val="18"/>
                <w:b w:val="1"/>
                <w:bCs w:val="1"/>
                <w:color w:val="auto"/>
              </w:rPr>
              <w:t>For ARM</w:t>
            </w: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820" w:type="dxa"/>
            <w:vAlign w:val="bottom"/>
            <w:gridSpan w:val="5"/>
          </w:tcPr>
          <w:p>
            <w:pPr>
              <w:spacing w:after="0"/>
              <w:rPr>
                <w:sz w:val="20"/>
                <w:szCs w:val="20"/>
                <w:color w:val="auto"/>
              </w:rPr>
            </w:pPr>
            <w:r>
              <w:rPr>
                <w:rFonts w:ascii="Arial" w:cs="Arial" w:eastAsia="Arial" w:hAnsi="Arial"/>
                <w:sz w:val="18"/>
                <w:szCs w:val="18"/>
                <w:b w:val="1"/>
                <w:bCs w:val="1"/>
                <w:color w:val="auto"/>
              </w:rPr>
              <w:t>Company Contact:</w:t>
            </w:r>
          </w:p>
        </w:tc>
        <w:tc>
          <w:tcPr>
            <w:tcW w:w="4600" w:type="dxa"/>
            <w:vAlign w:val="bottom"/>
            <w:gridSpan w:val="4"/>
          </w:tcPr>
          <w:p>
            <w:pPr>
              <w:spacing w:after="0"/>
              <w:rPr>
                <w:sz w:val="20"/>
                <w:szCs w:val="20"/>
                <w:color w:val="auto"/>
              </w:rPr>
            </w:pPr>
            <w:r>
              <w:rPr>
                <w:rFonts w:ascii="Arial" w:cs="Arial" w:eastAsia="Arial" w:hAnsi="Arial"/>
                <w:sz w:val="18"/>
                <w:szCs w:val="18"/>
                <w:b w:val="1"/>
                <w:bCs w:val="1"/>
                <w:color w:val="auto"/>
              </w:rPr>
              <w:t>Company Contact:</w:t>
            </w:r>
          </w:p>
        </w:tc>
        <w:tc>
          <w:tcPr>
            <w:tcW w:w="0" w:type="dxa"/>
            <w:vAlign w:val="bottom"/>
          </w:tcPr>
          <w:p>
            <w:pPr>
              <w:spacing w:after="0"/>
              <w:rPr>
                <w:sz w:val="1"/>
                <w:szCs w:val="1"/>
                <w:color w:val="auto"/>
              </w:rPr>
            </w:pPr>
          </w:p>
        </w:tc>
      </w:tr>
      <w:tr>
        <w:trPr>
          <w:trHeight w:val="216"/>
        </w:trPr>
        <w:tc>
          <w:tcPr>
            <w:tcW w:w="6820" w:type="dxa"/>
            <w:vAlign w:val="bottom"/>
            <w:gridSpan w:val="5"/>
          </w:tcPr>
          <w:p>
            <w:pPr>
              <w:spacing w:after="0"/>
              <w:rPr>
                <w:sz w:val="20"/>
                <w:szCs w:val="20"/>
                <w:color w:val="auto"/>
              </w:rPr>
            </w:pPr>
            <w:r>
              <w:rPr>
                <w:rFonts w:ascii="Arial" w:cs="Arial" w:eastAsia="Arial" w:hAnsi="Arial"/>
                <w:sz w:val="18"/>
                <w:szCs w:val="18"/>
                <w:color w:val="auto"/>
              </w:rPr>
              <w:t>Melinda Jarrell</w:t>
            </w:r>
          </w:p>
        </w:tc>
        <w:tc>
          <w:tcPr>
            <w:tcW w:w="4600" w:type="dxa"/>
            <w:vAlign w:val="bottom"/>
            <w:gridSpan w:val="4"/>
          </w:tcPr>
          <w:p>
            <w:pPr>
              <w:spacing w:after="0"/>
              <w:rPr>
                <w:sz w:val="20"/>
                <w:szCs w:val="20"/>
                <w:color w:val="auto"/>
              </w:rPr>
            </w:pPr>
            <w:r>
              <w:rPr>
                <w:rFonts w:ascii="Arial" w:cs="Arial" w:eastAsia="Arial" w:hAnsi="Arial"/>
                <w:sz w:val="18"/>
                <w:szCs w:val="18"/>
                <w:color w:val="auto"/>
              </w:rPr>
              <w:t>Erik Ploof</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949/435-8181</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+1 425-880-6033</w:t>
            </w:r>
          </w:p>
        </w:tc>
        <w:tc>
          <w:tcPr>
            <w:tcW w:w="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820" w:type="dxa"/>
            <w:vAlign w:val="bottom"/>
            <w:gridSpan w:val="5"/>
          </w:tcPr>
          <w:p>
            <w:pPr>
              <w:spacing w:after="0"/>
              <w:rPr>
                <w:sz w:val="20"/>
                <w:szCs w:val="20"/>
                <w:color w:val="auto"/>
              </w:rPr>
            </w:pPr>
            <w:r>
              <w:rPr>
                <w:rFonts w:ascii="Arial" w:cs="Arial" w:eastAsia="Arial" w:hAnsi="Arial"/>
                <w:sz w:val="18"/>
                <w:szCs w:val="18"/>
                <w:color w:val="auto"/>
              </w:rPr>
              <w:t>melinda.jarrell@towerjazz.com</w:t>
            </w:r>
          </w:p>
        </w:tc>
        <w:tc>
          <w:tcPr>
            <w:tcW w:w="4600" w:type="dxa"/>
            <w:vAlign w:val="bottom"/>
            <w:gridSpan w:val="4"/>
          </w:tcPr>
          <w:p>
            <w:pPr>
              <w:spacing w:after="0"/>
              <w:rPr>
                <w:sz w:val="20"/>
                <w:szCs w:val="20"/>
                <w:color w:val="auto"/>
              </w:rPr>
            </w:pPr>
            <w:r>
              <w:rPr>
                <w:rFonts w:ascii="Arial" w:cs="Arial" w:eastAsia="Arial" w:hAnsi="Arial"/>
                <w:sz w:val="18"/>
                <w:szCs w:val="18"/>
                <w:color w:val="auto"/>
              </w:rPr>
              <w:t>erik.ploof@arm.com</w:t>
            </w:r>
          </w:p>
        </w:tc>
        <w:tc>
          <w:tcPr>
            <w:tcW w:w="0" w:type="dxa"/>
            <w:vAlign w:val="bottom"/>
          </w:tcPr>
          <w:p>
            <w:pPr>
              <w:spacing w:after="0"/>
              <w:rPr>
                <w:sz w:val="1"/>
                <w:szCs w:val="1"/>
                <w:color w:val="auto"/>
              </w:rPr>
            </w:pPr>
          </w:p>
        </w:tc>
      </w:tr>
      <w:tr>
        <w:trPr>
          <w:trHeight w:val="330"/>
        </w:trPr>
        <w:tc>
          <w:tcPr>
            <w:tcW w:w="2280" w:type="dxa"/>
            <w:vAlign w:val="bottom"/>
            <w:tcBorders>
              <w:top w:val="single" w:sz="8" w:color="auto"/>
            </w:tcBorders>
            <w:gridSpan w:val="4"/>
            <w:vMerge w:val="restart"/>
          </w:tcPr>
          <w:p>
            <w:pPr>
              <w:spacing w:after="0"/>
              <w:rPr>
                <w:sz w:val="20"/>
                <w:szCs w:val="20"/>
                <w:color w:val="auto"/>
              </w:rPr>
            </w:pPr>
            <w:r>
              <w:rPr>
                <w:rFonts w:ascii="Arial" w:cs="Arial" w:eastAsia="Arial" w:hAnsi="Arial"/>
                <w:sz w:val="18"/>
                <w:szCs w:val="18"/>
                <w:b w:val="1"/>
                <w:bCs w:val="1"/>
                <w:color w:val="auto"/>
              </w:rPr>
              <w:t>Media Contact:</w:t>
            </w:r>
          </w:p>
        </w:tc>
        <w:tc>
          <w:tcPr>
            <w:tcW w:w="4540" w:type="dxa"/>
            <w:vAlign w:val="bottom"/>
            <w:vMerge w:val="restart"/>
          </w:tcPr>
          <w:p>
            <w:pPr>
              <w:spacing w:after="0"/>
              <w:rPr>
                <w:sz w:val="24"/>
                <w:szCs w:val="24"/>
                <w:color w:val="auto"/>
              </w:rPr>
            </w:pPr>
          </w:p>
        </w:tc>
        <w:tc>
          <w:tcPr>
            <w:tcW w:w="15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Media Contact:</w:t>
            </w:r>
          </w:p>
        </w:tc>
        <w:tc>
          <w:tcPr>
            <w:tcW w:w="30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80" w:type="dxa"/>
            <w:vAlign w:val="bottom"/>
            <w:gridSpan w:val="4"/>
            <w:vMerge w:val="continue"/>
          </w:tcPr>
          <w:p>
            <w:pPr>
              <w:spacing w:after="0"/>
              <w:rPr>
                <w:sz w:val="9"/>
                <w:szCs w:val="9"/>
                <w:color w:val="auto"/>
              </w:rPr>
            </w:pPr>
          </w:p>
        </w:tc>
        <w:tc>
          <w:tcPr>
            <w:tcW w:w="4540" w:type="dxa"/>
            <w:vAlign w:val="bottom"/>
            <w:vMerge w:val="continue"/>
          </w:tcPr>
          <w:p>
            <w:pPr>
              <w:spacing w:after="0"/>
              <w:rPr>
                <w:sz w:val="9"/>
                <w:szCs w:val="9"/>
                <w:color w:val="auto"/>
              </w:rPr>
            </w:pPr>
          </w:p>
        </w:tc>
        <w:tc>
          <w:tcPr>
            <w:tcW w:w="4600" w:type="dxa"/>
            <w:vAlign w:val="bottom"/>
            <w:gridSpan w:val="4"/>
            <w:vMerge w:val="restart"/>
          </w:tcPr>
          <w:p>
            <w:pPr>
              <w:spacing w:after="0"/>
              <w:rPr>
                <w:sz w:val="20"/>
                <w:szCs w:val="20"/>
                <w:color w:val="auto"/>
              </w:rPr>
            </w:pPr>
            <w:r>
              <w:rPr>
                <w:rFonts w:ascii="Arial" w:cs="Arial" w:eastAsia="Arial" w:hAnsi="Arial"/>
                <w:sz w:val="18"/>
                <w:szCs w:val="18"/>
                <w:color w:val="auto"/>
              </w:rPr>
              <w:t>Charlene Marini</w:t>
            </w:r>
          </w:p>
        </w:tc>
        <w:tc>
          <w:tcPr>
            <w:tcW w:w="0" w:type="dxa"/>
            <w:vAlign w:val="bottom"/>
          </w:tcPr>
          <w:p>
            <w:pPr>
              <w:spacing w:after="0"/>
              <w:rPr>
                <w:sz w:val="1"/>
                <w:szCs w:val="1"/>
                <w:color w:val="auto"/>
              </w:rPr>
            </w:pPr>
          </w:p>
        </w:tc>
      </w:tr>
      <w:tr>
        <w:trPr>
          <w:trHeight w:val="108"/>
        </w:trPr>
        <w:tc>
          <w:tcPr>
            <w:tcW w:w="6820" w:type="dxa"/>
            <w:vAlign w:val="bottom"/>
            <w:gridSpan w:val="5"/>
            <w:vMerge w:val="restart"/>
          </w:tcPr>
          <w:p>
            <w:pPr>
              <w:spacing w:after="0"/>
              <w:rPr>
                <w:sz w:val="20"/>
                <w:szCs w:val="20"/>
                <w:color w:val="auto"/>
              </w:rPr>
            </w:pPr>
            <w:r>
              <w:rPr>
                <w:rFonts w:ascii="Arial" w:cs="Arial" w:eastAsia="Arial" w:hAnsi="Arial"/>
                <w:sz w:val="18"/>
                <w:szCs w:val="18"/>
                <w:color w:val="auto"/>
              </w:rPr>
              <w:t>Lauri Julian</w:t>
            </w:r>
          </w:p>
        </w:tc>
        <w:tc>
          <w:tcPr>
            <w:tcW w:w="46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20" w:type="dxa"/>
            <w:vAlign w:val="bottom"/>
            <w:gridSpan w:val="5"/>
            <w:vMerge w:val="continue"/>
          </w:tcPr>
          <w:p>
            <w:pPr>
              <w:spacing w:after="0"/>
              <w:rPr>
                <w:sz w:val="9"/>
                <w:szCs w:val="9"/>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auto"/>
              </w:rPr>
              <w:t>+1-408-576-1131</w:t>
            </w:r>
          </w:p>
        </w:tc>
        <w:tc>
          <w:tcPr>
            <w:tcW w:w="4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vMerge w:val="restart"/>
          </w:tcPr>
          <w:p>
            <w:pPr>
              <w:spacing w:after="0"/>
              <w:rPr>
                <w:sz w:val="20"/>
                <w:szCs w:val="20"/>
                <w:color w:val="auto"/>
              </w:rPr>
            </w:pPr>
            <w:r>
              <w:rPr>
                <w:rFonts w:ascii="Arial" w:cs="Arial" w:eastAsia="Arial" w:hAnsi="Arial"/>
                <w:sz w:val="18"/>
                <w:szCs w:val="18"/>
                <w:color w:val="auto"/>
              </w:rPr>
              <w:t>949/715-3049</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600" w:type="dxa"/>
            <w:vAlign w:val="bottom"/>
            <w:gridSpan w:val="4"/>
            <w:vMerge w:val="restart"/>
          </w:tcPr>
          <w:p>
            <w:pPr>
              <w:spacing w:after="0" w:line="190" w:lineRule="exact"/>
              <w:rPr>
                <w:sz w:val="20"/>
                <w:szCs w:val="20"/>
                <w:color w:val="auto"/>
              </w:rPr>
            </w:pPr>
            <w:r>
              <w:rPr>
                <w:rFonts w:ascii="Arial" w:cs="Arial" w:eastAsia="Arial" w:hAnsi="Arial"/>
                <w:sz w:val="18"/>
                <w:szCs w:val="18"/>
                <w:color w:val="auto"/>
              </w:rPr>
              <w:t>charlene.marini@arm.com</w:t>
            </w:r>
          </w:p>
        </w:tc>
        <w:tc>
          <w:tcPr>
            <w:tcW w:w="0" w:type="dxa"/>
            <w:vAlign w:val="bottom"/>
          </w:tcPr>
          <w:p>
            <w:pPr>
              <w:spacing w:after="0"/>
              <w:rPr>
                <w:sz w:val="1"/>
                <w:szCs w:val="1"/>
                <w:color w:val="auto"/>
              </w:rPr>
            </w:pPr>
          </w:p>
        </w:tc>
      </w:tr>
      <w:tr>
        <w:trPr>
          <w:trHeight w:val="82"/>
        </w:trPr>
        <w:tc>
          <w:tcPr>
            <w:tcW w:w="2020" w:type="dxa"/>
            <w:vAlign w:val="bottom"/>
            <w:gridSpan w:val="3"/>
            <w:vMerge w:val="restart"/>
          </w:tcPr>
          <w:p>
            <w:pPr>
              <w:spacing w:after="0" w:line="190" w:lineRule="exact"/>
              <w:rPr>
                <w:sz w:val="20"/>
                <w:szCs w:val="20"/>
                <w:color w:val="auto"/>
              </w:rPr>
            </w:pPr>
            <w:r>
              <w:rPr>
                <w:rFonts w:ascii="Arial" w:cs="Arial" w:eastAsia="Arial" w:hAnsi="Arial"/>
                <w:sz w:val="18"/>
                <w:szCs w:val="18"/>
                <w:color w:val="auto"/>
                <w:w w:val="93"/>
              </w:rPr>
              <w:t>lauri.julian@towerjazz.com</w:t>
            </w:r>
          </w:p>
        </w:tc>
        <w:tc>
          <w:tcPr>
            <w:tcW w:w="4800" w:type="dxa"/>
            <w:vAlign w:val="bottom"/>
            <w:gridSpan w:val="2"/>
            <w:vMerge w:val="restart"/>
          </w:tcPr>
          <w:p>
            <w:pPr>
              <w:spacing w:after="0"/>
              <w:rPr>
                <w:sz w:val="7"/>
                <w:szCs w:val="7"/>
                <w:color w:val="auto"/>
              </w:rPr>
            </w:pPr>
          </w:p>
        </w:tc>
        <w:tc>
          <w:tcPr>
            <w:tcW w:w="46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20" w:type="dxa"/>
            <w:vAlign w:val="bottom"/>
            <w:tcBorders>
              <w:bottom w:val="single" w:sz="8" w:color="auto"/>
            </w:tcBorders>
            <w:gridSpan w:val="3"/>
            <w:vMerge w:val="continue"/>
          </w:tcPr>
          <w:p>
            <w:pPr>
              <w:spacing w:after="0"/>
              <w:rPr>
                <w:sz w:val="7"/>
                <w:szCs w:val="7"/>
                <w:color w:val="auto"/>
              </w:rPr>
            </w:pPr>
          </w:p>
        </w:tc>
        <w:tc>
          <w:tcPr>
            <w:tcW w:w="4800" w:type="dxa"/>
            <w:vAlign w:val="bottom"/>
            <w:gridSpan w:val="2"/>
            <w:vMerge w:val="continue"/>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8"/>
        </w:trPr>
        <w:tc>
          <w:tcPr>
            <w:tcW w:w="6820" w:type="dxa"/>
            <w:vAlign w:val="bottom"/>
            <w:gridSpan w:val="5"/>
          </w:tcPr>
          <w:p>
            <w:pPr>
              <w:spacing w:after="0"/>
              <w:rPr>
                <w:sz w:val="20"/>
                <w:szCs w:val="20"/>
                <w:color w:val="auto"/>
              </w:rPr>
            </w:pPr>
            <w:r>
              <w:rPr>
                <w:rFonts w:ascii="Arial" w:cs="Arial" w:eastAsia="Arial" w:hAnsi="Arial"/>
                <w:sz w:val="18"/>
                <w:szCs w:val="18"/>
                <w:b w:val="1"/>
                <w:bCs w:val="1"/>
                <w:color w:val="auto"/>
              </w:rPr>
              <w:t>Investor Relations Contact:</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20" w:type="dxa"/>
            <w:vAlign w:val="bottom"/>
            <w:gridSpan w:val="5"/>
          </w:tcPr>
          <w:p>
            <w:pPr>
              <w:spacing w:after="0"/>
              <w:rPr>
                <w:sz w:val="20"/>
                <w:szCs w:val="20"/>
                <w:color w:val="auto"/>
              </w:rPr>
            </w:pPr>
            <w:r>
              <w:rPr>
                <w:rFonts w:ascii="Arial" w:cs="Arial" w:eastAsia="Arial" w:hAnsi="Arial"/>
                <w:sz w:val="18"/>
                <w:szCs w:val="18"/>
                <w:color w:val="auto"/>
              </w:rPr>
              <w:t>Levi Noit</w:t>
            </w: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+972 4 604 7066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820" w:type="dxa"/>
            <w:vAlign w:val="bottom"/>
            <w:gridSpan w:val="5"/>
          </w:tcPr>
          <w:p>
            <w:pPr>
              <w:spacing w:after="0" w:line="190" w:lineRule="exact"/>
              <w:rPr>
                <w:sz w:val="20"/>
                <w:szCs w:val="20"/>
                <w:color w:val="auto"/>
              </w:rPr>
            </w:pPr>
            <w:r>
              <w:rPr>
                <w:rFonts w:ascii="Arial" w:cs="Arial" w:eastAsia="Arial" w:hAnsi="Arial"/>
                <w:sz w:val="18"/>
                <w:szCs w:val="18"/>
                <w:color w:val="auto"/>
              </w:rPr>
              <w:t>noit.levi@towerjazz.com</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1160" w:type="dxa"/>
            <w:vAlign w:val="bottom"/>
            <w:shd w:val="clear" w:color="auto" w:fill="808080"/>
          </w:tcPr>
          <w:p>
            <w:pPr>
              <w:spacing w:after="0"/>
              <w:rPr>
                <w:sz w:val="6"/>
                <w:szCs w:val="6"/>
                <w:color w:val="auto"/>
              </w:rPr>
            </w:pPr>
          </w:p>
        </w:tc>
        <w:tc>
          <w:tcPr>
            <w:tcW w:w="66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4540" w:type="dxa"/>
            <w:vAlign w:val="bottom"/>
            <w:shd w:val="clear" w:color="auto" w:fill="808080"/>
          </w:tcPr>
          <w:p>
            <w:pPr>
              <w:spacing w:after="0"/>
              <w:rPr>
                <w:sz w:val="6"/>
                <w:szCs w:val="6"/>
                <w:color w:val="auto"/>
              </w:rPr>
            </w:pPr>
          </w:p>
        </w:tc>
        <w:tc>
          <w:tcPr>
            <w:tcW w:w="760" w:type="dxa"/>
            <w:vAlign w:val="bottom"/>
            <w:shd w:val="clear" w:color="auto" w:fill="808080"/>
          </w:tcPr>
          <w:p>
            <w:pPr>
              <w:spacing w:after="0"/>
              <w:rPr>
                <w:sz w:val="6"/>
                <w:szCs w:val="6"/>
                <w:color w:val="auto"/>
              </w:rPr>
            </w:pPr>
          </w:p>
        </w:tc>
        <w:tc>
          <w:tcPr>
            <w:tcW w:w="760" w:type="dxa"/>
            <w:vAlign w:val="bottom"/>
            <w:shd w:val="clear" w:color="auto" w:fill="808080"/>
          </w:tcPr>
          <w:p>
            <w:pPr>
              <w:spacing w:after="0"/>
              <w:rPr>
                <w:sz w:val="6"/>
                <w:szCs w:val="6"/>
                <w:color w:val="auto"/>
              </w:rPr>
            </w:pPr>
          </w:p>
        </w:tc>
        <w:tc>
          <w:tcPr>
            <w:tcW w:w="420" w:type="dxa"/>
            <w:vAlign w:val="bottom"/>
            <w:shd w:val="clear" w:color="auto" w:fill="808080"/>
          </w:tcPr>
          <w:p>
            <w:pPr>
              <w:spacing w:after="0"/>
              <w:rPr>
                <w:sz w:val="6"/>
                <w:szCs w:val="6"/>
                <w:color w:val="auto"/>
              </w:rPr>
            </w:pPr>
          </w:p>
        </w:tc>
        <w:tc>
          <w:tcPr>
            <w:tcW w:w="266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2019-12-10T12:36:36Z</dcterms:created>
  <dcterms:modified xsi:type="dcterms:W3CDTF">2019-12-10T12:36:36Z</dcterms:modified>
</cp:coreProperties>
</file>