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(Rule 13d-102)</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INFORMATION TO BE INCLUDED IN STATEMENTS FILED PURSUANT TO RULES 13d-1(b), (c) AND</w:t>
      </w:r>
    </w:p>
    <w:p>
      <w:pPr>
        <w:spacing w:after="0" w:line="14" w:lineRule="exact"/>
        <w:rPr>
          <w:sz w:val="24"/>
          <w:szCs w:val="24"/>
          <w:color w:val="auto"/>
        </w:rPr>
      </w:pPr>
    </w:p>
    <w:p>
      <w:pPr>
        <w:ind w:left="2420" w:hanging="302"/>
        <w:spacing w:after="0"/>
        <w:tabs>
          <w:tab w:leader="none" w:pos="24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AMENDMENTS THERETO FILED PURSUANT TO RULE 13d-2(b)</w:t>
      </w:r>
    </w:p>
    <w:p>
      <w:pPr>
        <w:spacing w:after="0" w:line="209" w:lineRule="exact"/>
        <w:rPr>
          <w:rFonts w:ascii="Times New Roman" w:cs="Times New Roman" w:eastAsia="Times New Roman" w:hAnsi="Times New Roman"/>
          <w:sz w:val="22"/>
          <w:szCs w:val="22"/>
          <w:color w:val="auto"/>
        </w:rPr>
      </w:pPr>
    </w:p>
    <w:p>
      <w:pPr>
        <w:ind w:left="310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UNDER THE SECURITIES EXCHANGE ACT OF 1934</w:t>
      </w:r>
    </w:p>
    <w:p>
      <w:pPr>
        <w:spacing w:after="0" w:line="2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Tower Semiconductor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Ordinary Shares, par value NIS 15.00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M87915274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19685</wp:posOffset>
            </wp:positionV>
            <wp:extent cx="237426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74265"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2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September 22,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following box to designate the rule pursuant to which the Schedule is filed:</w:t>
      </w:r>
    </w:p>
    <w:p>
      <w:pPr>
        <w:spacing w:after="0" w:line="247" w:lineRule="exact"/>
        <w:rPr>
          <w:sz w:val="24"/>
          <w:szCs w:val="24"/>
          <w:color w:val="auto"/>
        </w:rPr>
      </w:pPr>
    </w:p>
    <w:p>
      <w:pPr>
        <w:ind w:left="900" w:hanging="244"/>
        <w:spacing w:after="0"/>
        <w:tabs>
          <w:tab w:leader="none" w:pos="90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Rule 13d-1(b)</w:t>
      </w:r>
    </w:p>
    <w:p>
      <w:pPr>
        <w:spacing w:after="0" w:line="247" w:lineRule="exact"/>
        <w:rPr>
          <w:sz w:val="24"/>
          <w:szCs w:val="24"/>
          <w:color w:val="auto"/>
        </w:rPr>
      </w:pPr>
    </w:p>
    <w:p>
      <w:pPr>
        <w:ind w:left="900" w:hanging="244"/>
        <w:spacing w:after="0"/>
        <w:tabs>
          <w:tab w:leader="none" w:pos="900" w:val="left"/>
        </w:tabs>
        <w:numPr>
          <w:ilvl w:val="0"/>
          <w:numId w:val="3"/>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Rule 13d-1(c)</w:t>
      </w:r>
    </w:p>
    <w:p>
      <w:pPr>
        <w:spacing w:after="0" w:line="247" w:lineRule="exact"/>
        <w:rPr>
          <w:sz w:val="24"/>
          <w:szCs w:val="24"/>
          <w:color w:val="auto"/>
        </w:rPr>
      </w:pPr>
    </w:p>
    <w:p>
      <w:pPr>
        <w:ind w:left="900" w:hanging="244"/>
        <w:spacing w:after="0"/>
        <w:tabs>
          <w:tab w:leader="none" w:pos="900" w:val="left"/>
        </w:tabs>
        <w:numPr>
          <w:ilvl w:val="1"/>
          <w:numId w:val="4"/>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Rule 13d-1(d)</w:t>
      </w:r>
    </w:p>
    <w:p>
      <w:pPr>
        <w:spacing w:after="0" w:line="242" w:lineRule="exact"/>
        <w:rPr>
          <w:rFonts w:ascii="MS PGothic" w:cs="MS PGothic" w:eastAsia="MS PGothic" w:hAnsi="MS PGothic"/>
          <w:sz w:val="22"/>
          <w:szCs w:val="22"/>
          <w:color w:val="auto"/>
        </w:rPr>
      </w:pPr>
    </w:p>
    <w:p>
      <w:pPr>
        <w:ind w:left="340" w:hanging="324"/>
        <w:spacing w:after="0" w:line="282" w:lineRule="auto"/>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9" w:lineRule="exact"/>
        <w:rPr>
          <w:sz w:val="24"/>
          <w:szCs w:val="24"/>
          <w:color w:val="auto"/>
        </w:rPr>
      </w:pPr>
    </w:p>
    <w:p>
      <w:pPr>
        <w:jc w:val="both"/>
        <w:ind w:left="340" w:right="20"/>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211455</wp:posOffset>
            </wp:positionV>
            <wp:extent cx="71361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29845"/>
                    </a:xfrm>
                    <a:prstGeom prst="rect">
                      <a:avLst/>
                    </a:prstGeom>
                    <a:noFill/>
                  </pic:spPr>
                </pic:pic>
              </a:graphicData>
            </a:graphic>
          </wp:anchor>
        </w:drawing>
      </w:r>
    </w:p>
    <w:p>
      <w:pPr>
        <w:sectPr>
          <w:pgSz w:w="11900" w:h="16838" w:orient="portrait"/>
          <w:cols w:equalWidth="0" w:num="1">
            <w:col w:w="11240"/>
          </w:cols>
          <w:pgMar w:left="320" w:top="867"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 xml:space="preserve">CUSIP NO. </w:t>
      </w:r>
      <w:r>
        <w:rPr>
          <w:rFonts w:ascii="Times New Roman" w:cs="Times New Roman" w:eastAsia="Times New Roman" w:hAnsi="Times New Roman"/>
          <w:sz w:val="22"/>
          <w:szCs w:val="22"/>
          <w:b w:val="1"/>
          <w:bCs w:val="1"/>
          <w:u w:val="single" w:color="auto"/>
          <w:color w:val="auto"/>
        </w:rPr>
        <w:t>M87915274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6103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6103620"/>
                    </a:xfrm>
                    <a:prstGeom prst="rect">
                      <a:avLst/>
                    </a:prstGeom>
                    <a:noFill/>
                  </pic:spPr>
                </pic:pic>
              </a:graphicData>
            </a:graphic>
          </wp:anchor>
        </w:drawing>
      </w:r>
    </w:p>
    <w:p>
      <w:pPr>
        <w:spacing w:after="0" w:line="222" w:lineRule="exact"/>
        <w:rPr>
          <w:sz w:val="20"/>
          <w:szCs w:val="20"/>
          <w:color w:val="auto"/>
        </w:rPr>
      </w:pPr>
    </w:p>
    <w:p>
      <w:pPr>
        <w:ind w:left="1080" w:hanging="620"/>
        <w:spacing w:after="0"/>
        <w:tabs>
          <w:tab w:leader="none" w:pos="1080" w:val="left"/>
        </w:tabs>
        <w:numPr>
          <w:ilvl w:val="0"/>
          <w:numId w:val="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Name of Reporting Persons</w:t>
      </w:r>
    </w:p>
    <w:p>
      <w:pPr>
        <w:spacing w:after="0" w:line="197" w:lineRule="exact"/>
        <w:rPr>
          <w:rFonts w:ascii="Times New Roman" w:cs="Times New Roman" w:eastAsia="Times New Roman" w:hAnsi="Times New Roman"/>
          <w:sz w:val="29"/>
          <w:szCs w:val="29"/>
          <w:color w:val="auto"/>
          <w:vertAlign w:val="superscript"/>
        </w:rPr>
      </w:pPr>
    </w:p>
    <w:p>
      <w:pPr>
        <w:ind w:left="1080"/>
        <w:spacing w:after="0"/>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Harel Insurance Investments &amp; Financial Services Ltd.</w:t>
      </w:r>
    </w:p>
    <w:p>
      <w:pPr>
        <w:spacing w:after="0" w:line="71" w:lineRule="exact"/>
        <w:rPr>
          <w:rFonts w:ascii="Times New Roman" w:cs="Times New Roman" w:eastAsia="Times New Roman" w:hAnsi="Times New Roman"/>
          <w:sz w:val="29"/>
          <w:szCs w:val="29"/>
          <w:color w:val="auto"/>
          <w:vertAlign w:val="superscript"/>
        </w:rPr>
      </w:pPr>
    </w:p>
    <w:p>
      <w:pPr>
        <w:ind w:left="1080" w:hanging="620"/>
        <w:spacing w:after="0"/>
        <w:tabs>
          <w:tab w:leader="none" w:pos="1080" w:val="left"/>
        </w:tabs>
        <w:numPr>
          <w:ilvl w:val="0"/>
          <w:numId w:val="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Check the Appropriate Box if a Member of a Group</w:t>
      </w:r>
    </w:p>
    <w:p>
      <w:pPr>
        <w:spacing w:after="0" w:line="1" w:lineRule="exact"/>
        <w:rPr>
          <w:rFonts w:ascii="Times New Roman" w:cs="Times New Roman" w:eastAsia="Times New Roman" w:hAnsi="Times New Roman"/>
          <w:sz w:val="29"/>
          <w:szCs w:val="29"/>
          <w:color w:val="auto"/>
          <w:vertAlign w:val="superscript"/>
        </w:rPr>
      </w:pPr>
    </w:p>
    <w:p>
      <w:pPr>
        <w:ind w:left="1380" w:hanging="292"/>
        <w:spacing w:after="0" w:line="207" w:lineRule="exact"/>
        <w:tabs>
          <w:tab w:leader="none" w:pos="1380" w:val="left"/>
        </w:tabs>
        <w:numPr>
          <w:ilvl w:val="1"/>
          <w:numId w:val="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9" w:lineRule="exact"/>
        <w:rPr>
          <w:rFonts w:ascii="Times New Roman" w:cs="Times New Roman" w:eastAsia="Times New Roman" w:hAnsi="Times New Roman"/>
          <w:sz w:val="18"/>
          <w:szCs w:val="18"/>
          <w:color w:val="auto"/>
        </w:rPr>
      </w:pPr>
    </w:p>
    <w:p>
      <w:pPr>
        <w:ind w:left="1380" w:hanging="292"/>
        <w:spacing w:after="0" w:line="207" w:lineRule="exact"/>
        <w:tabs>
          <w:tab w:leader="none" w:pos="1380" w:val="left"/>
        </w:tabs>
        <w:numPr>
          <w:ilvl w:val="1"/>
          <w:numId w:val="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1060" w:type="dxa"/>
            <w:vAlign w:val="bottom"/>
            <w:tcBorders>
              <w:right w:val="single" w:sz="8" w:color="CCEEFF"/>
            </w:tcBorders>
          </w:tcPr>
          <w:p>
            <w:pPr>
              <w:jc w:val="center"/>
              <w:spacing w:after="0"/>
              <w:rPr>
                <w:sz w:val="20"/>
                <w:szCs w:val="20"/>
                <w:color w:val="auto"/>
              </w:rPr>
            </w:pPr>
            <w:r>
              <w:rPr>
                <w:rFonts w:ascii="Times New Roman" w:cs="Times New Roman" w:eastAsia="Times New Roman" w:hAnsi="Times New Roman"/>
                <w:sz w:val="14"/>
                <w:szCs w:val="14"/>
                <w:color w:val="auto"/>
                <w:w w:val="94"/>
              </w:rPr>
              <w:t>3.</w:t>
            </w:r>
          </w:p>
        </w:tc>
        <w:tc>
          <w:tcPr>
            <w:tcW w:w="132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 Use only</w:t>
            </w:r>
          </w:p>
        </w:tc>
        <w:tc>
          <w:tcPr>
            <w:tcW w:w="8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1060" w:type="dxa"/>
            <w:vAlign w:val="bottom"/>
            <w:tcBorders>
              <w:bottom w:val="single" w:sz="8" w:color="auto"/>
              <w:right w:val="single" w:sz="8" w:color="CCEEFF"/>
            </w:tcBorders>
          </w:tcPr>
          <w:p>
            <w:pPr>
              <w:spacing w:after="0"/>
              <w:rPr>
                <w:sz w:val="24"/>
                <w:szCs w:val="24"/>
                <w:color w:val="auto"/>
              </w:rPr>
            </w:pPr>
          </w:p>
        </w:tc>
        <w:tc>
          <w:tcPr>
            <w:tcW w:w="560" w:type="dxa"/>
            <w:vAlign w:val="bottom"/>
            <w:tcBorders>
              <w:bottom w:val="single" w:sz="8" w:color="auto"/>
              <w:right w:val="single" w:sz="8" w:color="CCEEFF"/>
            </w:tcBorders>
            <w:shd w:val="clear" w:color="auto" w:fill="CCEEFF"/>
          </w:tcPr>
          <w:p>
            <w:pPr>
              <w:spacing w:after="0"/>
              <w:rPr>
                <w:sz w:val="24"/>
                <w:szCs w:val="24"/>
                <w:color w:val="auto"/>
              </w:rPr>
            </w:pPr>
          </w:p>
        </w:tc>
        <w:tc>
          <w:tcPr>
            <w:tcW w:w="760" w:type="dxa"/>
            <w:vAlign w:val="bottom"/>
            <w:tcBorders>
              <w:bottom w:val="single" w:sz="8" w:color="auto"/>
              <w:right w:val="single" w:sz="8" w:color="CCEEFF"/>
            </w:tcBorders>
            <w:shd w:val="clear" w:color="auto" w:fill="CCEEFF"/>
          </w:tcPr>
          <w:p>
            <w:pPr>
              <w:spacing w:after="0"/>
              <w:rPr>
                <w:sz w:val="24"/>
                <w:szCs w:val="24"/>
                <w:color w:val="auto"/>
              </w:rPr>
            </w:pPr>
          </w:p>
        </w:tc>
        <w:tc>
          <w:tcPr>
            <w:tcW w:w="886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4"/>
              </w:rPr>
              <w:t>4.</w:t>
            </w:r>
          </w:p>
        </w:tc>
        <w:tc>
          <w:tcPr>
            <w:tcW w:w="10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Place of Organization</w:t>
            </w:r>
          </w:p>
        </w:tc>
        <w:tc>
          <w:tcPr>
            <w:tcW w:w="0" w:type="dxa"/>
            <w:vAlign w:val="bottom"/>
          </w:tcPr>
          <w:p>
            <w:pPr>
              <w:spacing w:after="0"/>
              <w:rPr>
                <w:sz w:val="1"/>
                <w:szCs w:val="1"/>
                <w:color w:val="auto"/>
              </w:rPr>
            </w:pPr>
          </w:p>
        </w:tc>
      </w:tr>
      <w:tr>
        <w:trPr>
          <w:trHeight w:val="432"/>
        </w:trPr>
        <w:tc>
          <w:tcPr>
            <w:tcW w:w="1060" w:type="dxa"/>
            <w:vAlign w:val="bottom"/>
          </w:tcPr>
          <w:p>
            <w:pPr>
              <w:spacing w:after="0"/>
              <w:rPr>
                <w:sz w:val="24"/>
                <w:szCs w:val="24"/>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Israel</w:t>
            </w:r>
          </w:p>
        </w:tc>
        <w:tc>
          <w:tcPr>
            <w:tcW w:w="8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06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88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106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rPr>
              <w:t>5.</w:t>
            </w:r>
          </w:p>
        </w:tc>
        <w:tc>
          <w:tcPr>
            <w:tcW w:w="8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32"/>
        </w:trPr>
        <w:tc>
          <w:tcPr>
            <w:tcW w:w="106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8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74"/>
        </w:trPr>
        <w:tc>
          <w:tcPr>
            <w:tcW w:w="10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Number of</w:t>
            </w:r>
          </w:p>
        </w:tc>
        <w:tc>
          <w:tcPr>
            <w:tcW w:w="560" w:type="dxa"/>
            <w:vAlign w:val="bottom"/>
            <w:tcBorders>
              <w:right w:val="single" w:sz="8" w:color="auto"/>
            </w:tcBorders>
          </w:tcPr>
          <w:p>
            <w:pPr>
              <w:spacing w:after="0"/>
              <w:rPr>
                <w:sz w:val="6"/>
                <w:szCs w:val="6"/>
                <w:color w:val="auto"/>
              </w:rPr>
            </w:pPr>
          </w:p>
        </w:tc>
        <w:tc>
          <w:tcPr>
            <w:tcW w:w="760" w:type="dxa"/>
            <w:vAlign w:val="bottom"/>
            <w:tcBorders>
              <w:bottom w:val="single" w:sz="8" w:color="auto"/>
              <w:right w:val="single" w:sz="8" w:color="auto"/>
            </w:tcBorders>
          </w:tcPr>
          <w:p>
            <w:pPr>
              <w:spacing w:after="0"/>
              <w:rPr>
                <w:sz w:val="6"/>
                <w:szCs w:val="6"/>
                <w:color w:val="auto"/>
              </w:rPr>
            </w:pPr>
          </w:p>
        </w:tc>
        <w:tc>
          <w:tcPr>
            <w:tcW w:w="88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8"/>
        </w:trPr>
        <w:tc>
          <w:tcPr>
            <w:tcW w:w="1060" w:type="dxa"/>
            <w:vAlign w:val="bottom"/>
            <w:vMerge w:val="continue"/>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760" w:type="dxa"/>
            <w:vAlign w:val="bottom"/>
            <w:tcBorders>
              <w:right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rPr>
              <w:t>6.</w:t>
            </w:r>
          </w:p>
        </w:tc>
        <w:tc>
          <w:tcPr>
            <w:tcW w:w="8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Shares</w:t>
            </w:r>
          </w:p>
        </w:tc>
        <w:tc>
          <w:tcPr>
            <w:tcW w:w="5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8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Beneficially</w:t>
            </w:r>
          </w:p>
        </w:tc>
        <w:tc>
          <w:tcPr>
            <w:tcW w:w="5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8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5,798,673 Ordinary Shares*</w:t>
            </w:r>
          </w:p>
        </w:tc>
        <w:tc>
          <w:tcPr>
            <w:tcW w:w="0" w:type="dxa"/>
            <w:vAlign w:val="bottom"/>
          </w:tcPr>
          <w:p>
            <w:pPr>
              <w:spacing w:after="0"/>
              <w:rPr>
                <w:sz w:val="1"/>
                <w:szCs w:val="1"/>
                <w:color w:val="auto"/>
              </w:rPr>
            </w:pPr>
          </w:p>
        </w:tc>
      </w:tr>
      <w:tr>
        <w:trPr>
          <w:trHeight w:val="120"/>
        </w:trPr>
        <w:tc>
          <w:tcPr>
            <w:tcW w:w="10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Owned by</w:t>
            </w:r>
          </w:p>
        </w:tc>
        <w:tc>
          <w:tcPr>
            <w:tcW w:w="560" w:type="dxa"/>
            <w:vAlign w:val="bottom"/>
            <w:tcBorders>
              <w:right w:val="single" w:sz="8" w:color="auto"/>
            </w:tcBorders>
          </w:tcPr>
          <w:p>
            <w:pPr>
              <w:spacing w:after="0"/>
              <w:rPr>
                <w:sz w:val="10"/>
                <w:szCs w:val="10"/>
                <w:color w:val="auto"/>
              </w:rPr>
            </w:pPr>
          </w:p>
        </w:tc>
        <w:tc>
          <w:tcPr>
            <w:tcW w:w="760" w:type="dxa"/>
            <w:vAlign w:val="bottom"/>
            <w:tcBorders>
              <w:bottom w:val="single" w:sz="8" w:color="auto"/>
              <w:right w:val="single" w:sz="8" w:color="auto"/>
            </w:tcBorders>
          </w:tcPr>
          <w:p>
            <w:pPr>
              <w:spacing w:after="0"/>
              <w:rPr>
                <w:sz w:val="10"/>
                <w:szCs w:val="10"/>
                <w:color w:val="auto"/>
              </w:rPr>
            </w:pPr>
          </w:p>
        </w:tc>
        <w:tc>
          <w:tcPr>
            <w:tcW w:w="88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060" w:type="dxa"/>
            <w:vAlign w:val="bottom"/>
            <w:vMerge w:val="continue"/>
          </w:tcPr>
          <w:p>
            <w:pPr>
              <w:spacing w:after="0"/>
              <w:rPr>
                <w:sz w:val="6"/>
                <w:szCs w:val="6"/>
                <w:color w:val="auto"/>
              </w:rPr>
            </w:pPr>
          </w:p>
        </w:tc>
        <w:tc>
          <w:tcPr>
            <w:tcW w:w="560" w:type="dxa"/>
            <w:vAlign w:val="bottom"/>
            <w:tcBorders>
              <w:right w:val="single" w:sz="8" w:color="auto"/>
            </w:tcBorders>
          </w:tcPr>
          <w:p>
            <w:pPr>
              <w:spacing w:after="0"/>
              <w:rPr>
                <w:sz w:val="6"/>
                <w:szCs w:val="6"/>
                <w:color w:val="auto"/>
              </w:rPr>
            </w:pPr>
          </w:p>
        </w:tc>
        <w:tc>
          <w:tcPr>
            <w:tcW w:w="760" w:type="dxa"/>
            <w:vAlign w:val="bottom"/>
            <w:tcBorders>
              <w:right w:val="single" w:sz="8" w:color="auto"/>
            </w:tcBorders>
            <w:vMerge w:val="restart"/>
          </w:tcPr>
          <w:p>
            <w:pPr>
              <w:jc w:val="right"/>
              <w:ind w:right="268"/>
              <w:spacing w:after="0"/>
              <w:rPr>
                <w:sz w:val="20"/>
                <w:szCs w:val="20"/>
                <w:color w:val="auto"/>
              </w:rPr>
            </w:pPr>
            <w:r>
              <w:rPr>
                <w:rFonts w:ascii="Times New Roman" w:cs="Times New Roman" w:eastAsia="Times New Roman" w:hAnsi="Times New Roman"/>
                <w:sz w:val="14"/>
                <w:szCs w:val="14"/>
                <w:color w:val="auto"/>
              </w:rPr>
              <w:t>7.</w:t>
            </w:r>
          </w:p>
        </w:tc>
        <w:tc>
          <w:tcPr>
            <w:tcW w:w="88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Each</w:t>
            </w:r>
          </w:p>
        </w:tc>
        <w:tc>
          <w:tcPr>
            <w:tcW w:w="5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vMerge w:val="continue"/>
          </w:tcPr>
          <w:p>
            <w:pPr>
              <w:spacing w:after="0"/>
              <w:rPr>
                <w:sz w:val="18"/>
                <w:szCs w:val="18"/>
                <w:color w:val="auto"/>
              </w:rPr>
            </w:pPr>
          </w:p>
        </w:tc>
        <w:tc>
          <w:tcPr>
            <w:tcW w:w="8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Reporting</w:t>
            </w:r>
          </w:p>
        </w:tc>
        <w:tc>
          <w:tcPr>
            <w:tcW w:w="560" w:type="dxa"/>
            <w:vAlign w:val="bottom"/>
            <w:tcBorders>
              <w:right w:val="single" w:sz="8" w:color="auto"/>
            </w:tcBorders>
          </w:tcPr>
          <w:p>
            <w:pPr>
              <w:spacing w:after="0"/>
              <w:rPr>
                <w:sz w:val="18"/>
                <w:szCs w:val="18"/>
                <w:color w:val="auto"/>
              </w:rPr>
            </w:pPr>
          </w:p>
        </w:tc>
        <w:tc>
          <w:tcPr>
            <w:tcW w:w="760" w:type="dxa"/>
            <w:vAlign w:val="bottom"/>
            <w:tcBorders>
              <w:right w:val="single" w:sz="8" w:color="auto"/>
            </w:tcBorders>
          </w:tcPr>
          <w:p>
            <w:pPr>
              <w:spacing w:after="0"/>
              <w:rPr>
                <w:sz w:val="18"/>
                <w:szCs w:val="18"/>
                <w:color w:val="auto"/>
              </w:rPr>
            </w:pPr>
          </w:p>
        </w:tc>
        <w:tc>
          <w:tcPr>
            <w:tcW w:w="88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106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7"/>
              </w:rPr>
              <w:t>Person With:</w:t>
            </w:r>
          </w:p>
        </w:tc>
        <w:tc>
          <w:tcPr>
            <w:tcW w:w="560" w:type="dxa"/>
            <w:vAlign w:val="bottom"/>
            <w:tcBorders>
              <w:right w:val="single" w:sz="8" w:color="auto"/>
            </w:tcBorders>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88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1060" w:type="dxa"/>
            <w:vAlign w:val="bottom"/>
          </w:tcPr>
          <w:p>
            <w:pPr>
              <w:spacing w:after="0"/>
              <w:rPr>
                <w:sz w:val="4"/>
                <w:szCs w:val="4"/>
                <w:color w:val="auto"/>
              </w:rPr>
            </w:pPr>
          </w:p>
        </w:tc>
        <w:tc>
          <w:tcPr>
            <w:tcW w:w="560" w:type="dxa"/>
            <w:vAlign w:val="bottom"/>
            <w:tcBorders>
              <w:right w:val="single" w:sz="8" w:color="auto"/>
            </w:tcBorders>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8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106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rPr>
              <w:t>8.</w:t>
            </w:r>
          </w:p>
        </w:tc>
        <w:tc>
          <w:tcPr>
            <w:tcW w:w="8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432"/>
        </w:trPr>
        <w:tc>
          <w:tcPr>
            <w:tcW w:w="106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760" w:type="dxa"/>
            <w:vAlign w:val="bottom"/>
            <w:tcBorders>
              <w:right w:val="single" w:sz="8" w:color="auto"/>
            </w:tcBorders>
          </w:tcPr>
          <w:p>
            <w:pPr>
              <w:spacing w:after="0"/>
              <w:rPr>
                <w:sz w:val="24"/>
                <w:szCs w:val="24"/>
                <w:color w:val="auto"/>
              </w:rPr>
            </w:pPr>
          </w:p>
        </w:tc>
        <w:tc>
          <w:tcPr>
            <w:tcW w:w="8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5,798,707 Ordinary Shares*</w:t>
            </w:r>
          </w:p>
        </w:tc>
        <w:tc>
          <w:tcPr>
            <w:tcW w:w="0" w:type="dxa"/>
            <w:vAlign w:val="bottom"/>
          </w:tcPr>
          <w:p>
            <w:pPr>
              <w:spacing w:after="0"/>
              <w:rPr>
                <w:sz w:val="1"/>
                <w:szCs w:val="1"/>
                <w:color w:val="auto"/>
              </w:rPr>
            </w:pPr>
          </w:p>
        </w:tc>
      </w:tr>
      <w:tr>
        <w:trPr>
          <w:trHeight w:val="75"/>
        </w:trPr>
        <w:tc>
          <w:tcPr>
            <w:tcW w:w="1060" w:type="dxa"/>
            <w:vAlign w:val="bottom"/>
            <w:tcBorders>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760" w:type="dxa"/>
            <w:vAlign w:val="bottom"/>
            <w:tcBorders>
              <w:bottom w:val="single" w:sz="8" w:color="auto"/>
              <w:right w:val="single" w:sz="8" w:color="auto"/>
            </w:tcBorders>
          </w:tcPr>
          <w:p>
            <w:pPr>
              <w:spacing w:after="0"/>
              <w:rPr>
                <w:sz w:val="6"/>
                <w:szCs w:val="6"/>
                <w:color w:val="auto"/>
              </w:rPr>
            </w:pPr>
          </w:p>
        </w:tc>
        <w:tc>
          <w:tcPr>
            <w:tcW w:w="88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4"/>
              </w:rPr>
              <w:t>9.</w:t>
            </w:r>
          </w:p>
        </w:tc>
        <w:tc>
          <w:tcPr>
            <w:tcW w:w="10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1060" w:type="dxa"/>
            <w:vAlign w:val="bottom"/>
            <w:tcBorders>
              <w:right w:val="single" w:sz="8" w:color="auto"/>
            </w:tcBorders>
          </w:tcPr>
          <w:p>
            <w:pPr>
              <w:spacing w:after="0"/>
              <w:rPr>
                <w:sz w:val="24"/>
                <w:szCs w:val="24"/>
                <w:color w:val="auto"/>
              </w:rPr>
            </w:pPr>
          </w:p>
        </w:tc>
        <w:tc>
          <w:tcPr>
            <w:tcW w:w="10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5,798,707 Ordinary Shares*</w:t>
            </w:r>
          </w:p>
        </w:tc>
        <w:tc>
          <w:tcPr>
            <w:tcW w:w="0" w:type="dxa"/>
            <w:vAlign w:val="bottom"/>
          </w:tcPr>
          <w:p>
            <w:pPr>
              <w:spacing w:after="0"/>
              <w:rPr>
                <w:sz w:val="1"/>
                <w:szCs w:val="1"/>
                <w:color w:val="auto"/>
              </w:rPr>
            </w:pPr>
          </w:p>
        </w:tc>
      </w:tr>
      <w:tr>
        <w:trPr>
          <w:trHeight w:val="75"/>
        </w:trPr>
        <w:tc>
          <w:tcPr>
            <w:tcW w:w="1060" w:type="dxa"/>
            <w:vAlign w:val="bottom"/>
            <w:tcBorders>
              <w:bottom w:val="single" w:sz="8" w:color="auto"/>
              <w:right w:val="single" w:sz="8" w:color="auto"/>
            </w:tcBorders>
          </w:tcPr>
          <w:p>
            <w:pPr>
              <w:spacing w:after="0"/>
              <w:rPr>
                <w:sz w:val="6"/>
                <w:szCs w:val="6"/>
                <w:color w:val="auto"/>
              </w:rPr>
            </w:pPr>
          </w:p>
        </w:tc>
        <w:tc>
          <w:tcPr>
            <w:tcW w:w="10180" w:type="dxa"/>
            <w:vAlign w:val="bottom"/>
            <w:tcBorders>
              <w:bottom w:val="single" w:sz="8" w:color="auto"/>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283"/>
        </w:trPr>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w:t>
            </w:r>
          </w:p>
        </w:tc>
        <w:tc>
          <w:tcPr>
            <w:tcW w:w="10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Check if the Aggregate Amount in Row (9) Excludes Certain Shares</w:t>
            </w:r>
          </w:p>
        </w:tc>
        <w:tc>
          <w:tcPr>
            <w:tcW w:w="0" w:type="dxa"/>
            <w:vAlign w:val="bottom"/>
          </w:tcPr>
          <w:p>
            <w:pPr>
              <w:spacing w:after="0"/>
              <w:rPr>
                <w:sz w:val="1"/>
                <w:szCs w:val="1"/>
                <w:color w:val="auto"/>
              </w:rPr>
            </w:pPr>
          </w:p>
        </w:tc>
      </w:tr>
      <w:tr>
        <w:trPr>
          <w:trHeight w:val="452"/>
        </w:trPr>
        <w:tc>
          <w:tcPr>
            <w:tcW w:w="1060" w:type="dxa"/>
            <w:vAlign w:val="bottom"/>
            <w:tcBorders>
              <w:right w:val="single" w:sz="8" w:color="auto"/>
            </w:tcBorders>
          </w:tcPr>
          <w:p>
            <w:pPr>
              <w:spacing w:after="0"/>
              <w:rPr>
                <w:sz w:val="24"/>
                <w:szCs w:val="24"/>
                <w:color w:val="auto"/>
              </w:rPr>
            </w:pPr>
          </w:p>
        </w:tc>
        <w:tc>
          <w:tcPr>
            <w:tcW w:w="1320" w:type="dxa"/>
            <w:vAlign w:val="bottom"/>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8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1060" w:type="dxa"/>
            <w:vAlign w:val="bottom"/>
            <w:tcBorders>
              <w:bottom w:val="single" w:sz="8" w:color="auto"/>
              <w:right w:val="single" w:sz="8" w:color="auto"/>
            </w:tcBorders>
          </w:tcPr>
          <w:p>
            <w:pPr>
              <w:spacing w:after="0"/>
              <w:rPr>
                <w:sz w:val="4"/>
                <w:szCs w:val="4"/>
                <w:color w:val="auto"/>
              </w:rPr>
            </w:pPr>
          </w:p>
        </w:tc>
        <w:tc>
          <w:tcPr>
            <w:tcW w:w="10180" w:type="dxa"/>
            <w:vAlign w:val="bottom"/>
            <w:tcBorders>
              <w:bottom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11.</w:t>
            </w:r>
          </w:p>
        </w:tc>
        <w:tc>
          <w:tcPr>
            <w:tcW w:w="10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32"/>
        </w:trPr>
        <w:tc>
          <w:tcPr>
            <w:tcW w:w="1060" w:type="dxa"/>
            <w:vAlign w:val="bottom"/>
            <w:tcBorders>
              <w:right w:val="single" w:sz="8" w:color="auto"/>
            </w:tcBorders>
          </w:tcPr>
          <w:p>
            <w:pPr>
              <w:spacing w:after="0"/>
              <w:rPr>
                <w:sz w:val="24"/>
                <w:szCs w:val="24"/>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5.4%**</w:t>
            </w:r>
          </w:p>
        </w:tc>
        <w:tc>
          <w:tcPr>
            <w:tcW w:w="8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060" w:type="dxa"/>
            <w:vAlign w:val="bottom"/>
            <w:tcBorders>
              <w:bottom w:val="single" w:sz="8" w:color="auto"/>
              <w:right w:val="single" w:sz="8" w:color="auto"/>
            </w:tcBorders>
          </w:tcPr>
          <w:p>
            <w:pPr>
              <w:spacing w:after="0"/>
              <w:rPr>
                <w:sz w:val="6"/>
                <w:szCs w:val="6"/>
                <w:color w:val="auto"/>
              </w:rPr>
            </w:pPr>
          </w:p>
        </w:tc>
        <w:tc>
          <w:tcPr>
            <w:tcW w:w="10180" w:type="dxa"/>
            <w:vAlign w:val="bottom"/>
            <w:tcBorders>
              <w:bottom w:val="single" w:sz="8" w:color="auto"/>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12.</w:t>
            </w:r>
          </w:p>
        </w:tc>
        <w:tc>
          <w:tcPr>
            <w:tcW w:w="10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32"/>
        </w:trPr>
        <w:tc>
          <w:tcPr>
            <w:tcW w:w="1060" w:type="dxa"/>
            <w:vAlign w:val="bottom"/>
            <w:tcBorders>
              <w:right w:val="single" w:sz="8" w:color="auto"/>
            </w:tcBorders>
          </w:tcPr>
          <w:p>
            <w:pPr>
              <w:spacing w:after="0"/>
              <w:rPr>
                <w:sz w:val="24"/>
                <w:szCs w:val="24"/>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w:t>
            </w:r>
          </w:p>
        </w:tc>
        <w:tc>
          <w:tcPr>
            <w:tcW w:w="8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
        </w:trPr>
        <w:tc>
          <w:tcPr>
            <w:tcW w:w="1060" w:type="dxa"/>
            <w:vAlign w:val="bottom"/>
            <w:tcBorders>
              <w:bottom w:val="single" w:sz="8" w:color="auto"/>
              <w:right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88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4.</w:t>
      </w:r>
    </w:p>
    <w:p>
      <w:pPr>
        <w:spacing w:after="0" w:line="28" w:lineRule="exact"/>
        <w:rPr>
          <w:sz w:val="20"/>
          <w:szCs w:val="20"/>
          <w:color w:val="auto"/>
        </w:rPr>
      </w:pPr>
    </w:p>
    <w:p>
      <w:pPr>
        <w:ind w:right="160" w:firstLine="8"/>
        <w:spacing w:after="0" w:line="261" w:lineRule="auto"/>
        <w:tabs>
          <w:tab w:leader="none" w:pos="27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Based on 107,262,420 Ordinary Shares issued and outstanding as of July 1, 2020 (as reported by the Issuer in Exhibit 99.1 to its Report on Form 6-K filed with the Securities and Exchange Commission on August 3, 2020).</w:t>
      </w:r>
    </w:p>
    <w:p>
      <w:pPr>
        <w:spacing w:after="0" w:line="200" w:lineRule="exact"/>
        <w:rPr>
          <w:rFonts w:ascii="Times New Roman" w:cs="Times New Roman" w:eastAsia="Times New Roman" w:hAnsi="Times New Roman"/>
          <w:sz w:val="22"/>
          <w:szCs w:val="22"/>
          <w:color w:val="auto"/>
        </w:rPr>
      </w:pPr>
    </w:p>
    <w:p>
      <w:pPr>
        <w:spacing w:after="0" w:line="202" w:lineRule="exact"/>
        <w:rPr>
          <w:rFonts w:ascii="Times New Roman" w:cs="Times New Roman" w:eastAsia="Times New Roman" w:hAnsi="Times New Roman"/>
          <w:sz w:val="22"/>
          <w:szCs w:val="22"/>
          <w:color w:val="auto"/>
        </w:rPr>
      </w:pPr>
    </w:p>
    <w:p>
      <w:pPr>
        <w:ind w:left="5580" w:hanging="76"/>
        <w:spacing w:after="0"/>
        <w:tabs>
          <w:tab w:leader="none" w:pos="5580" w:val="left"/>
        </w:tabs>
        <w:numPr>
          <w:ilvl w:val="1"/>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t>Item 1.</w:t>
      </w:r>
    </w:p>
    <w:p>
      <w:pPr>
        <w:spacing w:after="0" w:line="247"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w:t>
      </w:r>
    </w:p>
    <w:p>
      <w:pPr>
        <w:spacing w:after="0" w:line="252"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Tower Semiconductor Ltd. (the “Issuer”).</w:t>
      </w:r>
    </w:p>
    <w:p>
      <w:pPr>
        <w:spacing w:after="0" w:line="252"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Issuer’s Principal Executive Offices:</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Ramat Gavriel Industrial Park, P.O. Box 619, Migdal Haemek, 23105 Israel.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24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(a)-(c)</w:t>
      </w:r>
      <w:r>
        <w:rPr>
          <w:sz w:val="20"/>
          <w:szCs w:val="20"/>
          <w:color w:val="auto"/>
        </w:rPr>
        <w:tab/>
      </w:r>
      <w:r>
        <w:rPr>
          <w:rFonts w:ascii="Times New Roman" w:cs="Times New Roman" w:eastAsia="Times New Roman" w:hAnsi="Times New Roman"/>
          <w:sz w:val="17"/>
          <w:szCs w:val="17"/>
          <w:color w:val="auto"/>
        </w:rPr>
        <w:t>Name of Person Filing, address and citizenship:</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following entity is referred to as the “Reporting Person” in this Statement:</w:t>
      </w:r>
    </w:p>
    <w:p>
      <w:pPr>
        <w:spacing w:after="0" w:line="242" w:lineRule="exact"/>
        <w:rPr>
          <w:sz w:val="20"/>
          <w:szCs w:val="20"/>
          <w:color w:val="auto"/>
        </w:rPr>
      </w:pPr>
    </w:p>
    <w:p>
      <w:pPr>
        <w:ind w:left="660" w:right="120"/>
        <w:spacing w:after="0" w:line="282" w:lineRule="auto"/>
        <w:rPr>
          <w:sz w:val="20"/>
          <w:szCs w:val="20"/>
          <w:color w:val="auto"/>
        </w:rPr>
      </w:pPr>
      <w:r>
        <w:rPr>
          <w:rFonts w:ascii="Times New Roman" w:cs="Times New Roman" w:eastAsia="Times New Roman" w:hAnsi="Times New Roman"/>
          <w:sz w:val="18"/>
          <w:szCs w:val="18"/>
          <w:color w:val="auto"/>
        </w:rPr>
        <w:t>Harel Insurance Investments &amp; Financial Services Ltd., an Israeli public company, with a principal business address at Harel House; 3 Aba Hillel Street; Ramat Gan 52118, Israel.</w:t>
      </w:r>
    </w:p>
    <w:p>
      <w:pPr>
        <w:spacing w:after="0" w:line="189"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Class of Securities:</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Ordinary Shares, par value NIS 15.00 per share (the “Ordinary Shares”).</w:t>
      </w:r>
    </w:p>
    <w:p>
      <w:pPr>
        <w:spacing w:after="0" w:line="242"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CUSIP Number:</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M87915274</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If this statement is filed pursuant to §§240.13d-1(b) or 240.13d-2(b) or (c), check whether the person filing is a:</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Ownership</w:t>
      </w:r>
    </w:p>
    <w:p>
      <w:pPr>
        <w:spacing w:after="0" w:line="260" w:lineRule="exact"/>
        <w:rPr>
          <w:sz w:val="20"/>
          <w:szCs w:val="20"/>
          <w:color w:val="auto"/>
        </w:rPr>
      </w:pPr>
    </w:p>
    <w:p>
      <w:pPr>
        <w:jc w:val="both"/>
        <w:ind w:firstLine="638"/>
        <w:spacing w:after="0" w:line="259" w:lineRule="auto"/>
        <w:rPr>
          <w:sz w:val="20"/>
          <w:szCs w:val="20"/>
          <w:color w:val="auto"/>
        </w:rPr>
      </w:pPr>
      <w:r>
        <w:rPr>
          <w:rFonts w:ascii="Times New Roman" w:cs="Times New Roman" w:eastAsia="Times New Roman" w:hAnsi="Times New Roman"/>
          <w:sz w:val="22"/>
          <w:szCs w:val="22"/>
          <w:color w:val="auto"/>
        </w:rPr>
        <w:t>Of the 5,798,707 Ordinary Shares reported in this Statement as beneficially owned by the Reporting Person (i) 5,798,673 Ordinary Shares are held for members of the public through, among others, provident funds and/or mutual funds and/or pension funds and/or insurance policies and/or exchange traded funds, which are managed by subsidiaries of the Reporting Person, each of which subsidiaries operates under independent management and makes independent voting and investment decisions and (ii) 34 Ordinary Shares are held by third-party client accounts managed by subsidiaries of the Reporting Person as portfolio managers, each of which subsidiaries operates under independent management and makes independent investment decisions and has no voting power in the securities held in such client accounts. Consequently, this Statement shall not be construed as an admission by the Reporting Person, and the Reporting Person disclaims, that it is the beneficial owner of any of the Ordinary Shares covered by this Statement or that it has any pecuniary interest in such Ordinary Shares for purposes of Section 16 of the U.S. Securities Exchange Act of 1934, as amended.</w:t>
      </w:r>
    </w:p>
    <w:p>
      <w:pPr>
        <w:spacing w:after="0" w:line="19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Except as set forth above, see items 5-11 of the cover pages hereto for beneficial ownership, percentage of class and dispositive power of the Reporting Person, which are incorporated herein.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Ownership of Five Percent or Less of a Class</w:t>
      </w:r>
    </w:p>
    <w:p>
      <w:pPr>
        <w:spacing w:after="0" w:line="260" w:lineRule="exact"/>
        <w:rPr>
          <w:sz w:val="20"/>
          <w:szCs w:val="20"/>
          <w:color w:val="auto"/>
        </w:rPr>
      </w:pPr>
    </w:p>
    <w:p>
      <w:pPr>
        <w:ind w:left="660" w:right="780"/>
        <w:spacing w:after="0" w:line="287" w:lineRule="exact"/>
        <w:rPr>
          <w:sz w:val="20"/>
          <w:szCs w:val="20"/>
          <w:color w:val="auto"/>
        </w:rPr>
      </w:pPr>
      <w:r>
        <w:rPr>
          <w:rFonts w:ascii="Times New Roman" w:cs="Times New Roman" w:eastAsia="Times New Roman" w:hAnsi="Times New Roman"/>
          <w:sz w:val="22"/>
          <w:szCs w:val="22"/>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Ownership of More than Five Percent on Behalf of Another Person</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1">
            <w:col w:w="11240"/>
          </w:cols>
          <w:pgMar w:left="320" w:top="108" w:right="33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7. Identification and Classification of the Subsidiary, Which Acquired the Security Being Reported on by the Parent Holding Company</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Identification and Classification of Members of the Group</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Notice of Dissolution of Group</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Not Applicable.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10.Certification</w:t>
      </w:r>
    </w:p>
    <w:p>
      <w:pPr>
        <w:spacing w:after="0" w:line="24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38"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24, 2020</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HAREL INSURANCE INVESTMENTS AND FINANCIAL SERVICES</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LTD.</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Uri Rabinovitz</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Title: Uri Rabinovitz, Vice President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lowerLetter"/>
      <w:start w:val="4"/>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lvl w:ilvl="1">
      <w:lvlJc w:val="left"/>
      <w:lvlText w:val="☐"/>
      <w:numFmt w:val="bullet"/>
      <w:start w:val="1"/>
    </w:lvl>
  </w:abstractNum>
  <w:abstractNum w:abstractNumId="4">
    <w:nsid w:val="41B71EFB"/>
    <w:multiLevelType w:val="hybridMultilevel"/>
    <w:lvl w:ilvl="0">
      <w:lvlJc w:val="left"/>
      <w:lvlText w:val="%1."/>
      <w:numFmt w:val="decimal"/>
      <w:start w:val="1"/>
    </w:lvl>
    <w:lvl w:ilvl="1">
      <w:lvlJc w:val="left"/>
      <w:lvlText w:val="(%2)"/>
      <w:numFmt w:val="lowerLetter"/>
      <w:start w:val="1"/>
    </w:lvl>
  </w:abstractNum>
  <w:abstractNum w:abstractNumId="5">
    <w:nsid w:val="79E2A9E3"/>
    <w:multiLevelType w:val="hybridMultilevel"/>
    <w:lvl w:ilvl="0">
      <w:lvlJc w:val="left"/>
      <w:lvlText w:val="**"/>
      <w:numFmt w:val="bullet"/>
      <w:start w:val="1"/>
    </w:lvl>
    <w:lvl w:ilvl="1">
      <w:lvlJc w:val="left"/>
      <w:lvlText w:val="-"/>
      <w:numFmt w:val="bullet"/>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4"/>
    </w:lvl>
  </w:abstractNum>
  <w:abstractNum w:abstractNumId="8">
    <w:nsid w:val="5BD062C2"/>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2020-09-24T05:23:26Z</dcterms:created>
  <dcterms:modified xsi:type="dcterms:W3CDTF">2020-09-24T05:23:26Z</dcterms:modified>
</cp:coreProperties>
</file>