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9"/>
        <w:spacing w:after="0"/>
        <w:rPr>
          <w:sz w:val="20"/>
          <w:szCs w:val="20"/>
          <w:color w:val="auto"/>
        </w:rPr>
      </w:pPr>
      <w:r>
        <w:rPr>
          <w:rFonts w:ascii="Courier New" w:cs="Courier New" w:eastAsia="Courier New" w:hAnsi="Courier New"/>
          <w:sz w:val="15"/>
          <w:szCs w:val="15"/>
          <w:color w:val="auto"/>
        </w:rPr>
        <w:t>FORM 6-K</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month of February 2008 (No. 1)</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TOWER SEMICONDUCTOR LTD.</w:t>
      </w:r>
    </w:p>
    <w:p>
      <w:pPr>
        <w:spacing w:after="0" w:line="3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149"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RAMAT GAVRIEL INDUSTRIAL PARK</w:t>
      </w:r>
    </w:p>
    <w:p>
      <w:pPr>
        <w:spacing w:after="0" w:line="31" w:lineRule="exact"/>
        <w:rPr>
          <w:sz w:val="24"/>
          <w:szCs w:val="24"/>
          <w:color w:val="auto"/>
        </w:rPr>
      </w:pPr>
    </w:p>
    <w:p>
      <w:pPr>
        <w:ind w:left="1800"/>
        <w:spacing w:after="0"/>
        <w:rPr>
          <w:sz w:val="20"/>
          <w:szCs w:val="20"/>
          <w:color w:val="auto"/>
        </w:rPr>
      </w:pPr>
      <w:r>
        <w:rPr>
          <w:rFonts w:ascii="Courier New" w:cs="Courier New" w:eastAsia="Courier New" w:hAnsi="Courier New"/>
          <w:sz w:val="15"/>
          <w:szCs w:val="15"/>
          <w:color w:val="auto"/>
        </w:rPr>
        <w:t>P.O. BOX 619, MIGDAL HAEMEK, ISRAEL 23105</w:t>
      </w:r>
    </w:p>
    <w:p>
      <w:pPr>
        <w:spacing w:after="0" w:line="3" w:lineRule="exact"/>
        <w:rPr>
          <w:sz w:val="24"/>
          <w:szCs w:val="24"/>
          <w:color w:val="auto"/>
        </w:rPr>
      </w:pPr>
    </w:p>
    <w:p>
      <w:pPr>
        <w:ind w:left="180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49" w:lineRule="exact"/>
        <w:rPr>
          <w:sz w:val="24"/>
          <w:szCs w:val="24"/>
          <w:color w:val="auto"/>
        </w:rPr>
      </w:pPr>
    </w:p>
    <w:p>
      <w:pPr>
        <w:ind w:right="3379" w:firstLine="451"/>
        <w:spacing w:after="0" w:line="36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3" w:lineRule="exact"/>
        <w:rPr>
          <w:sz w:val="24"/>
          <w:szCs w:val="24"/>
          <w:color w:val="auto"/>
        </w:rPr>
      </w:pPr>
    </w:p>
    <w:p>
      <w:pPr>
        <w:ind w:left="2240"/>
        <w:spacing w:after="0"/>
        <w:tabs>
          <w:tab w:leader="none" w:pos="384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5"/>
          <w:szCs w:val="15"/>
          <w:color w:val="auto"/>
        </w:rPr>
        <w:t>Form 40-F [_]</w:t>
      </w:r>
    </w:p>
    <w:p>
      <w:pPr>
        <w:spacing w:after="0" w:line="177" w:lineRule="exact"/>
        <w:rPr>
          <w:sz w:val="24"/>
          <w:szCs w:val="24"/>
          <w:color w:val="auto"/>
        </w:rPr>
      </w:pPr>
    </w:p>
    <w:p>
      <w:pPr>
        <w:ind w:right="3019" w:firstLine="451"/>
        <w:spacing w:after="0" w:line="335"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9" w:lineRule="exact"/>
        <w:rPr>
          <w:sz w:val="24"/>
          <w:szCs w:val="24"/>
          <w:color w:val="auto"/>
        </w:rPr>
      </w:pPr>
    </w:p>
    <w:p>
      <w:pPr>
        <w:ind w:left="2780"/>
        <w:spacing w:after="0"/>
        <w:tabs>
          <w:tab w:leader="none" w:pos="384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5"/>
          <w:szCs w:val="15"/>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right="3019" w:firstLine="451"/>
        <w:spacing w:after="0" w:line="305" w:lineRule="auto"/>
        <w:rPr>
          <w:sz w:val="20"/>
          <w:szCs w:val="20"/>
          <w:color w:val="auto"/>
        </w:rPr>
      </w:pPr>
      <w:r>
        <w:rPr>
          <w:rFonts w:ascii="Courier New" w:cs="Courier New" w:eastAsia="Courier New" w:hAnsi="Courier New"/>
          <w:sz w:val="15"/>
          <w:szCs w:val="15"/>
          <w:color w:val="auto"/>
        </w:rPr>
        <w:t>On February 6, 2008, the Registrant announced its financial results for the fourth quarter and fiscal year ended December 31, 2007. Attached hereto is a copy of the press release.</w:t>
      </w:r>
    </w:p>
    <w:p>
      <w:pPr>
        <w:spacing w:after="0" w:line="46"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5"/>
          <w:szCs w:val="15"/>
          <w:color w:val="auto"/>
        </w:rPr>
        <w:t>Exhibit 99.1</w:t>
      </w:r>
      <w:r>
        <w:rPr>
          <w:sz w:val="20"/>
          <w:szCs w:val="20"/>
          <w:color w:val="auto"/>
        </w:rPr>
        <w:tab/>
      </w:r>
      <w:r>
        <w:rPr>
          <w:rFonts w:ascii="Courier New" w:cs="Courier New" w:eastAsia="Courier New" w:hAnsi="Courier New"/>
          <w:sz w:val="14"/>
          <w:szCs w:val="14"/>
          <w:color w:val="auto"/>
        </w:rPr>
        <w:t>Press release dated February 6, 2008</w:t>
      </w:r>
    </w:p>
    <w:p>
      <w:pPr>
        <w:sectPr>
          <w:pgSz w:w="11900" w:h="16838" w:orient="portrait"/>
          <w:cols w:equalWidth="0" w:num="1">
            <w:col w:w="10219"/>
          </w:cols>
          <w:pgMar w:left="240" w:top="379" w:right="1440" w:bottom="1440" w:gutter="0" w:footer="0" w:header="0"/>
        </w:sectPr>
      </w:pPr>
    </w:p>
    <w:bookmarkStart w:id="1" w:name="page2"/>
    <w:bookmarkEnd w:id="1"/>
    <w:p>
      <w:pPr>
        <w:jc w:val="center"/>
        <w:ind w:right="3019"/>
        <w:spacing w:after="0"/>
        <w:rPr>
          <w:sz w:val="20"/>
          <w:szCs w:val="20"/>
          <w:color w:val="auto"/>
        </w:rPr>
      </w:pPr>
      <w:r>
        <w:rPr>
          <w:rFonts w:ascii="Courier New" w:cs="Courier New" w:eastAsia="Courier New" w:hAnsi="Courier New"/>
          <w:sz w:val="15"/>
          <w:szCs w:val="15"/>
          <w:color w:val="auto"/>
        </w:rPr>
        <w:t>SIGNATURES</w:t>
      </w:r>
    </w:p>
    <w:p>
      <w:pPr>
        <w:spacing w:after="0" w:line="177" w:lineRule="exact"/>
        <w:rPr>
          <w:sz w:val="20"/>
          <w:szCs w:val="20"/>
          <w:color w:val="auto"/>
        </w:rPr>
      </w:pPr>
    </w:p>
    <w:p>
      <w:pPr>
        <w:ind w:right="3279" w:firstLine="451"/>
        <w:spacing w:after="0" w:line="30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19"/>
          </w:cols>
          <w:pgMar w:left="240" w:top="784"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6, 2008</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By: /s/ Nati Somekh Gilboa</w:t>
      </w:r>
    </w:p>
    <w:p>
      <w:pPr>
        <w:spacing w:after="0" w:line="58" w:lineRule="exact"/>
        <w:rPr>
          <w:sz w:val="20"/>
          <w:szCs w:val="20"/>
          <w:color w:val="auto"/>
        </w:rPr>
      </w:pPr>
    </w:p>
    <w:p>
      <w:pPr>
        <w:sectPr>
          <w:pgSz w:w="11900" w:h="16838" w:orient="portrait"/>
          <w:cols w:equalWidth="0" w:num="2">
            <w:col w:w="4060" w:space="720"/>
            <w:col w:w="5439"/>
          </w:cols>
          <w:pgMar w:left="240" w:top="784" w:right="1440" w:bottom="1440" w:gutter="0" w:footer="0" w:header="0"/>
          <w:type w:val="continuous"/>
        </w:sectPr>
      </w:pPr>
    </w:p>
    <w:p>
      <w:pPr>
        <w:ind w:left="4780"/>
        <w:spacing w:after="0"/>
        <w:rPr>
          <w:sz w:val="20"/>
          <w:szCs w:val="20"/>
          <w:color w:val="auto"/>
        </w:rPr>
      </w:pPr>
      <w:r>
        <w:rPr>
          <w:rFonts w:ascii="Courier New" w:cs="Courier New" w:eastAsia="Courier New" w:hAnsi="Courier New"/>
          <w:sz w:val="14"/>
          <w:szCs w:val="14"/>
          <w:color w:val="auto"/>
        </w:rPr>
        <w:t>--------------------------</w:t>
      </w:r>
    </w:p>
    <w:p>
      <w:pPr>
        <w:ind w:left="4780"/>
        <w:spacing w:after="0"/>
        <w:rPr>
          <w:sz w:val="20"/>
          <w:szCs w:val="20"/>
          <w:color w:val="auto"/>
        </w:rPr>
      </w:pPr>
      <w:r>
        <w:rPr>
          <w:rFonts w:ascii="Courier New" w:cs="Courier New" w:eastAsia="Courier New" w:hAnsi="Courier New"/>
          <w:sz w:val="15"/>
          <w:szCs w:val="15"/>
          <w:color w:val="auto"/>
        </w:rPr>
        <w:t>Nati Somekh Gilboa</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1">
            <w:col w:w="10219"/>
          </w:cols>
          <w:pgMar w:left="240" w:top="784" w:right="1440" w:bottom="1440" w:gutter="0" w:footer="0" w:header="0"/>
          <w:type w:val="continuous"/>
        </w:sectPr>
      </w:pPr>
    </w:p>
    <w:bookmarkStart w:id="2" w:name="page3"/>
    <w:bookmarkEnd w:id="2"/>
    <w:p>
      <w:pPr>
        <w:jc w:val="right"/>
        <w:ind w:right="3019"/>
        <w:spacing w:after="0"/>
        <w:rPr>
          <w:sz w:val="20"/>
          <w:szCs w:val="20"/>
          <w:color w:val="auto"/>
        </w:rPr>
      </w:pPr>
      <w:r>
        <w:rPr>
          <w:rFonts w:ascii="Courier New" w:cs="Courier New" w:eastAsia="Courier New" w:hAnsi="Courier New"/>
          <w:sz w:val="15"/>
          <w:szCs w:val="15"/>
          <w:color w:val="auto"/>
        </w:rPr>
        <w:t>EXHIBIT 99.1</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TOWER SEMICONDUCTOR REPORTS RECORD QUARTERLY AND</w:t>
      </w:r>
    </w:p>
    <w:p>
      <w:pPr>
        <w:spacing w:after="0" w:line="3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ANNUAL REVENUE</w:t>
      </w:r>
    </w:p>
    <w:p>
      <w:pPr>
        <w:spacing w:after="0" w:line="149"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INCREASED ANNUAL REVENUE BY $43.4 MILLION, REPRESENTING 23 PERCENT</w:t>
      </w:r>
    </w:p>
    <w:p>
      <w:pPr>
        <w:spacing w:after="0" w:line="31"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YEAR-OVER-YEAR GROWTH</w:t>
      </w:r>
    </w:p>
    <w:p>
      <w:pPr>
        <w:spacing w:after="0" w:line="149" w:lineRule="exact"/>
        <w:rPr>
          <w:sz w:val="20"/>
          <w:szCs w:val="20"/>
          <w:color w:val="auto"/>
        </w:rPr>
      </w:pPr>
    </w:p>
    <w:p>
      <w:pPr>
        <w:ind w:left="8" w:right="3199"/>
        <w:spacing w:after="0" w:line="335" w:lineRule="auto"/>
        <w:rPr>
          <w:sz w:val="20"/>
          <w:szCs w:val="20"/>
          <w:color w:val="auto"/>
        </w:rPr>
      </w:pPr>
      <w:r>
        <w:rPr>
          <w:rFonts w:ascii="Courier New" w:cs="Courier New" w:eastAsia="Courier New" w:hAnsi="Courier New"/>
          <w:sz w:val="14"/>
          <w:szCs w:val="14"/>
          <w:color w:val="auto"/>
        </w:rPr>
        <w:t>MIGDAL HAEMEK, Israel - February 6, 2008 - Tower Semiconductor Ltd. (NASDAQ: TSEM, TASE: TSEM), an independent specialty foundry, today announced financial results for the fourth quarter and full year ended December 31, 2007.</w:t>
      </w:r>
    </w:p>
    <w:p>
      <w:pPr>
        <w:spacing w:after="0" w:line="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HIGHLIGHTS</w:t>
      </w:r>
    </w:p>
    <w:p>
      <w:pPr>
        <w:spacing w:after="0" w:line="177" w:lineRule="exact"/>
        <w:rPr>
          <w:sz w:val="20"/>
          <w:szCs w:val="20"/>
          <w:color w:val="auto"/>
        </w:rPr>
      </w:pPr>
    </w:p>
    <w:p>
      <w:pPr>
        <w:ind w:left="448" w:right="3019" w:hanging="448"/>
        <w:spacing w:after="0" w:line="365"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annual revenue of $230.9 million, representing year-over-year growth of approximately 23 percent and two-year growth of 126 percent</w:t>
      </w:r>
    </w:p>
    <w:p>
      <w:pPr>
        <w:spacing w:after="0" w:line="3" w:lineRule="exact"/>
        <w:rPr>
          <w:rFonts w:ascii="Courier New" w:cs="Courier New" w:eastAsia="Courier New" w:hAnsi="Courier New"/>
          <w:sz w:val="15"/>
          <w:szCs w:val="15"/>
          <w:color w:val="auto"/>
        </w:rPr>
      </w:pPr>
    </w:p>
    <w:p>
      <w:pPr>
        <w:ind w:left="448" w:right="3379" w:hanging="448"/>
        <w:spacing w:after="0" w:line="365"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fourth quarter revenue of $61.6 million, representing 11 percent growth as compared to the same period in 2006</w:t>
      </w:r>
    </w:p>
    <w:p>
      <w:pPr>
        <w:spacing w:after="0" w:line="3" w:lineRule="exact"/>
        <w:rPr>
          <w:rFonts w:ascii="Courier New" w:cs="Courier New" w:eastAsia="Courier New" w:hAnsi="Courier New"/>
          <w:sz w:val="15"/>
          <w:szCs w:val="15"/>
          <w:color w:val="auto"/>
        </w:rPr>
      </w:pPr>
    </w:p>
    <w:p>
      <w:pPr>
        <w:ind w:left="448" w:right="3019" w:hanging="448"/>
        <w:spacing w:after="0" w:line="285"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Achieved annual positive cash flow from operations for the first time since Fab2 was established; recorded positive cash flow from operations for the fifth consecutive quarter and positive EBITDA for the ninth consecutive quarter</w:t>
      </w:r>
    </w:p>
    <w:p>
      <w:pPr>
        <w:spacing w:after="0" w:line="59" w:lineRule="exact"/>
        <w:rPr>
          <w:rFonts w:ascii="Courier New" w:cs="Courier New" w:eastAsia="Courier New" w:hAnsi="Courier New"/>
          <w:sz w:val="15"/>
          <w:szCs w:val="15"/>
          <w:color w:val="auto"/>
        </w:rPr>
      </w:pPr>
    </w:p>
    <w:p>
      <w:pPr>
        <w:ind w:left="448" w:right="3279" w:hanging="448"/>
        <w:spacing w:after="0" w:line="365"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execution of its Fab2 capacity ramp-up plan targeted at beyond 30,000 wafers-per-month</w:t>
      </w:r>
    </w:p>
    <w:p>
      <w:pPr>
        <w:spacing w:after="0" w:line="3" w:lineRule="exact"/>
        <w:rPr>
          <w:rFonts w:ascii="Courier New" w:cs="Courier New" w:eastAsia="Courier New" w:hAnsi="Courier New"/>
          <w:sz w:val="15"/>
          <w:szCs w:val="15"/>
          <w:color w:val="auto"/>
        </w:rPr>
      </w:pPr>
    </w:p>
    <w:p>
      <w:pPr>
        <w:ind w:left="448" w:right="3199" w:hanging="448"/>
        <w:spacing w:after="0" w:line="305"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Formed Partnership with CMT Medical Technologies to develop and sell flat panel x-ray detectors for medical applications with a targeted market of over $500 million per year</w:t>
      </w:r>
    </w:p>
    <w:p>
      <w:pPr>
        <w:spacing w:after="0" w:line="45" w:lineRule="exact"/>
        <w:rPr>
          <w:rFonts w:ascii="Courier New" w:cs="Courier New" w:eastAsia="Courier New" w:hAnsi="Courier New"/>
          <w:sz w:val="15"/>
          <w:szCs w:val="15"/>
          <w:color w:val="auto"/>
        </w:rPr>
      </w:pPr>
    </w:p>
    <w:p>
      <w:pPr>
        <w:jc w:val="both"/>
        <w:ind w:left="448" w:right="3279" w:hanging="448"/>
        <w:spacing w:after="0" w:line="365"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cost reduction initiatives and efficiency measures, which will result in a decrease of more than $20 million in 2008 operating expenses</w:t>
      </w:r>
    </w:p>
    <w:p>
      <w:pPr>
        <w:spacing w:after="0" w:line="3" w:lineRule="exact"/>
        <w:rPr>
          <w:sz w:val="20"/>
          <w:szCs w:val="20"/>
          <w:color w:val="auto"/>
        </w:rPr>
      </w:pPr>
    </w:p>
    <w:p>
      <w:pPr>
        <w:ind w:left="8" w:right="3019"/>
        <w:spacing w:after="0" w:line="291" w:lineRule="auto"/>
        <w:rPr>
          <w:sz w:val="20"/>
          <w:szCs w:val="20"/>
          <w:color w:val="auto"/>
        </w:rPr>
      </w:pPr>
      <w:r>
        <w:rPr>
          <w:rFonts w:ascii="Courier New" w:cs="Courier New" w:eastAsia="Courier New" w:hAnsi="Courier New"/>
          <w:sz w:val="14"/>
          <w:szCs w:val="14"/>
          <w:color w:val="auto"/>
        </w:rPr>
        <w:t>Revenue for the fourth quarter of 2007 was $61.6 million, representing an increase of 11 percent when compared to revenue of $55.5 million in the fourth quarter of 2006 and an increase of 9 percent compared to $56.6 million in the third quarter of 2007. For the full year of 2007 revenue increased by $43.4 million to $230.9 million as compared to $187.4 million in 2006 and $102 million in 2005, representing an increase of 23 percent and 126 percent, respectively.</w:t>
      </w:r>
    </w:p>
    <w:p>
      <w:pPr>
        <w:spacing w:after="0" w:line="6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Fourth quarter 2007 non-GAAP gross profit and operating profit, as described and</w:t>
      </w:r>
    </w:p>
    <w:p>
      <w:pPr>
        <w:spacing w:after="0" w:line="4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reconciled below, totaled $23 million and $14 million, respectively, which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represent 37 percent gross margin and 23 percent operating margin. Calculated in</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accordance with GAAP, net loss for the fourth quarter was $25.3 million,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$0.20 per share, an improvement of $11 million as compared to $36.3 million,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$0.38 per share, for the same period in 2006. For the full year of 2007,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non-GAAP gross and operating profit, as described and reconciled below, were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$83.5 million and $48.9 million, respectively, which represent 36 percent gross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margin and 21 percent operating margin. Calculated in accordance with GAAP, net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loss for the year improved by $33.7 million against a revenue increase of $43.4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which represents 78 percent incremental net margin.</w:t>
      </w:r>
    </w:p>
    <w:p>
      <w:pPr>
        <w:spacing w:after="0" w:line="149" w:lineRule="exact"/>
        <w:rPr>
          <w:sz w:val="20"/>
          <w:szCs w:val="20"/>
          <w:color w:val="auto"/>
        </w:rPr>
      </w:pPr>
    </w:p>
    <w:p>
      <w:pPr>
        <w:ind w:left="8" w:right="3019"/>
        <w:spacing w:after="0" w:line="256" w:lineRule="auto"/>
        <w:rPr>
          <w:sz w:val="20"/>
          <w:szCs w:val="20"/>
          <w:color w:val="auto"/>
        </w:rPr>
      </w:pPr>
      <w:r>
        <w:rPr>
          <w:rFonts w:ascii="Courier New" w:cs="Courier New" w:eastAsia="Courier New" w:hAnsi="Courier New"/>
          <w:sz w:val="15"/>
          <w:szCs w:val="15"/>
          <w:color w:val="auto"/>
        </w:rPr>
        <w:t>"Our record revenue performance during the fourth quarter not only surpassed the $60 million milestone for the first time, but also exceeded the semiconductor industry's average growth rate in regards to both quarterly and annual sales," commented Russell Ellwanger, Chief Executive Officer of Tower Semiconductor, Ltd. "Furthermore, during the quarter we formed a partnership with CMT Medical Technologies for the development of flat panel X-ray detectors, targeting a market of over $500 million a year. This relationship, based upon Tower's proprietary image sensor device and process technologies, represents a new business model for Tower that will generate revenue through both the production of high value, single die 8 inch wafers as well as through sharing the profits of the end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 w:right="3099"/>
        <w:spacing w:after="0" w:line="258" w:lineRule="auto"/>
        <w:rPr>
          <w:sz w:val="20"/>
          <w:szCs w:val="20"/>
          <w:color w:val="auto"/>
        </w:rPr>
      </w:pPr>
      <w:r>
        <w:rPr>
          <w:rFonts w:ascii="Courier New" w:cs="Courier New" w:eastAsia="Courier New" w:hAnsi="Courier New"/>
          <w:sz w:val="15"/>
          <w:szCs w:val="15"/>
          <w:color w:val="auto"/>
        </w:rPr>
        <w:t>Ellwanger also commented, "During 2007, we built upon the 84 percent revenue growth recorded in 2006 by growing revenue an additional 23 percent, achieving annual positive cash flow from operations results for the first time since Fab2 was established, as well as significantly improving the bottom line. In addition, we laid the foundation for future growth by securing the equipment necessary to expand capacity in Fab2 to beyond 30,000 wafer starts per month, while improving operational efficiencies to enable $20 million in cost reductions in 2008, and also securing several significant customers agreements and partnerships that we expect will positively impact our financial results in 2008 and beyond."</w:t>
      </w:r>
    </w:p>
    <w:p>
      <w:pPr>
        <w:spacing w:after="0" w:line="81"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5"/>
          <w:szCs w:val="15"/>
          <w:color w:val="auto"/>
        </w:rPr>
        <w:t>Ellwanger concluded, "In the fourth quarter of 2007, we achieved another record in revenue and wafer shipments. In the midst of an uncertain global economy, our customer demand has remained strong, and we expect our first quarter of 2008 to be in line with normal seasonality. We anticipate that our 2008 first quarter revenue will range between $57 million and $62 million, representing a 3 to 11 percent increase from the $55.6 million in the first quarter of 2007. Furthermore, we anticipate continued growth in 2008 as we install, qualify and release for production our current 0.13 micron capacity ramp."</w:t>
      </w:r>
    </w:p>
    <w:p>
      <w:pPr>
        <w:spacing w:after="0" w:line="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TRANSITION TO U.S. GAAP</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Beginning with the fourth quarter of 2007, the Company elected to present its</w:t>
      </w:r>
    </w:p>
    <w:p>
      <w:pPr>
        <w:sectPr>
          <w:pgSz w:w="11900" w:h="16838" w:orient="portrait"/>
          <w:cols w:equalWidth="0" w:num="1">
            <w:col w:w="10227"/>
          </w:cols>
          <w:pgMar w:left="232" w:top="287" w:right="1440" w:bottom="0" w:gutter="0" w:footer="0" w:header="0"/>
        </w:sectPr>
      </w:pPr>
    </w:p>
    <w:bookmarkStart w:id="3" w:name="page4"/>
    <w:bookmarkEnd w:id="3"/>
    <w:p>
      <w:pPr>
        <w:ind w:right="3019"/>
        <w:spacing w:after="0" w:line="264" w:lineRule="auto"/>
        <w:rPr>
          <w:sz w:val="20"/>
          <w:szCs w:val="20"/>
          <w:color w:val="auto"/>
        </w:rPr>
      </w:pPr>
      <w:r>
        <w:rPr>
          <w:rFonts w:ascii="Courier New" w:cs="Courier New" w:eastAsia="Courier New" w:hAnsi="Courier New"/>
          <w:sz w:val="15"/>
          <w:szCs w:val="15"/>
          <w:color w:val="auto"/>
        </w:rPr>
        <w:t>financial statements in accordance with U.S. GAAP. The change was made as a result of Israel Accounting Standard 29, which stipulates that Israeli public companies that previously reported their financial results based on Israeli GAAP must begin reporting their financial results in accordance with International Financial Reporting Standards (IFRS) for periods beginning on or after January 1, 2008. However, Israeli public companies that are also listed on NASDAQ are allowed to report utilizing U.S. GAAP rather than IFRS.</w:t>
      </w:r>
    </w:p>
    <w:p>
      <w:pPr>
        <w:spacing w:after="0" w:line="79"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The Company elected to use U.S. GAAP to increase transparency and comparability of the Company's financial reports and facilitate research and analysis by shareholders, analysts and other participants in the U.S. capital markets. All historical amounts presented in this release, including the financial tables below, were recast to reflect the application of U.S. GAAP.</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AND YEAR END 2007 FINANCIAL RESULTS CONFERENCE CALL AND WEB CAST</w:t>
      </w:r>
    </w:p>
    <w:p>
      <w:pPr>
        <w:spacing w:after="0" w:line="177"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Tower will host a conference call to discuss these results today, February 6, 2008, at 10:00 a.m. Eastern Time (ET) / 5:00 p.m. Israel time. To participate, please call: 1-888-668-9141 (U.S. toll-free number) or 972-3-918-0609 (international) and mention ID code: TOWER. Callers in Israel are invited to call locally by dialing 03-918-0609. The conference call will also be Web cast live at http://www.earnings.com and at www.towersemi.com and will be available thereafter on both Web sites for replay for 90 days, starting at approximately 2 p.m. ET on the day of the call.</w:t>
      </w:r>
    </w:p>
    <w:p>
      <w:pPr>
        <w:sectPr>
          <w:pgSz w:w="11900" w:h="16838" w:orient="portrait"/>
          <w:cols w:equalWidth="0" w:num="1">
            <w:col w:w="10219"/>
          </w:cols>
          <w:pgMar w:left="240" w:top="113" w:right="1440" w:bottom="1440" w:gutter="0" w:footer="0" w:header="0"/>
        </w:sectPr>
      </w:pPr>
    </w:p>
    <w:bookmarkStart w:id="4" w:name="page5"/>
    <w:bookmarkEnd w:id="4"/>
    <w:p>
      <w:pPr>
        <w:ind w:right="3019"/>
        <w:spacing w:after="0" w:line="259" w:lineRule="auto"/>
        <w:rPr>
          <w:sz w:val="20"/>
          <w:szCs w:val="20"/>
          <w:color w:val="auto"/>
        </w:rPr>
      </w:pPr>
      <w:r>
        <w:rPr>
          <w:rFonts w:ascii="Courier New" w:cs="Courier New" w:eastAsia="Courier New" w:hAnsi="Courier New"/>
          <w:sz w:val="15"/>
          <w:szCs w:val="15"/>
          <w:color w:val="auto"/>
        </w:rPr>
        <w:t>As used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83"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expenses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77"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ectPr>
          <w:pgSz w:w="11900" w:h="16838" w:orient="portrait"/>
          <w:cols w:equalWidth="0" w:num="1">
            <w:col w:w="10219"/>
          </w:cols>
          <w:pgMar w:left="240" w:top="784" w:right="1440" w:bottom="1440" w:gutter="0" w:footer="0" w:header="0"/>
        </w:sectPr>
      </w:pPr>
    </w:p>
    <w:bookmarkStart w:id="5" w:name="page6"/>
    <w:bookmarkEnd w:id="5"/>
    <w:p>
      <w:pPr>
        <w:ind w:left="8"/>
        <w:spacing w:after="0"/>
        <w:rPr>
          <w:sz w:val="20"/>
          <w:szCs w:val="20"/>
          <w:color w:val="auto"/>
        </w:rPr>
      </w:pPr>
      <w:r>
        <w:rPr>
          <w:rFonts w:ascii="Courier New" w:cs="Courier New" w:eastAsia="Courier New" w:hAnsi="Courier New"/>
          <w:sz w:val="15"/>
          <w:szCs w:val="15"/>
          <w:color w:val="auto"/>
        </w:rPr>
        <w:t>FORWARD LOOKING STATEMENT</w:t>
      </w:r>
    </w:p>
    <w:p>
      <w:pPr>
        <w:spacing w:after="0" w:line="177"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therefore, (ii) the cyclical nature of the semiconductor industry and the resulting periodic overcapacity, fluctuations in operating results, future average selling price erosion, (iii) having sufficient funds to satisfy our short-term and long-term debt obligations and other liabilities, (iv) operating our facilities at high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Fab2, the possibility of the government requiring us to repay all or a portion of the grants already received and obtaining the approval of the Israeli Investment Center for a new expansion program, (viii) our ability to accurately forecast financial performance, which is affected by limited order backlog and lengthy sales cycles, (ix) maintaining existing customers and attracting additional customers, (x) not receiving orders from our wafer partners and customers, which can result in excess capacity, (xi) our dependence on a relatively small number of products for a significant portion of our revenue,</w:t>
      </w:r>
    </w:p>
    <w:p>
      <w:pPr>
        <w:spacing w:after="0" w:line="163" w:lineRule="exact"/>
        <w:rPr>
          <w:sz w:val="20"/>
          <w:szCs w:val="20"/>
          <w:color w:val="auto"/>
        </w:rPr>
      </w:pPr>
    </w:p>
    <w:p>
      <w:pPr>
        <w:ind w:left="8" w:right="3019" w:hanging="8"/>
        <w:spacing w:after="0" w:line="262" w:lineRule="auto"/>
        <w:tabs>
          <w:tab w:leader="none" w:pos="54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returns, (xiii) our ability to maintain and develop our technology processes and services to keep pace with new technology, evolving standards, changing customer and end-user requirements, new product introductions and short product life cycles, (xiv) competing effectively, (xv) our large amount of debt and our ability to repay our short-term and long-term debt on a timely basis,</w:t>
      </w:r>
    </w:p>
    <w:p>
      <w:pPr>
        <w:spacing w:after="0" w:line="1" w:lineRule="exact"/>
        <w:rPr>
          <w:rFonts w:ascii="Courier New" w:cs="Courier New" w:eastAsia="Courier New" w:hAnsi="Courier New"/>
          <w:sz w:val="14"/>
          <w:szCs w:val="14"/>
          <w:color w:val="auto"/>
        </w:rPr>
      </w:pPr>
    </w:p>
    <w:p>
      <w:pPr>
        <w:ind w:left="8" w:right="3019" w:hanging="8"/>
        <w:spacing w:after="0" w:line="254" w:lineRule="auto"/>
        <w:tabs>
          <w:tab w:leader="none" w:pos="5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achieving acceptable device yields, product performance and delivery times, (xvii) our ability to manufacture products on a timely basis and to purchase the equipment to increase Fab2 capacity beyond 24,000 wafers per month and timely installation thereof, (xviii) our dependence on intellectual property rights of others and our ability to operate our business without infringing others' intellectual property rights, (xix) exposure to inflation, currency exchange and interest rate fluctuations and risks associated with doing business internationally and in Israel and (xx) business interruption due to fire, the security situation in Israel and other events beyond our control.</w:t>
      </w:r>
    </w:p>
    <w:p>
      <w:pPr>
        <w:spacing w:after="0" w:line="87" w:lineRule="exact"/>
        <w:rPr>
          <w:sz w:val="20"/>
          <w:szCs w:val="20"/>
          <w:color w:val="auto"/>
        </w:rPr>
      </w:pPr>
    </w:p>
    <w:p>
      <w:pPr>
        <w:ind w:left="8" w:right="3199"/>
        <w:spacing w:after="0" w:line="262" w:lineRule="auto"/>
        <w:rPr>
          <w:sz w:val="20"/>
          <w:szCs w:val="20"/>
          <w:color w:val="auto"/>
        </w:rPr>
      </w:pPr>
      <w:r>
        <w:rPr>
          <w:rFonts w:ascii="Courier New" w:cs="Courier New" w:eastAsia="Courier New" w:hAnsi="Courier New"/>
          <w:sz w:val="15"/>
          <w:szCs w:val="15"/>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The Company does not intend to update, and expressly disclaims any obligation to update, the information contained in this release.</w:t>
      </w:r>
    </w:p>
    <w:p>
      <w:pPr>
        <w:spacing w:after="0" w:line="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Contact:</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Tower Semiconductor</w:t>
      </w:r>
    </w:p>
    <w:p>
      <w:pPr>
        <w:spacing w:after="0" w:line="31"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Noit Levi, +972 4 604 7066</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noitle@towersemi.com</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Shelton Group</w:t>
      </w:r>
    </w:p>
    <w:p>
      <w:pPr>
        <w:spacing w:after="0" w:line="31"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Ryan Bright, (972) 239-5119 ext. 159</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rbright@sheltongroup.com</w:t>
      </w:r>
    </w:p>
    <w:p>
      <w:pPr>
        <w:sectPr>
          <w:pgSz w:w="11900" w:h="16838" w:orient="portrait"/>
          <w:cols w:equalWidth="0" w:num="1">
            <w:col w:w="10227"/>
          </w:cols>
          <w:pgMar w:left="232" w:top="784" w:right="1440" w:bottom="1440" w:gutter="0" w:footer="0" w:header="0"/>
        </w:sectPr>
      </w:pPr>
    </w:p>
    <w:bookmarkStart w:id="6" w:name="page7"/>
    <w:bookmarkEnd w:id="6"/>
    <w:p>
      <w:pPr>
        <w:jc w:val="center"/>
        <w:ind w:right="311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3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60" w:type="dxa"/>
            <w:vAlign w:val="bottom"/>
          </w:tcPr>
          <w:p>
            <w:pPr>
              <w:ind w:left="2600"/>
              <w:spacing w:after="0"/>
              <w:rPr>
                <w:sz w:val="20"/>
                <w:szCs w:val="20"/>
                <w:color w:val="auto"/>
              </w:rPr>
            </w:pPr>
            <w:r>
              <w:rPr>
                <w:rFonts w:ascii="Courier New" w:cs="Courier New" w:eastAsia="Courier New" w:hAnsi="Courier New"/>
                <w:sz w:val="15"/>
                <w:szCs w:val="15"/>
                <w:color w:val="auto"/>
              </w:rPr>
              <w:t>(DOLLARS IN THOUSANDS)</w:t>
            </w: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DECEMBER 31,</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2007</w:t>
            </w: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2006</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$ 44,536</w:t>
            </w:r>
          </w:p>
        </w:tc>
        <w:tc>
          <w:tcPr>
            <w:tcW w:w="12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$ 40,940</w:t>
            </w: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CASH, CASH EQUIVALENTS AND DEPOSITS</w:t>
            </w:r>
          </w:p>
        </w:tc>
        <w:tc>
          <w:tcPr>
            <w:tcW w:w="11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RECEIVABLE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44,977</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31,498</w:t>
            </w: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OTHER RECEIVABLES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4,748</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5,425</w:t>
            </w: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27,806</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34,763</w:t>
            </w: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OTHER CURRENT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1,580</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1,473</w:t>
            </w:r>
          </w:p>
        </w:tc>
        <w:tc>
          <w:tcPr>
            <w:tcW w:w="0" w:type="dxa"/>
            <w:vAlign w:val="bottom"/>
          </w:tcPr>
          <w:p>
            <w:pPr>
              <w:spacing w:after="0"/>
              <w:rPr>
                <w:sz w:val="1"/>
                <w:szCs w:val="1"/>
                <w:color w:val="auto"/>
              </w:rPr>
            </w:pPr>
          </w:p>
        </w:tc>
      </w:tr>
      <w:tr>
        <w:trPr>
          <w:trHeight w:val="173"/>
        </w:trPr>
        <w:tc>
          <w:tcPr>
            <w:tcW w:w="486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123,647</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114,099</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15,093</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15,325</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502,287</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532,798</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INTANGIBLE ASSETS, NET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34,711</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44,981</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11,044</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6,929</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1080"/>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$686,782</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$714,132</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7,887</w:t>
            </w:r>
          </w:p>
        </w:tc>
        <w:tc>
          <w:tcPr>
            <w:tcW w:w="12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6,902</w:t>
            </w: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CURRENT MATURITIES OF CONVERTIBLE DEBENTURES</w:t>
            </w:r>
          </w:p>
        </w:tc>
        <w:tc>
          <w:tcPr>
            <w:tcW w:w="11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PAYABLE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49,025</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55,128</w:t>
            </w:r>
          </w:p>
        </w:tc>
        <w:tc>
          <w:tcPr>
            <w:tcW w:w="0" w:type="dxa"/>
            <w:vAlign w:val="bottom"/>
          </w:tcPr>
          <w:p>
            <w:pPr>
              <w:spacing w:after="0"/>
              <w:rPr>
                <w:sz w:val="1"/>
                <w:szCs w:val="1"/>
                <w:color w:val="auto"/>
              </w:rPr>
            </w:pPr>
          </w:p>
        </w:tc>
      </w:tr>
      <w:tr>
        <w:trPr>
          <w:trHeight w:val="173"/>
        </w:trPr>
        <w:tc>
          <w:tcPr>
            <w:tcW w:w="4860" w:type="dxa"/>
            <w:vAlign w:val="bottom"/>
          </w:tcPr>
          <w:p>
            <w:pPr>
              <w:ind w:left="620"/>
              <w:spacing w:after="0"/>
              <w:rPr>
                <w:sz w:val="20"/>
                <w:szCs w:val="20"/>
                <w:color w:val="auto"/>
              </w:rPr>
            </w:pPr>
            <w:r>
              <w:rPr>
                <w:rFonts w:ascii="Courier New" w:cs="Courier New" w:eastAsia="Courier New" w:hAnsi="Courier New"/>
                <w:sz w:val="15"/>
                <w:szCs w:val="15"/>
                <w:color w:val="auto"/>
              </w:rPr>
              <w:t>OTHER CURRENT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20,024</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22,096</w:t>
            </w:r>
          </w:p>
        </w:tc>
        <w:tc>
          <w:tcPr>
            <w:tcW w:w="0" w:type="dxa"/>
            <w:vAlign w:val="bottom"/>
          </w:tcPr>
          <w:p>
            <w:pPr>
              <w:spacing w:after="0"/>
              <w:rPr>
                <w:sz w:val="1"/>
                <w:szCs w:val="1"/>
                <w:color w:val="auto"/>
              </w:rPr>
            </w:pPr>
          </w:p>
        </w:tc>
      </w:tr>
      <w:tr>
        <w:trPr>
          <w:trHeight w:val="173"/>
        </w:trPr>
        <w:tc>
          <w:tcPr>
            <w:tcW w:w="486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TOTAL CURRENT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860" w:type="dxa"/>
            <w:vAlign w:val="bottom"/>
            <w:vMerge w:val="continue"/>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76,936</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84,126</w:t>
            </w:r>
          </w:p>
        </w:tc>
        <w:tc>
          <w:tcPr>
            <w:tcW w:w="0" w:type="dxa"/>
            <w:vAlign w:val="bottom"/>
          </w:tcPr>
          <w:p>
            <w:pPr>
              <w:spacing w:after="0"/>
              <w:rPr>
                <w:sz w:val="1"/>
                <w:szCs w:val="1"/>
                <w:color w:val="auto"/>
              </w:rPr>
            </w:pPr>
          </w:p>
        </w:tc>
      </w:tr>
      <w:tr>
        <w:trPr>
          <w:trHeight w:val="347"/>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LONG-TERM DEBT FROM BANKS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379,314</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432,430</w:t>
            </w:r>
          </w:p>
        </w:tc>
        <w:tc>
          <w:tcPr>
            <w:tcW w:w="0" w:type="dxa"/>
            <w:vAlign w:val="bottom"/>
          </w:tcPr>
          <w:p>
            <w:pPr>
              <w:spacing w:after="0"/>
              <w:rPr>
                <w:sz w:val="1"/>
                <w:szCs w:val="1"/>
                <w:color w:val="auto"/>
              </w:rPr>
            </w:pPr>
          </w:p>
        </w:tc>
      </w:tr>
      <w:tr>
        <w:trPr>
          <w:trHeight w:val="347"/>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DEBENTURES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117,460</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83,863</w:t>
            </w:r>
          </w:p>
        </w:tc>
        <w:tc>
          <w:tcPr>
            <w:tcW w:w="0" w:type="dxa"/>
            <w:vAlign w:val="bottom"/>
          </w:tcPr>
          <w:p>
            <w:pPr>
              <w:spacing w:after="0"/>
              <w:rPr>
                <w:sz w:val="1"/>
                <w:szCs w:val="1"/>
                <w:color w:val="auto"/>
              </w:rPr>
            </w:pPr>
          </w:p>
        </w:tc>
      </w:tr>
      <w:tr>
        <w:trPr>
          <w:trHeight w:val="347"/>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LONG-TERM CUSTOMERS' ADVANCES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27,983</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46,042</w:t>
            </w: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40,380</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28,155</w:t>
            </w:r>
          </w:p>
        </w:tc>
        <w:tc>
          <w:tcPr>
            <w:tcW w:w="0" w:type="dxa"/>
            <w:vAlign w:val="bottom"/>
          </w:tcPr>
          <w:p>
            <w:pPr>
              <w:spacing w:after="0"/>
              <w:rPr>
                <w:sz w:val="1"/>
                <w:szCs w:val="1"/>
                <w:color w:val="auto"/>
              </w:rPr>
            </w:pPr>
          </w:p>
        </w:tc>
      </w:tr>
      <w:tr>
        <w:trPr>
          <w:trHeight w:val="173"/>
        </w:trPr>
        <w:tc>
          <w:tcPr>
            <w:tcW w:w="486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TOTAL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642,073</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674,616</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44,709</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39,516</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9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$686,782</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$714,132</w:t>
            </w: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2"/>
                <w:szCs w:val="22"/>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784" w:right="1440" w:bottom="1440" w:gutter="0" w:footer="0" w:header="0"/>
        </w:sectPr>
      </w:pPr>
    </w:p>
    <w:bookmarkStart w:id="7" w:name="page8"/>
    <w:bookmarkEnd w:id="7"/>
    <w:p>
      <w:pPr>
        <w:jc w:val="center"/>
        <w:ind w:right="39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3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4"/>
        </w:trPr>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YEAR ENDED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MONTHS ENDED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DECEMBER 31,</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tcPr>
          <w:p>
            <w:pPr>
              <w:ind w:left="94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vMerge w:val="restart"/>
          </w:tcPr>
          <w:p>
            <w:pPr>
              <w:ind w:left="18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2007</w:t>
            </w:r>
          </w:p>
        </w:tc>
        <w:tc>
          <w:tcPr>
            <w:tcW w:w="122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10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2005</w:t>
            </w:r>
          </w:p>
        </w:tc>
        <w:tc>
          <w:tcPr>
            <w:tcW w:w="360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2007</w:t>
            </w:r>
          </w:p>
        </w:tc>
        <w:tc>
          <w:tcPr>
            <w:tcW w:w="180" w:type="dxa"/>
            <w:vAlign w:val="bottom"/>
          </w:tcPr>
          <w:p>
            <w:pPr>
              <w:spacing w:after="0"/>
              <w:rPr>
                <w:sz w:val="15"/>
                <w:szCs w:val="15"/>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2005</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9"/>
              </w:rPr>
              <w:t>---------</w:t>
            </w:r>
            <w:r>
              <w:rPr>
                <w:rFonts w:ascii="Courier New" w:cs="Courier New" w:eastAsia="Courier New" w:hAnsi="Courier New"/>
                <w:sz w:val="30"/>
                <w:szCs w:val="30"/>
                <w:color w:val="auto"/>
                <w:w w:val="89"/>
                <w:vertAlign w:val="subscript"/>
              </w:rPr>
              <w:t>GAAP</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GAAP</w:t>
            </w:r>
          </w:p>
        </w:tc>
        <w:tc>
          <w:tcPr>
            <w:tcW w:w="320" w:type="dxa"/>
            <w:vAlign w:val="bottom"/>
          </w:tcPr>
          <w:p>
            <w:pPr>
              <w:spacing w:after="0"/>
              <w:rPr>
                <w:sz w:val="15"/>
                <w:szCs w:val="15"/>
                <w:color w:val="auto"/>
              </w:rPr>
            </w:pPr>
          </w:p>
        </w:tc>
        <w:tc>
          <w:tcPr>
            <w:tcW w:w="10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GAAP</w:t>
            </w:r>
          </w:p>
        </w:tc>
        <w:tc>
          <w:tcPr>
            <w:tcW w:w="180" w:type="dxa"/>
            <w:vAlign w:val="bottom"/>
          </w:tcPr>
          <w:p>
            <w:pPr>
              <w:spacing w:after="0"/>
              <w:rPr>
                <w:sz w:val="15"/>
                <w:szCs w:val="15"/>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GAAP</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tcPr>
          <w:p>
            <w:pPr>
              <w:ind w:left="94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$ 230,853</w:t>
            </w:r>
          </w:p>
        </w:tc>
        <w:tc>
          <w:tcPr>
            <w:tcW w:w="12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$ 187,438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93,991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61,618</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05"/>
              <w:spacing w:after="0"/>
              <w:rPr>
                <w:sz w:val="20"/>
                <w:szCs w:val="20"/>
                <w:color w:val="auto"/>
              </w:rPr>
            </w:pPr>
            <w:r>
              <w:rPr>
                <w:rFonts w:ascii="Courier New" w:cs="Courier New" w:eastAsia="Courier New" w:hAnsi="Courier New"/>
                <w:sz w:val="15"/>
                <w:szCs w:val="15"/>
                <w:color w:val="auto"/>
              </w:rPr>
              <w:t>55,505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31,063</w:t>
            </w:r>
          </w:p>
        </w:tc>
        <w:tc>
          <w:tcPr>
            <w:tcW w:w="0" w:type="dxa"/>
            <w:vAlign w:val="bottom"/>
          </w:tcPr>
          <w:p>
            <w:pPr>
              <w:spacing w:after="0"/>
              <w:rPr>
                <w:sz w:val="1"/>
                <w:szCs w:val="1"/>
                <w:color w:val="auto"/>
              </w:rPr>
            </w:pPr>
          </w:p>
        </w:tc>
      </w:tr>
      <w:tr>
        <w:trPr>
          <w:trHeight w:val="173"/>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SALES</w:t>
            </w:r>
          </w:p>
        </w:tc>
        <w:tc>
          <w:tcPr>
            <w:tcW w:w="1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REVENUES RELATED TO A JOINT</w:t>
            </w:r>
          </w:p>
        </w:tc>
        <w:tc>
          <w:tcPr>
            <w:tcW w:w="13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8,000</w:t>
            </w:r>
          </w:p>
        </w:tc>
        <w:tc>
          <w:tcPr>
            <w:tcW w:w="320" w:type="dxa"/>
            <w:vAlign w:val="bottom"/>
          </w:tcPr>
          <w:p>
            <w:pPr>
              <w:spacing w:after="0"/>
              <w:rPr>
                <w:sz w:val="15"/>
                <w:szCs w:val="15"/>
                <w:color w:val="auto"/>
              </w:rPr>
            </w:pPr>
          </w:p>
        </w:tc>
        <w:tc>
          <w:tcPr>
            <w:tcW w:w="108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vMerge w:val="restart"/>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ind w:left="620"/>
              <w:spacing w:after="0"/>
              <w:rPr>
                <w:sz w:val="20"/>
                <w:szCs w:val="20"/>
                <w:color w:val="auto"/>
              </w:rPr>
            </w:pPr>
            <w:r>
              <w:rPr>
                <w:rFonts w:ascii="Courier New" w:cs="Courier New" w:eastAsia="Courier New" w:hAnsi="Courier New"/>
                <w:sz w:val="15"/>
                <w:szCs w:val="15"/>
                <w:color w:val="auto"/>
              </w:rPr>
              <w:t>DEVELOPMENT AGREEMENT</w:t>
            </w:r>
          </w:p>
        </w:tc>
        <w:tc>
          <w:tcPr>
            <w:tcW w:w="1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60" w:type="dxa"/>
            <w:vAlign w:val="bottom"/>
            <w:vMerge w:val="restart"/>
          </w:tcPr>
          <w:p>
            <w:pPr>
              <w:jc w:val="right"/>
              <w:ind w:right="28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230,853</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187,438</w:t>
            </w:r>
          </w:p>
        </w:tc>
        <w:tc>
          <w:tcPr>
            <w:tcW w:w="220" w:type="dxa"/>
            <w:vAlign w:val="bottom"/>
          </w:tcPr>
          <w:p>
            <w:pPr>
              <w:spacing w:after="0"/>
              <w:rPr>
                <w:sz w:val="23"/>
                <w:szCs w:val="23"/>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101,991</w:t>
            </w:r>
          </w:p>
        </w:tc>
        <w:tc>
          <w:tcPr>
            <w:tcW w:w="320" w:type="dxa"/>
            <w:vAlign w:val="bottom"/>
          </w:tcPr>
          <w:p>
            <w:pPr>
              <w:spacing w:after="0"/>
              <w:rPr>
                <w:sz w:val="23"/>
                <w:szCs w:val="23"/>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61,618</w:t>
            </w:r>
          </w:p>
        </w:tc>
        <w:tc>
          <w:tcPr>
            <w:tcW w:w="180" w:type="dxa"/>
            <w:vAlign w:val="bottom"/>
          </w:tcPr>
          <w:p>
            <w:pPr>
              <w:spacing w:after="0"/>
              <w:rPr>
                <w:sz w:val="23"/>
                <w:szCs w:val="23"/>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55,505</w:t>
            </w:r>
          </w:p>
        </w:tc>
        <w:tc>
          <w:tcPr>
            <w:tcW w:w="220" w:type="dxa"/>
            <w:vAlign w:val="bottom"/>
          </w:tcPr>
          <w:p>
            <w:pPr>
              <w:spacing w:after="0"/>
              <w:rPr>
                <w:sz w:val="23"/>
                <w:szCs w:val="23"/>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31,063</w:t>
            </w:r>
          </w:p>
        </w:tc>
        <w:tc>
          <w:tcPr>
            <w:tcW w:w="0" w:type="dxa"/>
            <w:vAlign w:val="bottom"/>
          </w:tcPr>
          <w:p>
            <w:pPr>
              <w:spacing w:after="0"/>
              <w:rPr>
                <w:sz w:val="1"/>
                <w:szCs w:val="1"/>
                <w:color w:val="auto"/>
              </w:rPr>
            </w:pPr>
          </w:p>
        </w:tc>
      </w:tr>
      <w:tr>
        <w:trPr>
          <w:trHeight w:val="25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284,771</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267,520</w:t>
            </w:r>
          </w:p>
        </w:tc>
        <w:tc>
          <w:tcPr>
            <w:tcW w:w="220" w:type="dxa"/>
            <w:vAlign w:val="bottom"/>
          </w:tcPr>
          <w:p>
            <w:pPr>
              <w:spacing w:after="0"/>
              <w:rPr>
                <w:sz w:val="21"/>
                <w:szCs w:val="21"/>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238,358</w:t>
            </w:r>
          </w:p>
        </w:tc>
        <w:tc>
          <w:tcPr>
            <w:tcW w:w="320" w:type="dxa"/>
            <w:vAlign w:val="bottom"/>
          </w:tcPr>
          <w:p>
            <w:pPr>
              <w:spacing w:after="0"/>
              <w:rPr>
                <w:sz w:val="21"/>
                <w:szCs w:val="21"/>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73,563</w:t>
            </w:r>
          </w:p>
        </w:tc>
        <w:tc>
          <w:tcPr>
            <w:tcW w:w="180" w:type="dxa"/>
            <w:vAlign w:val="bottom"/>
          </w:tcPr>
          <w:p>
            <w:pPr>
              <w:spacing w:after="0"/>
              <w:rPr>
                <w:sz w:val="21"/>
                <w:szCs w:val="21"/>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72,756</w:t>
            </w:r>
          </w:p>
        </w:tc>
        <w:tc>
          <w:tcPr>
            <w:tcW w:w="220" w:type="dxa"/>
            <w:vAlign w:val="bottom"/>
          </w:tcPr>
          <w:p>
            <w:pPr>
              <w:spacing w:after="0"/>
              <w:rPr>
                <w:sz w:val="21"/>
                <w:szCs w:val="21"/>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58,760</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tcPr>
          <w:p>
            <w:pPr>
              <w:ind w:left="620"/>
              <w:spacing w:after="0"/>
              <w:rPr>
                <w:sz w:val="20"/>
                <w:szCs w:val="20"/>
                <w:color w:val="auto"/>
              </w:rPr>
            </w:pPr>
            <w:r>
              <w:rPr>
                <w:rFonts w:ascii="Courier New" w:cs="Courier New" w:eastAsia="Courier New" w:hAnsi="Courier New"/>
                <w:sz w:val="15"/>
                <w:szCs w:val="15"/>
                <w:color w:val="auto"/>
              </w:rPr>
              <w:t>GROSS LOSS</w:t>
            </w:r>
          </w:p>
        </w:tc>
        <w:tc>
          <w:tcPr>
            <w:tcW w:w="13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(53,918)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(80,082)</w:t>
            </w:r>
          </w:p>
        </w:tc>
        <w:tc>
          <w:tcPr>
            <w:tcW w:w="220" w:type="dxa"/>
            <w:vAlign w:val="bottom"/>
          </w:tcPr>
          <w:p>
            <w:pPr>
              <w:spacing w:after="0"/>
              <w:rPr>
                <w:sz w:val="23"/>
                <w:szCs w:val="23"/>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(136,367)</w:t>
            </w:r>
          </w:p>
        </w:tc>
        <w:tc>
          <w:tcPr>
            <w:tcW w:w="320" w:type="dxa"/>
            <w:vAlign w:val="bottom"/>
          </w:tcPr>
          <w:p>
            <w:pPr>
              <w:spacing w:after="0"/>
              <w:rPr>
                <w:sz w:val="23"/>
                <w:szCs w:val="23"/>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(11,945)</w:t>
            </w:r>
          </w:p>
        </w:tc>
        <w:tc>
          <w:tcPr>
            <w:tcW w:w="180" w:type="dxa"/>
            <w:vAlign w:val="bottom"/>
          </w:tcPr>
          <w:p>
            <w:pPr>
              <w:spacing w:after="0"/>
              <w:rPr>
                <w:sz w:val="23"/>
                <w:szCs w:val="23"/>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(17,251)</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(27,697)</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13,790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15,048</w:t>
            </w:r>
          </w:p>
        </w:tc>
        <w:tc>
          <w:tcPr>
            <w:tcW w:w="220" w:type="dxa"/>
            <w:vAlign w:val="bottom"/>
          </w:tcPr>
          <w:p>
            <w:pPr>
              <w:spacing w:after="0"/>
              <w:rPr>
                <w:sz w:val="23"/>
                <w:szCs w:val="23"/>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16,029</w:t>
            </w:r>
          </w:p>
        </w:tc>
        <w:tc>
          <w:tcPr>
            <w:tcW w:w="320" w:type="dxa"/>
            <w:vAlign w:val="bottom"/>
          </w:tcPr>
          <w:p>
            <w:pPr>
              <w:spacing w:after="0"/>
              <w:rPr>
                <w:sz w:val="23"/>
                <w:szCs w:val="23"/>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3,499</w:t>
            </w:r>
          </w:p>
        </w:tc>
        <w:tc>
          <w:tcPr>
            <w:tcW w:w="180" w:type="dxa"/>
            <w:vAlign w:val="bottom"/>
          </w:tcPr>
          <w:p>
            <w:pPr>
              <w:spacing w:after="0"/>
              <w:rPr>
                <w:sz w:val="23"/>
                <w:szCs w:val="23"/>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3,893</w:t>
            </w:r>
          </w:p>
        </w:tc>
        <w:tc>
          <w:tcPr>
            <w:tcW w:w="220" w:type="dxa"/>
            <w:vAlign w:val="bottom"/>
          </w:tcPr>
          <w:p>
            <w:pPr>
              <w:spacing w:after="0"/>
              <w:rPr>
                <w:sz w:val="23"/>
                <w:szCs w:val="23"/>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3,180</w:t>
            </w:r>
          </w:p>
        </w:tc>
        <w:tc>
          <w:tcPr>
            <w:tcW w:w="0" w:type="dxa"/>
            <w:vAlign w:val="bottom"/>
          </w:tcPr>
          <w:p>
            <w:pPr>
              <w:spacing w:after="0"/>
              <w:rPr>
                <w:sz w:val="1"/>
                <w:szCs w:val="1"/>
                <w:color w:val="auto"/>
              </w:rPr>
            </w:pPr>
          </w:p>
        </w:tc>
      </w:tr>
      <w:tr>
        <w:trPr>
          <w:trHeight w:val="173"/>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MARKETING, GENERAL AND ADMINISTRATIVE</w:t>
            </w: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31,604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25,831</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17,418</w:t>
            </w:r>
          </w:p>
        </w:tc>
        <w:tc>
          <w:tcPr>
            <w:tcW w:w="320" w:type="dxa"/>
            <w:vAlign w:val="bottom"/>
          </w:tcPr>
          <w:p>
            <w:pPr>
              <w:spacing w:after="0"/>
              <w:rPr>
                <w:sz w:val="15"/>
                <w:szCs w:val="15"/>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7,884</w:t>
            </w:r>
          </w:p>
        </w:tc>
        <w:tc>
          <w:tcPr>
            <w:tcW w:w="18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6,732</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3,937</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45,394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40,879</w:t>
            </w:r>
          </w:p>
        </w:tc>
        <w:tc>
          <w:tcPr>
            <w:tcW w:w="220" w:type="dxa"/>
            <w:vAlign w:val="bottom"/>
          </w:tcPr>
          <w:p>
            <w:pPr>
              <w:spacing w:after="0"/>
              <w:rPr>
                <w:sz w:val="23"/>
                <w:szCs w:val="23"/>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33,447</w:t>
            </w:r>
          </w:p>
        </w:tc>
        <w:tc>
          <w:tcPr>
            <w:tcW w:w="320" w:type="dxa"/>
            <w:vAlign w:val="bottom"/>
          </w:tcPr>
          <w:p>
            <w:pPr>
              <w:spacing w:after="0"/>
              <w:rPr>
                <w:sz w:val="23"/>
                <w:szCs w:val="23"/>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11,383</w:t>
            </w:r>
          </w:p>
        </w:tc>
        <w:tc>
          <w:tcPr>
            <w:tcW w:w="180" w:type="dxa"/>
            <w:vAlign w:val="bottom"/>
          </w:tcPr>
          <w:p>
            <w:pPr>
              <w:spacing w:after="0"/>
              <w:rPr>
                <w:sz w:val="23"/>
                <w:szCs w:val="23"/>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10,625</w:t>
            </w:r>
          </w:p>
        </w:tc>
        <w:tc>
          <w:tcPr>
            <w:tcW w:w="220" w:type="dxa"/>
            <w:vAlign w:val="bottom"/>
          </w:tcPr>
          <w:p>
            <w:pPr>
              <w:spacing w:after="0"/>
              <w:rPr>
                <w:sz w:val="23"/>
                <w:szCs w:val="23"/>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7,117</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3860" w:type="dxa"/>
            <w:vAlign w:val="bottom"/>
          </w:tcPr>
          <w:p>
            <w:pPr>
              <w:ind w:left="620"/>
              <w:spacing w:after="0"/>
              <w:rPr>
                <w:sz w:val="20"/>
                <w:szCs w:val="20"/>
                <w:color w:val="auto"/>
              </w:rPr>
            </w:pPr>
            <w:r>
              <w:rPr>
                <w:rFonts w:ascii="Courier New" w:cs="Courier New" w:eastAsia="Courier New" w:hAnsi="Courier New"/>
                <w:sz w:val="15"/>
                <w:szCs w:val="15"/>
                <w:color w:val="auto"/>
              </w:rPr>
              <w:t>OPERATING LOSS</w:t>
            </w:r>
          </w:p>
        </w:tc>
        <w:tc>
          <w:tcPr>
            <w:tcW w:w="13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(99,312)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(120,961)</w:t>
            </w:r>
          </w:p>
        </w:tc>
        <w:tc>
          <w:tcPr>
            <w:tcW w:w="22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(169,814)</w:t>
            </w:r>
          </w:p>
        </w:tc>
        <w:tc>
          <w:tcPr>
            <w:tcW w:w="32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(23,328)</w:t>
            </w:r>
          </w:p>
        </w:tc>
        <w:tc>
          <w:tcPr>
            <w:tcW w:w="180" w:type="dxa"/>
            <w:vAlign w:val="bottom"/>
          </w:tcPr>
          <w:p>
            <w:pPr>
              <w:spacing w:after="0"/>
              <w:rPr>
                <w:sz w:val="24"/>
                <w:szCs w:val="2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(27,876)</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(34,814)</w:t>
            </w:r>
          </w:p>
        </w:tc>
        <w:tc>
          <w:tcPr>
            <w:tcW w:w="0" w:type="dxa"/>
            <w:vAlign w:val="bottom"/>
          </w:tcPr>
          <w:p>
            <w:pPr>
              <w:spacing w:after="0"/>
              <w:rPr>
                <w:sz w:val="1"/>
                <w:szCs w:val="1"/>
                <w:color w:val="auto"/>
              </w:rPr>
            </w:pP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13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(34,976)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(47,563)</w:t>
            </w:r>
          </w:p>
        </w:tc>
        <w:tc>
          <w:tcPr>
            <w:tcW w:w="22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(35,651)</w:t>
            </w:r>
          </w:p>
        </w:tc>
        <w:tc>
          <w:tcPr>
            <w:tcW w:w="32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(1,942)</w:t>
            </w:r>
          </w:p>
        </w:tc>
        <w:tc>
          <w:tcPr>
            <w:tcW w:w="180" w:type="dxa"/>
            <w:vAlign w:val="bottom"/>
          </w:tcPr>
          <w:p>
            <w:pPr>
              <w:spacing w:after="0"/>
              <w:rPr>
                <w:sz w:val="24"/>
                <w:szCs w:val="2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(8,450)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(10,223)</w:t>
            </w: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92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597</w:t>
            </w:r>
          </w:p>
        </w:tc>
        <w:tc>
          <w:tcPr>
            <w:tcW w:w="220" w:type="dxa"/>
            <w:vAlign w:val="bottom"/>
          </w:tcPr>
          <w:p>
            <w:pPr>
              <w:spacing w:after="0"/>
              <w:rPr>
                <w:sz w:val="23"/>
                <w:szCs w:val="23"/>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2,383</w:t>
            </w:r>
          </w:p>
        </w:tc>
        <w:tc>
          <w:tcPr>
            <w:tcW w:w="320" w:type="dxa"/>
            <w:vAlign w:val="bottom"/>
          </w:tcPr>
          <w:p>
            <w:pPr>
              <w:spacing w:after="0"/>
              <w:rPr>
                <w:sz w:val="23"/>
                <w:szCs w:val="23"/>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23"/>
                <w:szCs w:val="23"/>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tcPr>
          <w:p>
            <w:pPr>
              <w:ind w:left="620"/>
              <w:spacing w:after="0"/>
              <w:rPr>
                <w:sz w:val="20"/>
                <w:szCs w:val="20"/>
                <w:color w:val="auto"/>
              </w:rPr>
            </w:pPr>
            <w:r>
              <w:rPr>
                <w:rFonts w:ascii="Courier New" w:cs="Courier New" w:eastAsia="Courier New" w:hAnsi="Courier New"/>
                <w:sz w:val="15"/>
                <w:szCs w:val="15"/>
                <w:color w:val="auto"/>
              </w:rPr>
              <w:t>LOSS FOR THE PERIOD</w:t>
            </w:r>
          </w:p>
        </w:tc>
        <w:tc>
          <w:tcPr>
            <w:tcW w:w="13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$(134,196)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$(167,927)</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$(203,082)</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(25,251)</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(36,326)</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(45,172)</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LOSS PER SHARE</w:t>
            </w:r>
          </w:p>
        </w:tc>
        <w:tc>
          <w:tcPr>
            <w:tcW w:w="13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(1.13)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(0.68)</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ORDINARY</w:t>
            </w:r>
          </w:p>
        </w:tc>
        <w:tc>
          <w:tcPr>
            <w:tcW w:w="13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118,857</w:t>
            </w:r>
          </w:p>
        </w:tc>
        <w:tc>
          <w:tcPr>
            <w:tcW w:w="12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82,581</w:t>
            </w:r>
          </w:p>
        </w:tc>
        <w:tc>
          <w:tcPr>
            <w:tcW w:w="220" w:type="dxa"/>
            <w:vAlign w:val="bottom"/>
          </w:tcPr>
          <w:p>
            <w:pPr>
              <w:spacing w:after="0"/>
              <w:rPr>
                <w:sz w:val="23"/>
                <w:szCs w:val="23"/>
                <w:color w:val="auto"/>
              </w:rPr>
            </w:pPr>
          </w:p>
        </w:tc>
        <w:tc>
          <w:tcPr>
            <w:tcW w:w="10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66,371</w:t>
            </w:r>
          </w:p>
        </w:tc>
        <w:tc>
          <w:tcPr>
            <w:tcW w:w="320" w:type="dxa"/>
            <w:vAlign w:val="bottom"/>
          </w:tcPr>
          <w:p>
            <w:pPr>
              <w:spacing w:after="0"/>
              <w:rPr>
                <w:sz w:val="23"/>
                <w:szCs w:val="23"/>
                <w:color w:val="auto"/>
              </w:rPr>
            </w:pPr>
          </w:p>
        </w:tc>
        <w:tc>
          <w:tcPr>
            <w:tcW w:w="108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124,120</w:t>
            </w:r>
          </w:p>
        </w:tc>
        <w:tc>
          <w:tcPr>
            <w:tcW w:w="180" w:type="dxa"/>
            <w:vAlign w:val="bottom"/>
          </w:tcPr>
          <w:p>
            <w:pPr>
              <w:spacing w:after="0"/>
              <w:rPr>
                <w:sz w:val="23"/>
                <w:szCs w:val="23"/>
                <w:color w:val="auto"/>
              </w:rPr>
            </w:pPr>
          </w:p>
        </w:tc>
        <w:tc>
          <w:tcPr>
            <w:tcW w:w="1040" w:type="dxa"/>
            <w:vAlign w:val="bottom"/>
            <w:vMerge w:val="restart"/>
          </w:tcPr>
          <w:p>
            <w:pPr>
              <w:jc w:val="right"/>
              <w:ind w:right="305"/>
              <w:spacing w:after="0"/>
              <w:rPr>
                <w:sz w:val="20"/>
                <w:szCs w:val="20"/>
                <w:color w:val="auto"/>
              </w:rPr>
            </w:pPr>
            <w:r>
              <w:rPr>
                <w:rFonts w:ascii="Courier New" w:cs="Courier New" w:eastAsia="Courier New" w:hAnsi="Courier New"/>
                <w:sz w:val="15"/>
                <w:szCs w:val="15"/>
                <w:color w:val="auto"/>
              </w:rPr>
              <w:t>94,373</w:t>
            </w:r>
          </w:p>
        </w:tc>
        <w:tc>
          <w:tcPr>
            <w:tcW w:w="220" w:type="dxa"/>
            <w:vAlign w:val="bottom"/>
          </w:tcPr>
          <w:p>
            <w:pPr>
              <w:spacing w:after="0"/>
              <w:rPr>
                <w:sz w:val="23"/>
                <w:szCs w:val="23"/>
                <w:color w:val="auto"/>
              </w:rPr>
            </w:pP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66,905</w:t>
            </w:r>
          </w:p>
        </w:tc>
        <w:tc>
          <w:tcPr>
            <w:tcW w:w="0" w:type="dxa"/>
            <w:vAlign w:val="bottom"/>
          </w:tcPr>
          <w:p>
            <w:pPr>
              <w:spacing w:after="0"/>
              <w:rPr>
                <w:sz w:val="1"/>
                <w:szCs w:val="1"/>
                <w:color w:val="auto"/>
              </w:rPr>
            </w:pPr>
          </w:p>
        </w:tc>
      </w:tr>
      <w:tr>
        <w:trPr>
          <w:trHeight w:val="173"/>
        </w:trPr>
        <w:tc>
          <w:tcPr>
            <w:tcW w:w="3860" w:type="dxa"/>
            <w:vAlign w:val="bottom"/>
          </w:tcPr>
          <w:p>
            <w:pPr>
              <w:ind w:left="620"/>
              <w:spacing w:after="0"/>
              <w:rPr>
                <w:sz w:val="20"/>
                <w:szCs w:val="20"/>
                <w:color w:val="auto"/>
              </w:rPr>
            </w:pPr>
            <w:r>
              <w:rPr>
                <w:rFonts w:ascii="Courier New" w:cs="Courier New" w:eastAsia="Courier New" w:hAnsi="Courier New"/>
                <w:sz w:val="15"/>
                <w:szCs w:val="15"/>
                <w:color w:val="auto"/>
              </w:rPr>
              <w:t>SHARES OUTSTANDING - IN THOUSANDS</w:t>
            </w:r>
          </w:p>
        </w:tc>
        <w:tc>
          <w:tcPr>
            <w:tcW w:w="1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36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260"/>
          </w:cols>
          <w:pgMar w:left="240" w:top="784" w:right="399" w:bottom="1440" w:gutter="0" w:footer="0" w:header="0"/>
        </w:sectPr>
      </w:pPr>
    </w:p>
    <w:bookmarkStart w:id="8" w:name="page9"/>
    <w:bookmarkEnd w:id="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5500" w:type="dxa"/>
            <w:vAlign w:val="bottom"/>
            <w:gridSpan w:val="4"/>
          </w:tcPr>
          <w:p>
            <w:pPr>
              <w:ind w:left="1880"/>
              <w:spacing w:after="0"/>
              <w:rPr>
                <w:sz w:val="20"/>
                <w:szCs w:val="20"/>
                <w:color w:val="auto"/>
              </w:rPr>
            </w:pPr>
            <w:r>
              <w:rPr>
                <w:rFonts w:ascii="Courier New" w:cs="Courier New" w:eastAsia="Courier New" w:hAnsi="Courier New"/>
                <w:sz w:val="15"/>
                <w:szCs w:val="15"/>
                <w:color w:val="auto"/>
              </w:rPr>
              <w:t>TOWER SEMICONDUCTOR LTD. AND SUBSIDIARY</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RECONCILIATION OF REPORTED GAAP TO</w:t>
            </w:r>
          </w:p>
        </w:tc>
        <w:tc>
          <w:tcPr>
            <w:tcW w:w="1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NON-GAAP</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 STATEMENTS OF OPERATIONS</w:t>
            </w:r>
          </w:p>
        </w:tc>
        <w:tc>
          <w:tcPr>
            <w:tcW w:w="1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8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YEAR ENDED</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 2007</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 2007</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960" w:type="dxa"/>
            <w:vAlign w:val="bottom"/>
            <w:gridSpan w:val="5"/>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DEPRECIATION,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AND STOCK BASED</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AND STOCK BASED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COMPENSATION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NON-GAAP</w:t>
            </w:r>
          </w:p>
        </w:tc>
        <w:tc>
          <w:tcPr>
            <w:tcW w:w="22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EXPENSES (SEE</w:t>
            </w:r>
          </w:p>
        </w:tc>
        <w:tc>
          <w:tcPr>
            <w:tcW w:w="112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GAAP</w:t>
            </w:r>
          </w:p>
        </w:tc>
        <w:tc>
          <w:tcPr>
            <w:tcW w:w="126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NON-GAAP</w:t>
            </w: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EXPENSES (SEE</w:t>
            </w:r>
          </w:p>
        </w:tc>
        <w:tc>
          <w:tcPr>
            <w:tcW w:w="94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GAAP</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A, B, C BELOW)</w:t>
            </w:r>
          </w:p>
        </w:tc>
        <w:tc>
          <w:tcPr>
            <w:tcW w:w="112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 B, C BELOW)</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$ 230,853</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$ 230,853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61,618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61,618</w:t>
            </w: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147,380(A)</w:t>
            </w:r>
          </w:p>
        </w:tc>
        <w:tc>
          <w:tcPr>
            <w:tcW w:w="460" w:type="dxa"/>
            <w:vAlign w:val="bottom"/>
          </w:tcPr>
          <w:p>
            <w:pPr>
              <w:spacing w:after="0"/>
              <w:rPr>
                <w:sz w:val="23"/>
                <w:szCs w:val="23"/>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137,391</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284,771</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38,665(A)</w:t>
            </w:r>
          </w:p>
        </w:tc>
        <w:tc>
          <w:tcPr>
            <w:tcW w:w="500" w:type="dxa"/>
            <w:vAlign w:val="bottom"/>
          </w:tcPr>
          <w:p>
            <w:pPr>
              <w:spacing w:after="0"/>
              <w:rPr>
                <w:sz w:val="23"/>
                <w:szCs w:val="23"/>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34,898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73,563</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GROSS PROFIT (LOSS)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83,473</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(137,391)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(53,918)</w:t>
            </w:r>
          </w:p>
        </w:tc>
        <w:tc>
          <w:tcPr>
            <w:tcW w:w="360" w:type="dxa"/>
            <w:vAlign w:val="bottom"/>
          </w:tcPr>
          <w:p>
            <w:pPr>
              <w:spacing w:after="0"/>
              <w:rPr>
                <w:sz w:val="23"/>
                <w:szCs w:val="23"/>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22,953</w:t>
            </w:r>
          </w:p>
        </w:tc>
        <w:tc>
          <w:tcPr>
            <w:tcW w:w="500" w:type="dxa"/>
            <w:vAlign w:val="bottom"/>
          </w:tcPr>
          <w:p>
            <w:pPr>
              <w:spacing w:after="0"/>
              <w:rPr>
                <w:sz w:val="23"/>
                <w:szCs w:val="23"/>
                <w:color w:val="auto"/>
              </w:rPr>
            </w:pP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(34,898)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(11,945)</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10,391(B)</w:t>
            </w:r>
          </w:p>
        </w:tc>
        <w:tc>
          <w:tcPr>
            <w:tcW w:w="460" w:type="dxa"/>
            <w:vAlign w:val="bottom"/>
          </w:tcPr>
          <w:p>
            <w:pPr>
              <w:spacing w:after="0"/>
              <w:rPr>
                <w:sz w:val="23"/>
                <w:szCs w:val="23"/>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3,399</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13,790</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2,671(B)</w:t>
            </w:r>
          </w:p>
        </w:tc>
        <w:tc>
          <w:tcPr>
            <w:tcW w:w="500" w:type="dxa"/>
            <w:vAlign w:val="bottom"/>
          </w:tcPr>
          <w:p>
            <w:pPr>
              <w:spacing w:after="0"/>
              <w:rPr>
                <w:sz w:val="23"/>
                <w:szCs w:val="23"/>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3,499</w:t>
            </w:r>
          </w:p>
        </w:tc>
        <w:tc>
          <w:tcPr>
            <w:tcW w:w="0" w:type="dxa"/>
            <w:vAlign w:val="bottom"/>
          </w:tcPr>
          <w:p>
            <w:pPr>
              <w:spacing w:after="0"/>
              <w:rPr>
                <w:sz w:val="1"/>
                <w:szCs w:val="1"/>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 &amp; ADMINISTRATIVE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24,201(C)</w:t>
            </w:r>
          </w:p>
        </w:tc>
        <w:tc>
          <w:tcPr>
            <w:tcW w:w="46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7,403</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31,604</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6,324(C)</w:t>
            </w:r>
          </w:p>
        </w:tc>
        <w:tc>
          <w:tcPr>
            <w:tcW w:w="5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7,884</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34,592</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10,802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45,394</w:t>
            </w:r>
          </w:p>
        </w:tc>
        <w:tc>
          <w:tcPr>
            <w:tcW w:w="360" w:type="dxa"/>
            <w:vAlign w:val="bottom"/>
          </w:tcPr>
          <w:p>
            <w:pPr>
              <w:spacing w:after="0"/>
              <w:rPr>
                <w:sz w:val="23"/>
                <w:szCs w:val="23"/>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8,995</w:t>
            </w:r>
          </w:p>
        </w:tc>
        <w:tc>
          <w:tcPr>
            <w:tcW w:w="500" w:type="dxa"/>
            <w:vAlign w:val="bottom"/>
          </w:tcPr>
          <w:p>
            <w:pPr>
              <w:spacing w:after="0"/>
              <w:rPr>
                <w:sz w:val="23"/>
                <w:szCs w:val="23"/>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11,383</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OPERATING PROFIT (LOSS)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48,881</w:t>
            </w:r>
          </w:p>
        </w:tc>
        <w:tc>
          <w:tcPr>
            <w:tcW w:w="220" w:type="dxa"/>
            <w:vAlign w:val="bottom"/>
          </w:tcPr>
          <w:p>
            <w:pPr>
              <w:spacing w:after="0"/>
              <w:rPr>
                <w:sz w:val="23"/>
                <w:szCs w:val="23"/>
                <w:color w:val="auto"/>
              </w:rPr>
            </w:pP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$(148,193)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(99,312)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13,958</w:t>
            </w:r>
          </w:p>
        </w:tc>
        <w:tc>
          <w:tcPr>
            <w:tcW w:w="15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(37,286)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(23,328)</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48" w:right="4400" w:hanging="448"/>
        <w:spacing w:after="0" w:line="27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$136,568 and $34,684 for the year and three months periods ended December 31, 2007, respectively and stock based compensation expenses in the amounts of $823 and $214 for the year and three months periods ended December 31, 2007, respectively.</w:t>
      </w:r>
    </w:p>
    <w:p>
      <w:pPr>
        <w:spacing w:after="0" w:line="70" w:lineRule="exact"/>
        <w:rPr>
          <w:rFonts w:ascii="Courier New" w:cs="Courier New" w:eastAsia="Courier New" w:hAnsi="Courier New"/>
          <w:sz w:val="15"/>
          <w:szCs w:val="15"/>
          <w:color w:val="auto"/>
        </w:rPr>
      </w:pPr>
    </w:p>
    <w:p>
      <w:pPr>
        <w:ind w:left="448" w:right="4500" w:hanging="448"/>
        <w:spacing w:after="0" w:line="27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$2,825 and $719 for the year and three months periods ended December 31, 2007, respectively and stock based compensation expenses in the amounts of $574 and $109 for the year and three months periods ended December 31, 2007, respectively.</w:t>
      </w:r>
    </w:p>
    <w:p>
      <w:pPr>
        <w:spacing w:after="0" w:line="70" w:lineRule="exact"/>
        <w:rPr>
          <w:rFonts w:ascii="Courier New" w:cs="Courier New" w:eastAsia="Courier New" w:hAnsi="Courier New"/>
          <w:sz w:val="15"/>
          <w:szCs w:val="15"/>
          <w:color w:val="auto"/>
        </w:rPr>
      </w:pPr>
    </w:p>
    <w:p>
      <w:pPr>
        <w:ind w:left="448" w:right="4320" w:hanging="448"/>
        <w:spacing w:after="0" w:line="27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$69 and $36 for the year and three months periods ended December 31, 2007, respectively and stock based compensation expenses in the amounts of $7,334 and $1,524 for the year and three months periods ended December 31, 2007, respectively.</w:t>
      </w:r>
    </w:p>
    <w:sectPr>
      <w:pgSz w:w="11900" w:h="16838" w:orient="portrait"/>
      <w:cols w:equalWidth="0" w:num="1">
        <w:col w:w="11528"/>
      </w:cols>
      <w:pgMar w:left="232" w:top="61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Roman"/>
      <w:start w:val="12"/>
    </w:lvl>
  </w:abstractNum>
  <w:abstractNum w:abstractNumId="2">
    <w:nsid w:val="2AE8944A"/>
    <w:multiLevelType w:val="hybridMultilevel"/>
    <w:lvl w:ilvl="0">
      <w:lvlJc w:val="left"/>
      <w:lvlText w:val="(%1)"/>
      <w:numFmt w:val="lowerRoman"/>
      <w:start w:val="1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2019-12-14T04:05:32Z</dcterms:created>
  <dcterms:modified xsi:type="dcterms:W3CDTF">2019-12-14T04:05:32Z</dcterms:modified>
</cp:coreProperties>
</file>