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February 2020 No.1</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4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tabs>
          <w:tab w:leader="none" w:pos="3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7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79" w:lineRule="exact"/>
        <w:rPr>
          <w:sz w:val="24"/>
          <w:szCs w:val="24"/>
          <w:color w:val="auto"/>
        </w:rPr>
      </w:pPr>
    </w:p>
    <w:p>
      <w:pPr>
        <w:ind w:firstLine="639"/>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40"/>
        <w:spacing w:after="0" w:line="207" w:lineRule="exact"/>
        <w:tabs>
          <w:tab w:leader="none" w:pos="3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1" w:name="page2"/>
    <w:bookmarkEnd w:id="1"/>
    <w:p>
      <w:pPr>
        <w:ind w:left="640"/>
        <w:spacing w:after="0"/>
        <w:rPr>
          <w:sz w:val="20"/>
          <w:szCs w:val="20"/>
          <w:color w:val="auto"/>
        </w:rPr>
      </w:pPr>
      <w:r>
        <w:rPr>
          <w:rFonts w:ascii="Arial" w:cs="Arial" w:eastAsia="Arial" w:hAnsi="Arial"/>
          <w:sz w:val="16"/>
          <w:szCs w:val="16"/>
          <w:color w:val="auto"/>
        </w:rPr>
        <w:t>On February 18, 2020, the Registrant announced its fourth quarter and full year 2019 results. Attached hereto is the following exhibit.</w:t>
      </w:r>
    </w:p>
    <w:p>
      <w:pPr>
        <w:spacing w:after="0" w:line="302" w:lineRule="exact"/>
        <w:rPr>
          <w:sz w:val="20"/>
          <w:szCs w:val="20"/>
          <w:color w:val="auto"/>
        </w:rPr>
      </w:pPr>
    </w:p>
    <w:p>
      <w:pPr>
        <w:spacing w:after="0"/>
        <w:tabs>
          <w:tab w:leader="none" w:pos="170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Exhibit 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February 18,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240" w:top="395" w:right="137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6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680" w:val="left"/>
          <w:tab w:leader="none" w:pos="6180" w:val="left"/>
        </w:tabs>
        <w:rPr>
          <w:sz w:val="20"/>
          <w:szCs w:val="20"/>
          <w:color w:val="auto"/>
        </w:rPr>
      </w:pPr>
      <w:r>
        <w:rPr>
          <w:rFonts w:ascii="Arial" w:cs="Arial" w:eastAsia="Arial" w:hAnsi="Arial"/>
          <w:sz w:val="18"/>
          <w:szCs w:val="18"/>
          <w:color w:val="auto"/>
        </w:rPr>
        <w:t>Date: February 18,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Name:Nati Somekh</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20"/>
          </w:cols>
          <w:pgMar w:left="240" w:top="121"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191135</wp:posOffset>
            </wp:positionV>
            <wp:extent cx="1226185" cy="523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618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60"/>
        <w:spacing w:after="0"/>
        <w:rPr>
          <w:sz w:val="20"/>
          <w:szCs w:val="20"/>
          <w:color w:val="auto"/>
        </w:rPr>
      </w:pPr>
      <w:r>
        <w:rPr>
          <w:rFonts w:ascii="Arial" w:cs="Arial" w:eastAsia="Arial" w:hAnsi="Arial"/>
          <w:sz w:val="22"/>
          <w:szCs w:val="22"/>
          <w:b w:val="1"/>
          <w:bCs w:val="1"/>
          <w:color w:val="auto"/>
        </w:rPr>
        <w:t>TowerJazz Reports Full Year 2019 Results with</w:t>
      </w:r>
    </w:p>
    <w:p>
      <w:pPr>
        <w:spacing w:after="0" w:line="2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5% Organic Revenue Growth; Expects Revenue Growth for 2020</w:t>
      </w:r>
    </w:p>
    <w:p>
      <w:pPr>
        <w:spacing w:after="0" w:line="277" w:lineRule="exact"/>
        <w:rPr>
          <w:sz w:val="20"/>
          <w:szCs w:val="20"/>
          <w:color w:val="auto"/>
        </w:rPr>
      </w:pPr>
    </w:p>
    <w:p>
      <w:pPr>
        <w:ind w:left="2540" w:right="2560" w:firstLine="74"/>
        <w:spacing w:after="0" w:line="364" w:lineRule="auto"/>
        <w:rPr>
          <w:sz w:val="20"/>
          <w:szCs w:val="20"/>
          <w:color w:val="auto"/>
        </w:rPr>
      </w:pPr>
      <w:r>
        <w:rPr>
          <w:rFonts w:ascii="Arial" w:cs="Arial" w:eastAsia="Arial" w:hAnsi="Arial"/>
          <w:sz w:val="19"/>
          <w:szCs w:val="19"/>
          <w:b w:val="1"/>
          <w:bCs w:val="1"/>
          <w:color w:val="auto"/>
        </w:rPr>
        <w:t>Full Year 2019 Revenues of $1.23 Billion Resulting in Positive Cash from Operations of $291 Million and Free Cash Flow of $119 Million</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 xml:space="preserve">MIGDAL HAEMEK, ISRAEL – February 18, 2020– </w:t>
      </w:r>
      <w:r>
        <w:rPr>
          <w:rFonts w:ascii="Arial" w:cs="Arial" w:eastAsia="Arial" w:hAnsi="Arial"/>
          <w:sz w:val="22"/>
          <w:szCs w:val="22"/>
          <w:color w:val="auto"/>
        </w:rPr>
        <w:t>TowerJazz (NASDAQ: TSEM &amp; TASE: TSEM) reported today its results</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full year and for the fourth quarter ended December 31, 2019.</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Full Year Results Overview:</w:t>
      </w:r>
    </w:p>
    <w:p>
      <w:pPr>
        <w:spacing w:after="0" w:line="2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b w:val="1"/>
          <w:bCs w:val="1"/>
          <w:color w:val="auto"/>
        </w:rPr>
        <w:t xml:space="preserve">Revenues </w:t>
      </w:r>
      <w:r>
        <w:rPr>
          <w:rFonts w:ascii="Arial" w:cs="Arial" w:eastAsia="Arial" w:hAnsi="Arial"/>
          <w:sz w:val="22"/>
          <w:szCs w:val="22"/>
          <w:color w:val="auto"/>
        </w:rPr>
        <w:t>for 2019 were $1.23 billion as compared to $1.30 billion in 2018, reflecting $111 million non-organic revenue</w:t>
      </w:r>
      <w:r>
        <w:rPr>
          <w:rFonts w:ascii="Arial" w:cs="Arial" w:eastAsia="Arial" w:hAnsi="Arial"/>
          <w:sz w:val="22"/>
          <w:szCs w:val="22"/>
          <w:b w:val="1"/>
          <w:bCs w:val="1"/>
          <w:color w:val="auto"/>
        </w:rPr>
        <w:t xml:space="preserve"> </w:t>
      </w:r>
      <w:r>
        <w:rPr>
          <w:rFonts w:ascii="Arial" w:cs="Arial" w:eastAsia="Arial" w:hAnsi="Arial"/>
          <w:sz w:val="22"/>
          <w:szCs w:val="22"/>
          <w:color w:val="auto"/>
        </w:rPr>
        <w:t>reduction (mainly as a result of the March 2019 announced Panasonic renewed contract), offset by $41 million year over year organic revenue growth (defined as total revenue excluding revenues from Panasonic and revenues from Maxim in the San Antonio fab), reflecting 5% organic revenue growth.</w:t>
      </w:r>
    </w:p>
    <w:p>
      <w:pPr>
        <w:spacing w:after="0" w:line="23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Gross and operating profits </w:t>
      </w:r>
      <w:r>
        <w:rPr>
          <w:rFonts w:ascii="Arial" w:cs="Arial" w:eastAsia="Arial" w:hAnsi="Arial"/>
          <w:sz w:val="22"/>
          <w:szCs w:val="22"/>
          <w:color w:val="auto"/>
        </w:rPr>
        <w:t>for 2019 were $230 million and $87 million, respectively, as compared to $293 million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$155 million, in 2018, respectively; </w:t>
      </w:r>
      <w:r>
        <w:rPr>
          <w:rFonts w:ascii="Arial" w:cs="Arial" w:eastAsia="Arial" w:hAnsi="Arial"/>
          <w:sz w:val="22"/>
          <w:szCs w:val="22"/>
          <w:b w:val="1"/>
          <w:bCs w:val="1"/>
          <w:color w:val="auto"/>
        </w:rPr>
        <w:t>EBITDA</w:t>
      </w:r>
      <w:r>
        <w:rPr>
          <w:rFonts w:ascii="Arial" w:cs="Arial" w:eastAsia="Arial" w:hAnsi="Arial"/>
          <w:sz w:val="22"/>
          <w:szCs w:val="22"/>
          <w:color w:val="auto"/>
        </w:rPr>
        <w:t xml:space="preserve"> for 2019 was $299 million as compared to $362 million in 2018; </w:t>
      </w:r>
      <w:r>
        <w:rPr>
          <w:rFonts w:ascii="Arial" w:cs="Arial" w:eastAsia="Arial" w:hAnsi="Arial"/>
          <w:sz w:val="22"/>
          <w:szCs w:val="22"/>
          <w:b w:val="1"/>
          <w:bCs w:val="1"/>
          <w:color w:val="auto"/>
        </w:rPr>
        <w:t>Net profit</w:t>
      </w:r>
      <w:r>
        <w:rPr>
          <w:rFonts w:ascii="Arial" w:cs="Arial" w:eastAsia="Arial" w:hAnsi="Arial"/>
          <w:sz w:val="22"/>
          <w:szCs w:val="22"/>
          <w:color w:val="auto"/>
        </w:rPr>
        <w:t xml:space="preserve"> for 2019 was $90 million, representing $0.84 diluted earnings per share, as compared to $136 million net profit, or $1.32 diluted earnings per share, in 2018. The margin decrease as compared to 2018 is mainly due to the above described reduction in the non-organic revenue components.</w:t>
      </w:r>
    </w:p>
    <w:p>
      <w:pPr>
        <w:spacing w:after="0" w:line="24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b w:val="1"/>
          <w:bCs w:val="1"/>
          <w:color w:val="auto"/>
        </w:rPr>
        <w:t xml:space="preserve">Cash flow generated from operations </w:t>
      </w:r>
      <w:r>
        <w:rPr>
          <w:rFonts w:ascii="Arial" w:cs="Arial" w:eastAsia="Arial" w:hAnsi="Arial"/>
          <w:sz w:val="22"/>
          <w:szCs w:val="22"/>
          <w:color w:val="auto"/>
        </w:rPr>
        <w:t>in 2019 was $291 million, with $172 million investments in fixed assets, net,</w:t>
      </w:r>
      <w:r>
        <w:rPr>
          <w:rFonts w:ascii="Arial" w:cs="Arial" w:eastAsia="Arial" w:hAnsi="Arial"/>
          <w:sz w:val="22"/>
          <w:szCs w:val="22"/>
          <w:b w:val="1"/>
          <w:bCs w:val="1"/>
          <w:color w:val="auto"/>
        </w:rPr>
        <w:t xml:space="preserve"> </w:t>
      </w:r>
      <w:r>
        <w:rPr>
          <w:rFonts w:ascii="Arial" w:cs="Arial" w:eastAsia="Arial" w:hAnsi="Arial"/>
          <w:sz w:val="22"/>
          <w:szCs w:val="22"/>
          <w:color w:val="auto"/>
        </w:rPr>
        <w:t>resulting in $119 million free cash flow. In 2019, the company repaid $19 million of its debt. In 2018, cash generated from operations was $313 million, with investment in fixed assets, net of $170 million, resulting in $143 million free cash flow. In 2018 the company repaid a net amount of $49 million of its debt.</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Shareholders' equity </w:t>
      </w:r>
      <w:r>
        <w:rPr>
          <w:rFonts w:ascii="Arial" w:cs="Arial" w:eastAsia="Arial" w:hAnsi="Arial"/>
          <w:sz w:val="22"/>
          <w:szCs w:val="22"/>
          <w:color w:val="auto"/>
        </w:rPr>
        <w:t>as of December 31, 2019 was a record of $1.35 billion, as compared to $1.24 billion as of December</w:t>
      </w:r>
      <w:r>
        <w:rPr>
          <w:rFonts w:ascii="Arial" w:cs="Arial" w:eastAsia="Arial" w:hAnsi="Arial"/>
          <w:sz w:val="22"/>
          <w:szCs w:val="22"/>
          <w:b w:val="1"/>
          <w:bCs w:val="1"/>
          <w:color w:val="auto"/>
        </w:rPr>
        <w:t xml:space="preserve"> </w:t>
      </w:r>
      <w:r>
        <w:rPr>
          <w:rFonts w:ascii="Arial" w:cs="Arial" w:eastAsia="Arial" w:hAnsi="Arial"/>
          <w:sz w:val="22"/>
          <w:szCs w:val="22"/>
          <w:color w:val="auto"/>
        </w:rPr>
        <w:t>31, 2018, reflecting 70% from total assets.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Results Overview</w:t>
      </w:r>
    </w:p>
    <w:p>
      <w:pPr>
        <w:spacing w:after="0" w:line="28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b w:val="1"/>
          <w:bCs w:val="1"/>
          <w:color w:val="auto"/>
        </w:rPr>
        <w:t xml:space="preserve">Revenues </w:t>
      </w:r>
      <w:r>
        <w:rPr>
          <w:rFonts w:ascii="Arial" w:cs="Arial" w:eastAsia="Arial" w:hAnsi="Arial"/>
          <w:sz w:val="21"/>
          <w:szCs w:val="21"/>
          <w:color w:val="auto"/>
        </w:rPr>
        <w:t>for the fourth quarter of 2019 were $306 million as compared to $334 million in the fourth quarter of 2018,</w:t>
      </w:r>
      <w:r>
        <w:rPr>
          <w:rFonts w:ascii="Arial" w:cs="Arial" w:eastAsia="Arial" w:hAnsi="Arial"/>
          <w:sz w:val="21"/>
          <w:szCs w:val="21"/>
          <w:b w:val="1"/>
          <w:bCs w:val="1"/>
          <w:color w:val="auto"/>
        </w:rPr>
        <w:t xml:space="preserve"> </w:t>
      </w:r>
      <w:r>
        <w:rPr>
          <w:rFonts w:ascii="Arial" w:cs="Arial" w:eastAsia="Arial" w:hAnsi="Arial"/>
          <w:sz w:val="21"/>
          <w:szCs w:val="21"/>
          <w:color w:val="auto"/>
        </w:rPr>
        <w:t>reflecting $36 million non-organic revenue reduction (mainly as a result of the March 2019 announced Panasonic renewed contract), offset by $8 million year over year organic growth (defined as total revenue excluding revenues from Panasonic in the TPSCo fabs and revenues from Maxim in the San Antonio fab), reflecting 4% organic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4" w:name="page5"/>
    <w:bookmarkEnd w:id="4"/>
    <w:p>
      <w:pPr>
        <w:jc w:val="both"/>
        <w:ind w:firstLine="648"/>
        <w:spacing w:after="0" w:line="308" w:lineRule="auto"/>
        <w:rPr>
          <w:sz w:val="20"/>
          <w:szCs w:val="20"/>
          <w:color w:val="auto"/>
        </w:rPr>
      </w:pPr>
      <w:r>
        <w:rPr>
          <w:rFonts w:ascii="Arial" w:cs="Arial" w:eastAsia="Arial" w:hAnsi="Arial"/>
          <w:sz w:val="19"/>
          <w:szCs w:val="19"/>
          <w:b w:val="1"/>
          <w:bCs w:val="1"/>
          <w:color w:val="auto"/>
        </w:rPr>
        <w:t xml:space="preserve">Gross </w:t>
      </w:r>
      <w:r>
        <w:rPr>
          <w:rFonts w:ascii="Arial" w:cs="Arial" w:eastAsia="Arial" w:hAnsi="Arial"/>
          <w:sz w:val="19"/>
          <w:szCs w:val="19"/>
          <w:color w:val="auto"/>
        </w:rPr>
        <w:t>and</w:t>
      </w:r>
      <w:r>
        <w:rPr>
          <w:rFonts w:ascii="Arial" w:cs="Arial" w:eastAsia="Arial" w:hAnsi="Arial"/>
          <w:sz w:val="19"/>
          <w:szCs w:val="19"/>
          <w:b w:val="1"/>
          <w:bCs w:val="1"/>
          <w:color w:val="auto"/>
        </w:rPr>
        <w:t xml:space="preserve"> operating profits </w:t>
      </w:r>
      <w:r>
        <w:rPr>
          <w:rFonts w:ascii="Arial" w:cs="Arial" w:eastAsia="Arial" w:hAnsi="Arial"/>
          <w:sz w:val="19"/>
          <w:szCs w:val="19"/>
          <w:color w:val="auto"/>
        </w:rPr>
        <w:t>for the fourth quarter of 2019 were $55 million and $19 million, respectively, as compared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$58 million and $23 million respectively, in the prior quarter, and as compared to $76 million and $40 million respectively, in the fourth quarter of 2018; </w:t>
      </w:r>
      <w:r>
        <w:rPr>
          <w:rFonts w:ascii="Arial" w:cs="Arial" w:eastAsia="Arial" w:hAnsi="Arial"/>
          <w:sz w:val="19"/>
          <w:szCs w:val="19"/>
          <w:b w:val="1"/>
          <w:bCs w:val="1"/>
          <w:color w:val="auto"/>
        </w:rPr>
        <w:t>EBITDA</w:t>
      </w:r>
      <w:r>
        <w:rPr>
          <w:rFonts w:ascii="Arial" w:cs="Arial" w:eastAsia="Arial" w:hAnsi="Arial"/>
          <w:sz w:val="19"/>
          <w:szCs w:val="19"/>
          <w:color w:val="auto"/>
        </w:rPr>
        <w:t xml:space="preserve"> for the fourth quarter of 2019 was $75 million, as compared to $75 million in the prior quarter and to $93 million in the fourth quarter of 2018; </w:t>
      </w:r>
      <w:r>
        <w:rPr>
          <w:rFonts w:ascii="Arial" w:cs="Arial" w:eastAsia="Arial" w:hAnsi="Arial"/>
          <w:sz w:val="19"/>
          <w:szCs w:val="19"/>
          <w:b w:val="1"/>
          <w:bCs w:val="1"/>
          <w:color w:val="auto"/>
        </w:rPr>
        <w:t>Net profit</w:t>
      </w:r>
      <w:r>
        <w:rPr>
          <w:rFonts w:ascii="Arial" w:cs="Arial" w:eastAsia="Arial" w:hAnsi="Arial"/>
          <w:sz w:val="19"/>
          <w:szCs w:val="19"/>
          <w:color w:val="auto"/>
        </w:rPr>
        <w:t xml:space="preserve"> for the fourth quarter of 2019 was $21 million, or $0.19 basic and diluted earnings per share, as compared to $22 million or $0.21 basic and diluted earnings per share in the prior quarter. Net profit for the fourth quarter of 2018 was $38 million, or $0.36 diluted earnings per share. The margin decrease, as compared to 2018, is mainly due to the above described reduction in the non-organic revenue components.</w:t>
      </w:r>
    </w:p>
    <w:p>
      <w:pPr>
        <w:spacing w:after="0" w:line="19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b w:val="1"/>
          <w:bCs w:val="1"/>
          <w:color w:val="auto"/>
        </w:rPr>
        <w:t xml:space="preserve">Cash flow generated from operations </w:t>
      </w:r>
      <w:r>
        <w:rPr>
          <w:rFonts w:ascii="Arial" w:cs="Arial" w:eastAsia="Arial" w:hAnsi="Arial"/>
          <w:sz w:val="21"/>
          <w:szCs w:val="21"/>
          <w:color w:val="auto"/>
        </w:rPr>
        <w:t>in the fourth quarter of 2019 was $72 million, with $44 million investments in fixed</w:t>
      </w:r>
      <w:r>
        <w:rPr>
          <w:rFonts w:ascii="Arial" w:cs="Arial" w:eastAsia="Arial" w:hAnsi="Arial"/>
          <w:sz w:val="21"/>
          <w:szCs w:val="21"/>
          <w:b w:val="1"/>
          <w:bCs w:val="1"/>
          <w:color w:val="auto"/>
        </w:rPr>
        <w:t xml:space="preserve"> </w:t>
      </w:r>
      <w:r>
        <w:rPr>
          <w:rFonts w:ascii="Arial" w:cs="Arial" w:eastAsia="Arial" w:hAnsi="Arial"/>
          <w:sz w:val="21"/>
          <w:szCs w:val="21"/>
          <w:color w:val="auto"/>
        </w:rPr>
        <w:t>assets, net, resulting in $28 million free cash flow. In the fourth quarter of 2019, the company repaid $3 million of its debt. In the third quarter of 2019, cash generated from operations was $73 million, with investment in fixed assets, net of $43 million, resulting in $30 million free cash flow. In the third quarter of 2019 the company repaid $6 million of its debt.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TowerJazz expects revenues for the first quarter of 2020 to be $300 million, with an upward or downward range of 5%.</w:t>
      </w:r>
    </w:p>
    <w:p>
      <w:pPr>
        <w:spacing w:after="0" w:line="3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b w:val="1"/>
          <w:bCs w:val="1"/>
          <w:color w:val="auto"/>
        </w:rPr>
        <w:t>Mr. Russell Ellwanger, Chief Executive Officer of TowerJazz</w:t>
      </w:r>
      <w:r>
        <w:rPr>
          <w:rFonts w:ascii="Arial" w:cs="Arial" w:eastAsia="Arial" w:hAnsi="Arial"/>
          <w:sz w:val="21"/>
          <w:szCs w:val="21"/>
          <w:color w:val="auto"/>
        </w:rPr>
        <w:t>,</w:t>
      </w:r>
      <w:r>
        <w:rPr>
          <w:rFonts w:ascii="Arial" w:cs="Arial" w:eastAsia="Arial" w:hAnsi="Arial"/>
          <w:sz w:val="21"/>
          <w:szCs w:val="21"/>
          <w:b w:val="1"/>
          <w:bCs w:val="1"/>
          <w:color w:val="auto"/>
        </w:rPr>
        <w:t xml:space="preserve"> commented</w:t>
      </w:r>
      <w:r>
        <w:rPr>
          <w:rFonts w:ascii="Arial" w:cs="Arial" w:eastAsia="Arial" w:hAnsi="Arial"/>
          <w:sz w:val="21"/>
          <w:szCs w:val="21"/>
          <w:color w:val="auto"/>
        </w:rPr>
        <w:t>, “Our strong, long-term customer</w:t>
      </w:r>
      <w:r>
        <w:rPr>
          <w:rFonts w:ascii="Arial" w:cs="Arial" w:eastAsia="Arial" w:hAnsi="Arial"/>
          <w:sz w:val="21"/>
          <w:szCs w:val="21"/>
          <w:b w:val="1"/>
          <w:bCs w:val="1"/>
          <w:color w:val="auto"/>
        </w:rPr>
        <w:t xml:space="preserve"> </w:t>
      </w:r>
      <w:r>
        <w:rPr>
          <w:rFonts w:ascii="Arial" w:cs="Arial" w:eastAsia="Arial" w:hAnsi="Arial"/>
          <w:sz w:val="21"/>
          <w:szCs w:val="21"/>
          <w:color w:val="auto"/>
        </w:rPr>
        <w:t>partnerships with a focus on growing analog market applications, enabled us to achieve organic growth in 2019. Our customer forecast and present orders indicate good overall growth ramping sequentially throughout 2020, resulting in a significant second half 2020 performance as compared to the second half 2019. We expect 2020 to achieve year-over-year growth with low double-digit organic growth, achieved through higher utilization levels in our factories including the ramp of our newer 200mm technology platforms and offerings, an increase in 300mm customer demand supported by capacity increase organically for short to mid-term, and in addition, capacity growth through M&amp;As for long-term demand. We are well-positioned to participate in and benefit from expected markets recovery and present upward business trends.”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Teleconference and Webcast</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TowerJazz will host an investor conference call today, Tuesday, February 18, 2020, at 10:00 a.m. Eastern time (9:00 a.m. Central time, 8:00 a.m. Mountain time, 7:00 a.m. Pacific time and 5:00 p.m. Israel time) to discuss the Company’s financial results for the fourth quarter and full year 2019 and its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5" w:name="page6"/>
    <w:bookmarkEnd w:id="5"/>
    <w:p>
      <w:pPr>
        <w:jc w:val="both"/>
        <w:ind w:firstLine="648"/>
        <w:spacing w:after="0" w:line="266" w:lineRule="auto"/>
        <w:rPr>
          <w:sz w:val="20"/>
          <w:szCs w:val="20"/>
          <w:color w:val="auto"/>
        </w:rPr>
      </w:pPr>
      <w:r>
        <w:rPr>
          <w:rFonts w:ascii="Arial" w:cs="Arial" w:eastAsia="Arial" w:hAnsi="Arial"/>
          <w:sz w:val="22"/>
          <w:szCs w:val="22"/>
          <w:color w:val="auto"/>
        </w:rPr>
        <w:t xml:space="preserve">This call will be webcast and can be accessed via TowerJazz’s website at </w:t>
      </w:r>
      <w:r>
        <w:rPr>
          <w:rFonts w:ascii="Arial" w:cs="Arial" w:eastAsia="Arial" w:hAnsi="Arial"/>
          <w:sz w:val="22"/>
          <w:szCs w:val="22"/>
          <w:u w:val="single" w:color="auto"/>
          <w:color w:val="auto"/>
        </w:rPr>
        <w:t>www.towerjazz.com</w:t>
      </w:r>
      <w:r>
        <w:rPr>
          <w:rFonts w:ascii="Arial" w:cs="Arial" w:eastAsia="Arial" w:hAnsi="Arial"/>
          <w:sz w:val="22"/>
          <w:szCs w:val="22"/>
          <w:color w:val="auto"/>
        </w:rPr>
        <w:t>, or by calling 1-888-668-9141 (U.S. Toll-Free), 03-918-0609 (Israel), +972-3-918-0609 (International). For those who are not available to listen to the live broadcast, the call will be archived on TowerJazz’s website for 90 days.</w:t>
      </w:r>
    </w:p>
    <w:p>
      <w:pPr>
        <w:spacing w:after="0" w:line="23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i w:val="1"/>
          <w:iCs w:val="1"/>
          <w:color w:val="auto"/>
        </w:rPr>
        <w:t>The Company presents its financial statements in accordance with U.S. GAAP. The financial information included in the tables below includes unaudited condensed financial data. Some of the financial information in this release and/ or in related public disclosures or filings with respect to the financial statements and/ or results of the Company, which we describe in this release as “adjusted” financial measures, is non-GAAP financial measures as defined in Regulation G and related reporting requirements promulgated by the Securities and Exchange Commission as they apply to our Company. These adjusted financial measures are calculated excluding one or more of the following: (1) amortization of acquired intangible assets and (2) compensation expenses in respect of equity grants to directors, officers and employees. These adjusted financial measures should be evaluated in conjunction with, and are not a substitute for, GAAP financial measures. The tables also present the GAAP financial measures, which are most comparable to the adjusted financial measures, as well as a reconciliation between the adjusted financial measures and the comparable GAAP financial measures. As used and/ or presented in this release and/ or in related public disclosures or filings with respect to the financial statements and/ or results of the Company, as well as calculated in the tables herein, the term Earnings Before Interest Tax Depreciation and Amortization (EBITDA) consists of net profit in accordance with GAAP, excluding interest and other financing expense, net, other income, net, taxes, non-controlling interest, depreciation and amortization expense and stock-based compensation expense. EBITDA is reconciled in the tables below from GAAP operating profit. EBITDA is not a required GAAP financial measure and may not be comparable to a similarly titled measure employed by other companies. EBITDA and the adjusted financial information presented herein and/ or in related public disclosures or filings with respect to the financial statements and/ 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used and/ or presented in this release and/ or in related public disclosures or filings with respect to the financial statements and/ 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 or presented in this release and/ or in related public disclosures or filings with respect to the financial statements and/ or results of the Company, is calculated to be cash from operating activities (in the amounts of $72 million, $73 million and $91 million for the three months periods ended December 31, 2019, September 30, 2019 and December 31, 2018, respectively and in the amounts of $291 million and $313 million for the years ended December 31, 2019 and December 31, 2018, respectively) less cash for investments in property and equipment, net (in the amounts of $44 million, $43 million and $49 million for the three months periods ended December 31, 2019, September 30, 2019 and December 31, 2018, respectively and in the amounts of $172 million and $170 million for the years ended December 31, 2019 and December 31, 2018,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 With regards to our balance sheet as of December 31, 2019, as disclosed in our annual financial statements, we implemented ASU 2016-02 “Leases” effective January 1, 2019 with regards to lease right-of-use assets and lease liabilities, which implementation resulted in our lease contracts value presentation under long-term assets, short-term debt and long-term debt as of December 31, 2019. In addition, short-term debt as of December 31, 2019 includes $38 million of the first and second installment payments scheduled in March and September 2020 for series G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About TowerJazz</w:t>
      </w:r>
    </w:p>
    <w:p>
      <w:pPr>
        <w:spacing w:after="0" w:line="28"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9"/>
          <w:szCs w:val="19"/>
          <w:u w:val="single" w:color="auto"/>
          <w:color w:val="auto"/>
        </w:rPr>
        <w:t>www.towerjazz.com</w:t>
      </w:r>
      <w:r>
        <w:rPr>
          <w:rFonts w:ascii="Arial" w:cs="Arial" w:eastAsia="Arial" w:hAnsi="Arial"/>
          <w:sz w:val="19"/>
          <w:szCs w:val="19"/>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r>
        <w:rPr>
          <w:rFonts w:ascii="Arial" w:cs="Arial" w:eastAsia="Arial" w:hAnsi="Arial"/>
          <w:sz w:val="22"/>
          <w:szCs w:val="22"/>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Noit Levy-Karoubi | TowerJazz | +972 4 604 7066 | </w:t>
      </w:r>
      <w:r>
        <w:rPr>
          <w:rFonts w:ascii="Arial" w:cs="Arial" w:eastAsia="Arial" w:hAnsi="Arial"/>
          <w:sz w:val="22"/>
          <w:szCs w:val="22"/>
          <w:u w:val="single" w:color="auto"/>
          <w:color w:val="auto"/>
        </w:rPr>
        <w:t>Noit.levi@towerjazz.com</w:t>
      </w:r>
    </w:p>
    <w:p>
      <w:pPr>
        <w:spacing w:after="0" w:line="283" w:lineRule="exact"/>
        <w:rPr>
          <w:sz w:val="20"/>
          <w:szCs w:val="20"/>
          <w:color w:val="auto"/>
        </w:rPr>
      </w:pPr>
    </w:p>
    <w:p>
      <w:pPr>
        <w:jc w:val="both"/>
        <w:spacing w:after="0" w:line="296" w:lineRule="auto"/>
        <w:rPr>
          <w:sz w:val="20"/>
          <w:szCs w:val="20"/>
          <w:color w:val="auto"/>
        </w:rPr>
      </w:pPr>
      <w:r>
        <w:rPr>
          <w:rFonts w:ascii="Arial" w:cs="Arial" w:eastAsia="Arial" w:hAnsi="Arial"/>
          <w:sz w:val="19"/>
          <w:szCs w:val="19"/>
          <w:i w:val="1"/>
          <w:iCs w:val="1"/>
          <w:color w:val="auto"/>
        </w:rPr>
        <w:t>This press release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 (vi) impact of our debt and other liabilities on our financial position and operations, (vii) our ability to successfully execute acquisitions, integrate them into our business, utilize our expanded capacity and find new business, (viii) fluctuations in cash flow, (ix) our ability to satisfy the covenants stipulated in our agreements with our lender banks and bondholders (as of December 31, 2019 we are in compliance with all such covenants included in our banks’ agreements, bond G indenture and others), (x) pending litigation, (xi) new customer engagements, qualification and production ramp-up at our facilities, including TPSCo and the San Antonio facility, (xii) meeting the conditions set in the approval certificates received from the Israeli Investment Center under which we received a significant amount of grants in past years, (xiii) receipt of orders that are lower than the customer purchase commitments, (xiv) failure to receive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fundraising to enable the service of our debt and/or other liabilities, (xxi) operating our facilities at high utilization rates which is critical in order to cover a portion or all of the high level of fixed costs associated with operating a foundry, and our debt, in order to improve our results,</w:t>
      </w:r>
    </w:p>
    <w:p>
      <w:pPr>
        <w:spacing w:after="0" w:line="18" w:lineRule="exact"/>
        <w:rPr>
          <w:sz w:val="20"/>
          <w:szCs w:val="20"/>
          <w:color w:val="auto"/>
        </w:rPr>
      </w:pPr>
    </w:p>
    <w:p>
      <w:pPr>
        <w:jc w:val="both"/>
        <w:ind w:firstLine="8"/>
        <w:spacing w:after="0" w:line="299" w:lineRule="auto"/>
        <w:tabs>
          <w:tab w:leader="none" w:pos="52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the purchase of equipment to increase capacity, the timely completion of the equipment installation, technology transfer and raising the funds therefor, (xxiii) 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 (xxviii) achieving acceptable device yields, product performance and delivery times, (xxix) our dependence on intellectual property rights of others, our ability to operate our business without infringing others’ intellectual property rights and our ability to enforce our intellectual property against infringement, (xxx) our fab3 landlord’s construction project adjacent to our fabrication facility, including possible temporary reductions or interruptions in the supply of utilities and/ or fab manufacturing, as well as claims that our noise abatement efforts are not adequate under the terms of the amended lease; (xxxi) retention of key employees and recruitment and retention of skilled qualified personnel, (xxxii) exposure to inflation, currency rates (mainly the Israeli Shekel and Japanese Yen) and interest rate fluctuations and risks associated with doing business locally and internationally, as well fluctuations in the market price of our traded securities, (xxxiii)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(xxxiv) meeting regulatory requirements worldwide, including environmental and governmental regulations, (xxxv) negotiation and closure of a definitive agreement in relation to fab establishment in China, as well as project implementation through required outside funding and resources and receipt of future proceeds therefrom, (xxxvi) potential future effect on TPSCo of possible closing of Panasonic sale of PSCS to Nuvoton, (xxxvii) industry and market impact due to the coronavirus and its potential impact on our business; and (xxxviii) business interruption due to fire and other natural disasters, the security situation in Israel and other events beyond our control such as power interruptions.</w:t>
      </w:r>
    </w:p>
    <w:p>
      <w:pPr>
        <w:sectPr>
          <w:pgSz w:w="11900" w:h="16838" w:orient="portrait"/>
          <w:cols w:equalWidth="0" w:num="1">
            <w:col w:w="11420"/>
          </w:cols>
          <w:pgMar w:left="240" w:top="126" w:right="239"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both"/>
        <w:spacing w:after="0" w:line="327" w:lineRule="auto"/>
        <w:rPr>
          <w:sz w:val="20"/>
          <w:szCs w:val="20"/>
          <w:color w:val="auto"/>
        </w:rPr>
      </w:pPr>
      <w:r>
        <w:rPr>
          <w:rFonts w:ascii="Arial" w:cs="Arial" w:eastAsia="Arial" w:hAnsi="Arial"/>
          <w:sz w:val="19"/>
          <w:szCs w:val="19"/>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w:t>
      </w:r>
    </w:p>
    <w:p>
      <w:pPr>
        <w:sectPr>
          <w:pgSz w:w="11900" w:h="16838" w:orient="portrait"/>
          <w:cols w:equalWidth="0" w:num="1">
            <w:col w:w="11420"/>
          </w:cols>
          <w:pgMar w:left="240" w:top="126" w:right="239" w:bottom="0" w:gutter="0" w:footer="0" w:header="0"/>
          <w:type w:val="continuous"/>
        </w:sectPr>
      </w:pPr>
    </w:p>
    <w:bookmarkStart w:id="7" w:name="page8"/>
    <w:bookmarkEnd w:id="7"/>
    <w:p>
      <w:pPr>
        <w:spacing w:after="0" w:line="276" w:lineRule="auto"/>
        <w:rPr>
          <w:sz w:val="20"/>
          <w:szCs w:val="20"/>
          <w:color w:val="auto"/>
        </w:rPr>
      </w:pPr>
      <w:r>
        <w:rPr>
          <w:rFonts w:ascii="Arial" w:cs="Arial" w:eastAsia="Arial" w:hAnsi="Arial"/>
          <w:sz w:val="22"/>
          <w:szCs w:val="22"/>
          <w:i w:val="1"/>
          <w:iCs w:val="1"/>
          <w:color w:val="auto"/>
        </w:rPr>
        <w:t>Authority. Future results may differ materially from those previously reported. The Company does not intend to update, and expressly disclaims any obligation to update, the information contained in this release.</w:t>
      </w:r>
    </w:p>
    <w:p>
      <w:pPr>
        <w:spacing w:after="0" w:line="222"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  #  #</w:t>
      </w:r>
    </w:p>
    <w:p>
      <w:pPr>
        <w:spacing w:after="0" w:line="293"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December 31,</w:t>
            </w:r>
          </w:p>
        </w:tc>
        <w:tc>
          <w:tcPr>
            <w:tcW w:w="12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ASSETS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b w:val="1"/>
                <w:bCs w:val="1"/>
                <w:color w:val="auto"/>
              </w:rPr>
              <w:t>Cash and cash equivalents</w:t>
            </w:r>
          </w:p>
        </w:tc>
        <w:tc>
          <w:tcPr>
            <w:tcW w:w="20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355,561</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Short-term deposits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215,609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120,079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b w:val="1"/>
                <w:bCs w:val="1"/>
                <w:color w:val="auto"/>
              </w:rPr>
              <w:t>Marketable securities</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176,070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135,850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Trade accounts receivable</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126,966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153,409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b w:val="1"/>
                <w:bCs w:val="1"/>
                <w:color w:val="auto"/>
              </w:rPr>
              <w:t>Inventories</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192,256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170,778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Other current assets</w:t>
            </w: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22,019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top w:val="single" w:sz="8" w:color="CCEEFF"/>
            </w:tcBorders>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1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1,088,481</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987,959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b w:val="1"/>
                <w:bCs w:val="1"/>
                <w:color w:val="auto"/>
              </w:rPr>
              <w:t>LONG-TERM INVESTMENTS</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40,085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b w:val="1"/>
                <w:bCs w:val="1"/>
                <w:color w:val="auto"/>
              </w:rPr>
              <w:t>PROPERTY AND EQUIPMENT, NET</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681,939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657,234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b w:val="1"/>
                <w:bCs w:val="1"/>
                <w:color w:val="auto"/>
              </w:rPr>
              <w:t>GOODWILL</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160"/>
              <w:spacing w:after="0"/>
              <w:rPr>
                <w:sz w:val="20"/>
                <w:szCs w:val="20"/>
                <w:color w:val="auto"/>
              </w:rPr>
            </w:pPr>
            <w:r>
              <w:rPr>
                <w:rFonts w:ascii="Arial" w:cs="Arial" w:eastAsia="Arial" w:hAnsi="Arial"/>
                <w:sz w:val="18"/>
                <w:szCs w:val="18"/>
                <w:b w:val="1"/>
                <w:bCs w:val="1"/>
                <w:color w:val="auto"/>
              </w:rPr>
              <w:t>DEFERRED TAX AND OTHER LONG-TERM ASSETS, NET</w:t>
            </w:r>
          </w:p>
        </w:tc>
        <w:tc>
          <w:tcPr>
            <w:tcW w:w="1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105,047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80"/>
              <w:spacing w:after="0"/>
              <w:rPr>
                <w:sz w:val="20"/>
                <w:szCs w:val="20"/>
                <w:color w:val="auto"/>
              </w:rPr>
            </w:pPr>
            <w:r>
              <w:rPr>
                <w:rFonts w:ascii="Arial" w:cs="Arial" w:eastAsia="Arial" w:hAnsi="Arial"/>
                <w:sz w:val="18"/>
                <w:szCs w:val="18"/>
                <w:b w:val="1"/>
                <w:bCs w:val="1"/>
                <w:color w:val="auto"/>
              </w:rPr>
              <w:t>TOTAL ASSETS</w:t>
            </w:r>
          </w:p>
        </w:tc>
        <w:tc>
          <w:tcPr>
            <w:tcW w:w="20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1,932,833</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1,789,977</w:t>
            </w:r>
          </w:p>
        </w:tc>
        <w:tc>
          <w:tcPr>
            <w:tcW w:w="0" w:type="dxa"/>
            <w:vAlign w:val="bottom"/>
          </w:tcPr>
          <w:p>
            <w:pPr>
              <w:spacing w:after="0"/>
              <w:rPr>
                <w:sz w:val="1"/>
                <w:szCs w:val="1"/>
                <w:color w:val="auto"/>
              </w:rPr>
            </w:pPr>
          </w:p>
        </w:tc>
      </w:tr>
      <w:tr>
        <w:trPr>
          <w:trHeight w:val="21"/>
        </w:trPr>
        <w:tc>
          <w:tcPr>
            <w:tcW w:w="70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Short-term debt</w:t>
            </w:r>
          </w:p>
        </w:tc>
        <w:tc>
          <w:tcPr>
            <w:tcW w:w="2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65,932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b w:val="1"/>
                <w:bCs w:val="1"/>
                <w:color w:val="auto"/>
              </w:rPr>
              <w:t>Trade accounts payable</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119,199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Deferred revenue and customers' advances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10,322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20,711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320"/>
              <w:spacing w:after="0"/>
              <w:rPr>
                <w:sz w:val="20"/>
                <w:szCs w:val="20"/>
                <w:color w:val="auto"/>
              </w:rPr>
            </w:pPr>
            <w:r>
              <w:rPr>
                <w:rFonts w:ascii="Arial" w:cs="Arial" w:eastAsia="Arial" w:hAnsi="Arial"/>
                <w:sz w:val="18"/>
                <w:szCs w:val="18"/>
                <w:b w:val="1"/>
                <w:bCs w:val="1"/>
                <w:color w:val="auto"/>
              </w:rPr>
              <w:t>Other current liabilities</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57,603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1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253,056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LONG-TERM DEBT</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245,821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256,669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LONG-TERM CUSTOMERS' ADVANCES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28,196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LONG-TERM EMPLOYEE RELATED LIABILITIES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13,285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DEFERRED TAX AND OTHER LONG-TERM LIABILITIES</w:t>
            </w: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45,752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586,110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553,772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SHAREHOLDERS' EQUITY</w:t>
            </w:r>
          </w:p>
        </w:tc>
        <w:tc>
          <w:tcPr>
            <w:tcW w:w="1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1,346,723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1,236,205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0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0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LIABILITIES AND SHAREHOLDERS' EQUITY</w:t>
            </w:r>
          </w:p>
        </w:tc>
        <w:tc>
          <w:tcPr>
            <w:tcW w:w="2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1,932,833</w:t>
            </w: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1,789,977</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000" w:type="dxa"/>
            <w:vAlign w:val="bottom"/>
            <w:tcBorders>
              <w:top w:val="single" w:sz="8" w:color="CCEEFF"/>
              <w:bottom w:val="single" w:sz="8" w:color="auto"/>
            </w:tcBorders>
          </w:tcPr>
          <w:p>
            <w:pPr>
              <w:spacing w:after="0"/>
              <w:rPr>
                <w:sz w:val="24"/>
                <w:szCs w:val="24"/>
                <w:color w:val="auto"/>
              </w:rPr>
            </w:pPr>
          </w:p>
        </w:tc>
        <w:tc>
          <w:tcPr>
            <w:tcW w:w="18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07" w:right="239" w:bottom="1440" w:gutter="0" w:footer="0" w:header="0"/>
        </w:sectPr>
      </w:pPr>
    </w:p>
    <w:bookmarkStart w:id="9" w:name="page10"/>
    <w:bookmarkEnd w:id="9"/>
    <w:p>
      <w:pPr>
        <w:jc w:val="center"/>
        <w:ind w:left="260" w:right="2380"/>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jc w:val="center"/>
              <w:ind w:left="430"/>
              <w:spacing w:after="0"/>
              <w:rPr>
                <w:sz w:val="20"/>
                <w:szCs w:val="20"/>
                <w:color w:val="auto"/>
              </w:rPr>
            </w:pPr>
            <w:r>
              <w:rPr>
                <w:rFonts w:ascii="Arial" w:cs="Arial" w:eastAsia="Arial" w:hAnsi="Arial"/>
                <w:sz w:val="18"/>
                <w:szCs w:val="18"/>
                <w:b w:val="1"/>
                <w:bCs w:val="1"/>
                <w:color w:val="auto"/>
                <w:w w:val="92"/>
              </w:rPr>
              <w:t>T h r e e  m o n t h s  e n d e d</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6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9"/>
                <w:szCs w:val="19"/>
                <w:color w:val="auto"/>
              </w:rPr>
            </w:pPr>
          </w:p>
        </w:tc>
      </w:tr>
      <w:tr>
        <w:trPr>
          <w:trHeight w:val="223"/>
        </w:trPr>
        <w:tc>
          <w:tcPr>
            <w:tcW w:w="7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19"/>
                <w:szCs w:val="19"/>
                <w:color w:val="auto"/>
              </w:rPr>
            </w:pPr>
          </w:p>
        </w:tc>
      </w:tr>
      <w:tr>
        <w:trPr>
          <w:trHeight w:val="216"/>
        </w:trPr>
        <w:tc>
          <w:tcPr>
            <w:tcW w:w="7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305,710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312,122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333,590</w:t>
            </w:r>
          </w:p>
        </w:tc>
      </w:tr>
      <w:tr>
        <w:trPr>
          <w:trHeight w:val="216"/>
        </w:trPr>
        <w:tc>
          <w:tcPr>
            <w:tcW w:w="7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23"/>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COST OF SALES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250,878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253,841</w:t>
            </w: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257,957</w:t>
            </w:r>
          </w:p>
        </w:tc>
      </w:tr>
      <w:tr>
        <w:trPr>
          <w:trHeight w:val="216"/>
        </w:trPr>
        <w:tc>
          <w:tcPr>
            <w:tcW w:w="74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46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54,832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58,281</w:t>
            </w: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75,633</w:t>
            </w:r>
          </w:p>
        </w:tc>
      </w:tr>
      <w:tr>
        <w:trPr>
          <w:trHeight w:val="216"/>
        </w:trPr>
        <w:tc>
          <w:tcPr>
            <w:tcW w:w="74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16"/>
        </w:trPr>
        <w:tc>
          <w:tcPr>
            <w:tcW w:w="746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18,722</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18,378</w:t>
            </w:r>
          </w:p>
        </w:tc>
      </w:tr>
      <w:tr>
        <w:trPr>
          <w:trHeight w:val="223"/>
        </w:trPr>
        <w:tc>
          <w:tcPr>
            <w:tcW w:w="7460" w:type="dxa"/>
            <w:vAlign w:val="bottom"/>
          </w:tcPr>
          <w:p>
            <w:pPr>
              <w:ind w:left="50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17,057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16,840</w:t>
            </w:r>
          </w:p>
        </w:tc>
        <w:tc>
          <w:tcPr>
            <w:tcW w:w="4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17,016</w:t>
            </w:r>
          </w:p>
        </w:tc>
      </w:tr>
      <w:tr>
        <w:trPr>
          <w:trHeight w:val="216"/>
        </w:trPr>
        <w:tc>
          <w:tcPr>
            <w:tcW w:w="74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35,934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35,562</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35,394</w:t>
            </w:r>
          </w:p>
        </w:tc>
      </w:tr>
      <w:tr>
        <w:trPr>
          <w:trHeight w:val="21"/>
        </w:trPr>
        <w:tc>
          <w:tcPr>
            <w:tcW w:w="7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16"/>
        </w:trPr>
        <w:tc>
          <w:tcPr>
            <w:tcW w:w="7460" w:type="dxa"/>
            <w:vAlign w:val="bottom"/>
          </w:tcPr>
          <w:p>
            <w:pPr>
              <w:ind w:left="66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18,898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22,719</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40,239</w:t>
            </w:r>
          </w:p>
        </w:tc>
      </w:tr>
      <w:tr>
        <w:trPr>
          <w:trHeight w:val="216"/>
        </w:trPr>
        <w:tc>
          <w:tcPr>
            <w:tcW w:w="7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23"/>
        </w:trPr>
        <w:tc>
          <w:tcPr>
            <w:tcW w:w="7460" w:type="dxa"/>
            <w:vAlign w:val="bottom"/>
          </w:tcPr>
          <w:p>
            <w:pPr>
              <w:ind w:left="180"/>
              <w:spacing w:after="0"/>
              <w:rPr>
                <w:sz w:val="20"/>
                <w:szCs w:val="20"/>
                <w:color w:val="auto"/>
              </w:rPr>
            </w:pPr>
            <w:r>
              <w:rPr>
                <w:rFonts w:ascii="Arial" w:cs="Arial" w:eastAsia="Arial" w:hAnsi="Arial"/>
                <w:sz w:val="18"/>
                <w:szCs w:val="18"/>
                <w:b w:val="1"/>
                <w:bCs w:val="1"/>
                <w:color w:val="auto"/>
              </w:rPr>
              <w:t>FINANCING AND OTHER INCOME (EXPENSE),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(426)</w:t>
            </w:r>
          </w:p>
        </w:tc>
        <w:tc>
          <w:tcPr>
            <w:tcW w:w="4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(3,907)</w:t>
            </w:r>
          </w:p>
        </w:tc>
      </w:tr>
      <w:tr>
        <w:trPr>
          <w:trHeight w:val="216"/>
        </w:trPr>
        <w:tc>
          <w:tcPr>
            <w:tcW w:w="74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ind w:left="660"/>
              <w:spacing w:after="0"/>
              <w:rPr>
                <w:sz w:val="20"/>
                <w:szCs w:val="20"/>
                <w:color w:val="auto"/>
              </w:rPr>
            </w:pPr>
            <w:r>
              <w:rPr>
                <w:rFonts w:ascii="Arial" w:cs="Arial" w:eastAsia="Arial" w:hAnsi="Arial"/>
                <w:sz w:val="18"/>
                <w:szCs w:val="18"/>
                <w:b w:val="1"/>
                <w:bCs w:val="1"/>
                <w:color w:val="auto"/>
              </w:rPr>
              <w:t>PROFIT BEFORE INCOME TAX</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21,956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22,293</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36,332</w:t>
            </w:r>
          </w:p>
        </w:tc>
      </w:tr>
      <w:tr>
        <w:trPr>
          <w:trHeight w:val="216"/>
        </w:trPr>
        <w:tc>
          <w:tcPr>
            <w:tcW w:w="7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23"/>
        </w:trPr>
        <w:tc>
          <w:tcPr>
            <w:tcW w:w="7460" w:type="dxa"/>
            <w:vAlign w:val="bottom"/>
          </w:tcPr>
          <w:p>
            <w:pPr>
              <w:ind w:left="180"/>
              <w:spacing w:after="0"/>
              <w:rPr>
                <w:sz w:val="20"/>
                <w:szCs w:val="20"/>
                <w:color w:val="auto"/>
              </w:rPr>
            </w:pPr>
            <w:r>
              <w:rPr>
                <w:rFonts w:ascii="Arial" w:cs="Arial" w:eastAsia="Arial" w:hAnsi="Arial"/>
                <w:sz w:val="18"/>
                <w:szCs w:val="18"/>
                <w:b w:val="1"/>
                <w:bCs w:val="1"/>
                <w:color w:val="auto"/>
              </w:rPr>
              <w:t>INCOME TAX BENEFIT (EXPENSE), NET</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w:t>
            </w:r>
          </w:p>
        </w:tc>
        <w:tc>
          <w:tcPr>
            <w:tcW w:w="4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183</w:t>
            </w:r>
          </w:p>
        </w:tc>
      </w:tr>
      <w:tr>
        <w:trPr>
          <w:trHeight w:val="216"/>
        </w:trPr>
        <w:tc>
          <w:tcPr>
            <w:tcW w:w="74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ind w:left="660"/>
              <w:spacing w:after="0"/>
              <w:rPr>
                <w:sz w:val="20"/>
                <w:szCs w:val="20"/>
                <w:color w:val="auto"/>
              </w:rPr>
            </w:pPr>
            <w:r>
              <w:rPr>
                <w:rFonts w:ascii="Arial" w:cs="Arial" w:eastAsia="Arial" w:hAnsi="Arial"/>
                <w:sz w:val="18"/>
                <w:szCs w:val="18"/>
                <w:b w:val="1"/>
                <w:bCs w:val="1"/>
                <w:color w:val="auto"/>
              </w:rPr>
              <w:t>PROFIT BEFORE NON CONTROLLING INTEREST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19,596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22,354</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36,515</w:t>
            </w:r>
          </w:p>
        </w:tc>
      </w:tr>
      <w:tr>
        <w:trPr>
          <w:trHeight w:val="216"/>
        </w:trPr>
        <w:tc>
          <w:tcPr>
            <w:tcW w:w="7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b w:val="1"/>
                <w:bCs w:val="1"/>
                <w:color w:val="auto"/>
              </w:rPr>
              <w:t>NON CONTROLLING INTEREST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(166)</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1,558</w:t>
            </w:r>
          </w:p>
        </w:tc>
      </w:tr>
      <w:tr>
        <w:trPr>
          <w:trHeight w:val="21"/>
        </w:trPr>
        <w:tc>
          <w:tcPr>
            <w:tcW w:w="7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16"/>
        </w:trPr>
        <w:tc>
          <w:tcPr>
            <w:tcW w:w="7460" w:type="dxa"/>
            <w:vAlign w:val="bottom"/>
          </w:tcPr>
          <w:p>
            <w:pPr>
              <w:ind w:left="660"/>
              <w:spacing w:after="0"/>
              <w:rPr>
                <w:sz w:val="20"/>
                <w:szCs w:val="20"/>
                <w:color w:val="auto"/>
              </w:rPr>
            </w:pPr>
            <w:r>
              <w:rPr>
                <w:rFonts w:ascii="Arial" w:cs="Arial" w:eastAsia="Arial" w:hAnsi="Arial"/>
                <w:sz w:val="18"/>
                <w:szCs w:val="18"/>
                <w:b w:val="1"/>
                <w:bCs w:val="1"/>
                <w:color w:val="auto"/>
              </w:rPr>
              <w:t>NET PROFIT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20,707</w:t>
            </w:r>
          </w:p>
        </w:tc>
        <w:tc>
          <w:tcPr>
            <w:tcW w:w="14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22,188</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38,073</w:t>
            </w:r>
          </w:p>
        </w:tc>
      </w:tr>
      <w:tr>
        <w:trPr>
          <w:trHeight w:val="21"/>
        </w:trPr>
        <w:tc>
          <w:tcPr>
            <w:tcW w:w="7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b w:val="1"/>
                <w:bCs w:val="1"/>
                <w:color w:val="auto"/>
              </w:rPr>
              <w:t>BASIC EARNINGS (LOSS) PER SHARE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0.19</w:t>
            </w:r>
          </w:p>
        </w:tc>
        <w:tc>
          <w:tcPr>
            <w:tcW w:w="14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0.21</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0.37</w:t>
            </w:r>
          </w:p>
        </w:tc>
      </w:tr>
      <w:tr>
        <w:trPr>
          <w:trHeight w:val="21"/>
        </w:trPr>
        <w:tc>
          <w:tcPr>
            <w:tcW w:w="7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106,710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106,644</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103,997</w:t>
            </w:r>
          </w:p>
        </w:tc>
      </w:tr>
      <w:tr>
        <w:trPr>
          <w:trHeight w:val="21"/>
        </w:trPr>
        <w:tc>
          <w:tcPr>
            <w:tcW w:w="7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0.19</w:t>
            </w:r>
          </w:p>
        </w:tc>
        <w:tc>
          <w:tcPr>
            <w:tcW w:w="14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0.21</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0.36</w:t>
            </w:r>
          </w:p>
        </w:tc>
      </w:tr>
      <w:tr>
        <w:trPr>
          <w:trHeight w:val="21"/>
        </w:trPr>
        <w:tc>
          <w:tcPr>
            <w:tcW w:w="7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107,995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107,601</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105,776</w:t>
            </w:r>
          </w:p>
        </w:tc>
      </w:tr>
      <w:tr>
        <w:trPr>
          <w:trHeight w:val="21"/>
        </w:trPr>
        <w:tc>
          <w:tcPr>
            <w:tcW w:w="7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16"/>
        </w:trPr>
        <w:tc>
          <w:tcPr>
            <w:tcW w:w="7460" w:type="dxa"/>
            <w:vAlign w:val="bottom"/>
          </w:tcPr>
          <w:p>
            <w:pPr>
              <w:ind w:left="660"/>
              <w:spacing w:after="0"/>
              <w:rPr>
                <w:sz w:val="20"/>
                <w:szCs w:val="20"/>
                <w:color w:val="auto"/>
              </w:rPr>
            </w:pPr>
            <w:r>
              <w:rPr>
                <w:rFonts w:ascii="Arial" w:cs="Arial" w:eastAsia="Arial" w:hAnsi="Arial"/>
                <w:sz w:val="18"/>
                <w:szCs w:val="18"/>
                <w:b w:val="1"/>
                <w:bCs w:val="1"/>
                <w:color w:val="auto"/>
              </w:rPr>
              <w:t>GAAP NET PROFIT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20,707</w:t>
            </w:r>
          </w:p>
        </w:tc>
        <w:tc>
          <w:tcPr>
            <w:tcW w:w="14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22,188</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38,073</w:t>
            </w:r>
          </w:p>
        </w:tc>
      </w:tr>
      <w:tr>
        <w:trPr>
          <w:trHeight w:val="216"/>
        </w:trPr>
        <w:tc>
          <w:tcPr>
            <w:tcW w:w="746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3,775</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3,906</w:t>
            </w:r>
          </w:p>
        </w:tc>
      </w:tr>
      <w:tr>
        <w:trPr>
          <w:trHeight w:val="223"/>
        </w:trPr>
        <w:tc>
          <w:tcPr>
            <w:tcW w:w="7460" w:type="dxa"/>
            <w:vAlign w:val="bottom"/>
          </w:tcPr>
          <w:p>
            <w:pPr>
              <w:ind w:left="90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492</w:t>
            </w:r>
          </w:p>
        </w:tc>
        <w:tc>
          <w:tcPr>
            <w:tcW w:w="4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1,614</w:t>
            </w:r>
          </w:p>
        </w:tc>
      </w:tr>
      <w:tr>
        <w:trPr>
          <w:trHeight w:val="257"/>
        </w:trPr>
        <w:tc>
          <w:tcPr>
            <w:tcW w:w="74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ADJUSTED NET PROFIT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24,226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26,455</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43,593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EARNINGS PER SHARE: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57"/>
        </w:trPr>
        <w:tc>
          <w:tcPr>
            <w:tcW w:w="746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0.23</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0.25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0.42</w:t>
            </w:r>
          </w:p>
        </w:tc>
      </w:tr>
      <w:tr>
        <w:trPr>
          <w:trHeight w:val="210"/>
        </w:trPr>
        <w:tc>
          <w:tcPr>
            <w:tcW w:w="74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46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0.25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0.41</w:t>
            </w:r>
          </w:p>
        </w:tc>
      </w:tr>
      <w:tr>
        <w:trPr>
          <w:trHeight w:val="419"/>
        </w:trPr>
        <w:tc>
          <w:tcPr>
            <w:tcW w:w="74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jc w:val="center"/>
        <w:ind w:left="260" w:right="2380"/>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Year ended</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9"/>
                <w:szCs w:val="19"/>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1,234,003</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1,304,034</w:t>
            </w: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1,004,332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1,011,087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23"/>
        </w:trPr>
        <w:tc>
          <w:tcPr>
            <w:tcW w:w="88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229,671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292,947</w:t>
            </w:r>
          </w:p>
        </w:tc>
      </w:tr>
      <w:tr>
        <w:trPr>
          <w:trHeight w:val="216"/>
        </w:trPr>
        <w:tc>
          <w:tcPr>
            <w:tcW w:w="8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75,579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73,053</w:t>
            </w:r>
          </w:p>
        </w:tc>
      </w:tr>
      <w:tr>
        <w:trPr>
          <w:trHeight w:val="223"/>
        </w:trPr>
        <w:tc>
          <w:tcPr>
            <w:tcW w:w="8820" w:type="dxa"/>
            <w:vAlign w:val="bottom"/>
          </w:tcPr>
          <w:p>
            <w:pPr>
              <w:ind w:left="34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64,951</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142,955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138,004</w:t>
            </w:r>
          </w:p>
        </w:tc>
        <w:tc>
          <w:tcPr>
            <w:tcW w:w="10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86,716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154,943</w:t>
            </w:r>
          </w:p>
        </w:tc>
      </w:tr>
      <w:tr>
        <w:trPr>
          <w:trHeight w:val="216"/>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23"/>
        </w:trPr>
        <w:tc>
          <w:tcPr>
            <w:tcW w:w="8820" w:type="dxa"/>
            <w:vAlign w:val="bottom"/>
          </w:tcPr>
          <w:p>
            <w:pPr>
              <w:ind w:left="180"/>
              <w:spacing w:after="0"/>
              <w:rPr>
                <w:sz w:val="20"/>
                <w:szCs w:val="20"/>
                <w:color w:val="auto"/>
              </w:rPr>
            </w:pPr>
            <w:r>
              <w:rPr>
                <w:rFonts w:ascii="Arial" w:cs="Arial" w:eastAsia="Arial" w:hAnsi="Arial"/>
                <w:sz w:val="18"/>
                <w:szCs w:val="18"/>
                <w:b w:val="1"/>
                <w:bCs w:val="1"/>
                <w:color w:val="auto"/>
              </w:rPr>
              <w:t>FINANCING AND OTHER INCOME (EXPENSE),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4,305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(15,626)</w:t>
            </w:r>
          </w:p>
        </w:tc>
      </w:tr>
      <w:tr>
        <w:trPr>
          <w:trHeight w:val="216"/>
        </w:trPr>
        <w:tc>
          <w:tcPr>
            <w:tcW w:w="88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b w:val="1"/>
                <w:bCs w:val="1"/>
                <w:color w:val="auto"/>
              </w:rPr>
              <w:t>PROFIT BEFORE INCOME TAX</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91,021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139,317</w:t>
            </w:r>
          </w:p>
        </w:tc>
      </w:tr>
      <w:tr>
        <w:trPr>
          <w:trHeight w:val="216"/>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23"/>
        </w:trPr>
        <w:tc>
          <w:tcPr>
            <w:tcW w:w="8820" w:type="dxa"/>
            <w:vAlign w:val="bottom"/>
          </w:tcPr>
          <w:p>
            <w:pPr>
              <w:ind w:left="180"/>
              <w:spacing w:after="0"/>
              <w:rPr>
                <w:sz w:val="20"/>
                <w:szCs w:val="20"/>
                <w:color w:val="auto"/>
              </w:rPr>
            </w:pPr>
            <w:r>
              <w:rPr>
                <w:rFonts w:ascii="Arial" w:cs="Arial" w:eastAsia="Arial" w:hAnsi="Arial"/>
                <w:sz w:val="18"/>
                <w:szCs w:val="18"/>
                <w:b w:val="1"/>
                <w:bCs w:val="1"/>
                <w:color w:val="auto"/>
              </w:rPr>
              <w:t>INCOME TAX EXPENSE, NET</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(2,948)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(5,938)</w:t>
            </w:r>
          </w:p>
        </w:tc>
      </w:tr>
      <w:tr>
        <w:trPr>
          <w:trHeight w:val="216"/>
        </w:trPr>
        <w:tc>
          <w:tcPr>
            <w:tcW w:w="88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b w:val="1"/>
                <w:bCs w:val="1"/>
                <w:color w:val="auto"/>
              </w:rPr>
              <w:t>PROFIT BEFORE NON CONTROLLING INTEREST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88,073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133,379</w:t>
            </w:r>
          </w:p>
        </w:tc>
      </w:tr>
      <w:tr>
        <w:trPr>
          <w:trHeight w:val="216"/>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23"/>
        </w:trPr>
        <w:tc>
          <w:tcPr>
            <w:tcW w:w="8820" w:type="dxa"/>
            <w:vAlign w:val="bottom"/>
          </w:tcPr>
          <w:p>
            <w:pPr>
              <w:ind w:left="180"/>
              <w:spacing w:after="0"/>
              <w:rPr>
                <w:sz w:val="20"/>
                <w:szCs w:val="20"/>
                <w:color w:val="auto"/>
              </w:rPr>
            </w:pPr>
            <w:r>
              <w:rPr>
                <w:rFonts w:ascii="Arial" w:cs="Arial" w:eastAsia="Arial" w:hAnsi="Arial"/>
                <w:sz w:val="18"/>
                <w:szCs w:val="18"/>
                <w:b w:val="1"/>
                <w:bCs w:val="1"/>
                <w:color w:val="auto"/>
              </w:rPr>
              <w:t>NON CONTROLLING INTEREST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2,200</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b w:val="1"/>
                <w:bCs w:val="1"/>
                <w:color w:val="auto"/>
              </w:rPr>
              <w:t>NET PROFIT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90,048</w:t>
            </w:r>
          </w:p>
        </w:tc>
        <w:tc>
          <w:tcPr>
            <w:tcW w:w="14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135,579</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57"/>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0.85</w:t>
            </w:r>
          </w:p>
        </w:tc>
        <w:tc>
          <w:tcPr>
            <w:tcW w:w="1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1.35</w:t>
            </w:r>
          </w:p>
        </w:tc>
      </w:tr>
      <w:tr>
        <w:trPr>
          <w:trHeight w:val="210"/>
        </w:trPr>
        <w:tc>
          <w:tcPr>
            <w:tcW w:w="8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106,256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100,399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57"/>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0.84</w:t>
            </w:r>
          </w:p>
        </w:tc>
        <w:tc>
          <w:tcPr>
            <w:tcW w:w="1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1.32</w:t>
            </w:r>
          </w:p>
        </w:tc>
      </w:tr>
      <w:tr>
        <w:trPr>
          <w:trHeight w:val="210"/>
        </w:trPr>
        <w:tc>
          <w:tcPr>
            <w:tcW w:w="8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107,438</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102,517</w:t>
            </w:r>
          </w:p>
        </w:tc>
      </w:tr>
      <w:tr>
        <w:trPr>
          <w:trHeight w:val="210"/>
        </w:trPr>
        <w:tc>
          <w:tcPr>
            <w:tcW w:w="8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GAAP NET PROFIT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90,048</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135,579</w:t>
            </w: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14,548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12,661</w:t>
            </w:r>
          </w:p>
        </w:tc>
      </w:tr>
      <w:tr>
        <w:trPr>
          <w:trHeight w:val="223"/>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b w:val="1"/>
                <w:bCs w:val="1"/>
                <w:color w:val="auto"/>
              </w:rPr>
              <w:t>ADJUSTED NET PROFIT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107,676</w:t>
            </w:r>
          </w:p>
        </w:tc>
        <w:tc>
          <w:tcPr>
            <w:tcW w:w="14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154,794</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b w:val="1"/>
                <w:bCs w:val="1"/>
                <w:color w:val="auto"/>
              </w:rPr>
              <w:t>ADJUSTED EARNINGS PER SHARE: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b w:val="1"/>
                <w:bCs w:val="1"/>
                <w:color w:val="auto"/>
              </w:rPr>
              <w:t>Basic</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14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1.54</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b w:val="1"/>
                <w:bCs w:val="1"/>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4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1.51</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8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11" w:name="page12"/>
    <w:bookmarkEnd w:id="11"/>
    <w:p>
      <w:pPr>
        <w:jc w:val="center"/>
        <w:spacing w:after="0" w:line="275" w:lineRule="auto"/>
        <w:rPr>
          <w:sz w:val="20"/>
          <w:szCs w:val="20"/>
          <w:color w:val="auto"/>
        </w:rPr>
      </w:pPr>
      <w:r>
        <w:rPr>
          <w:rFonts w:ascii="Arial" w:cs="Arial" w:eastAsia="Arial" w:hAnsi="Arial"/>
          <w:sz w:val="18"/>
          <w:szCs w:val="18"/>
          <w:b w:val="1"/>
          <w:bCs w:val="1"/>
          <w:color w:val="auto"/>
        </w:rPr>
        <w:t>TOWER SEMICONDUCTOR LTD. AND SUBSIDIARIES RECONCILIATION FROM GAAP OPERATING PROFIT TO EBITDA (UNAUDITED) (dollars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T h r e e  m o n t h s  e n d e d</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gridSpan w:val="4"/>
          </w:tcPr>
          <w:p>
            <w:pPr>
              <w:ind w:left="20"/>
              <w:spacing w:after="0"/>
              <w:rPr>
                <w:sz w:val="20"/>
                <w:szCs w:val="20"/>
                <w:color w:val="auto"/>
              </w:rPr>
            </w:pPr>
            <w:r>
              <w:rPr>
                <w:rFonts w:ascii="Arial" w:cs="Arial" w:eastAsia="Arial" w:hAnsi="Arial"/>
                <w:sz w:val="18"/>
                <w:szCs w:val="18"/>
                <w:b w:val="1"/>
                <w:bCs w:val="1"/>
                <w:color w:val="auto"/>
                <w:w w:val="94"/>
              </w:rPr>
              <w:t>September 30,</w:t>
            </w:r>
          </w:p>
        </w:tc>
        <w:tc>
          <w:tcPr>
            <w:tcW w:w="160" w:type="dxa"/>
            <w:vAlign w:val="bottom"/>
          </w:tcPr>
          <w:p>
            <w:pPr>
              <w:spacing w:after="0"/>
              <w:rPr>
                <w:sz w:val="19"/>
                <w:szCs w:val="19"/>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CALCULATION: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GAAP OPERATING PROFIT</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18,898</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22,719</w:t>
            </w:r>
          </w:p>
        </w:tc>
        <w:tc>
          <w:tcPr>
            <w:tcW w:w="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Depreciation of fixed assets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52,222</w:t>
            </w:r>
          </w:p>
        </w:tc>
        <w:tc>
          <w:tcPr>
            <w:tcW w:w="24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48,355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3,775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492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EBITDA</w:t>
            </w:r>
          </w:p>
        </w:tc>
        <w:tc>
          <w:tcPr>
            <w:tcW w:w="240" w:type="dxa"/>
            <w:vAlign w:val="bottom"/>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74,639</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75,341</w:t>
            </w:r>
          </w:p>
        </w:tc>
        <w:tc>
          <w:tcPr>
            <w:tcW w:w="5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92,709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3"/>
          </w:tcPr>
          <w:p>
            <w:pPr>
              <w:ind w:left="340"/>
              <w:spacing w:after="0"/>
              <w:rPr>
                <w:sz w:val="20"/>
                <w:szCs w:val="20"/>
                <w:color w:val="auto"/>
              </w:rPr>
            </w:pPr>
            <w:r>
              <w:rPr>
                <w:rFonts w:ascii="Arial" w:cs="Arial" w:eastAsia="Arial" w:hAnsi="Arial"/>
                <w:sz w:val="18"/>
                <w:szCs w:val="18"/>
                <w:b w:val="1"/>
                <w:bCs w:val="1"/>
                <w:color w:val="auto"/>
              </w:rPr>
              <w:t>Y e a r</w:t>
            </w:r>
          </w:p>
        </w:tc>
        <w:tc>
          <w:tcPr>
            <w:tcW w:w="1400" w:type="dxa"/>
            <w:vAlign w:val="bottom"/>
            <w:gridSpan w:val="4"/>
          </w:tcPr>
          <w:p>
            <w:pPr>
              <w:ind w:left="60"/>
              <w:spacing w:after="0"/>
              <w:rPr>
                <w:sz w:val="20"/>
                <w:szCs w:val="20"/>
                <w:color w:val="auto"/>
              </w:rPr>
            </w:pPr>
            <w:r>
              <w:rPr>
                <w:rFonts w:ascii="Arial" w:cs="Arial" w:eastAsia="Arial" w:hAnsi="Arial"/>
                <w:sz w:val="18"/>
                <w:szCs w:val="18"/>
                <w:b w:val="1"/>
                <w:bCs w:val="1"/>
                <w:color w:val="auto"/>
              </w:rPr>
              <w:t>e n d e 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7"/>
              </w:rPr>
              <w:t>December 31,</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OPERATING PROFIT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86,716</w:t>
            </w:r>
          </w:p>
        </w:tc>
        <w:tc>
          <w:tcPr>
            <w:tcW w:w="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154,943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Depreciation of fixed assets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194,584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187,460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14,548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12,661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3,080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298,928</w:t>
            </w:r>
          </w:p>
        </w:tc>
        <w:tc>
          <w:tcPr>
            <w:tcW w:w="40" w:type="dxa"/>
            <w:vAlign w:val="bottom"/>
          </w:tcPr>
          <w:p>
            <w:pPr>
              <w:spacing w:after="0"/>
              <w:rPr>
                <w:sz w:val="18"/>
                <w:szCs w:val="18"/>
                <w:color w:val="auto"/>
              </w:rPr>
            </w:pPr>
          </w:p>
        </w:tc>
        <w:tc>
          <w:tcPr>
            <w:tcW w:w="5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361,618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SOURCES AND USES REPORT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11"/>
          </w:tcPr>
          <w:p>
            <w:pPr>
              <w:jc w:val="right"/>
              <w:ind w:right="820"/>
              <w:spacing w:after="0"/>
              <w:rPr>
                <w:sz w:val="20"/>
                <w:szCs w:val="20"/>
                <w:color w:val="auto"/>
              </w:rPr>
            </w:pPr>
            <w:r>
              <w:rPr>
                <w:rFonts w:ascii="Arial" w:cs="Arial" w:eastAsia="Arial" w:hAnsi="Arial"/>
                <w:sz w:val="18"/>
                <w:szCs w:val="18"/>
                <w:b w:val="1"/>
                <w:bCs w:val="1"/>
                <w:color w:val="auto"/>
              </w:rPr>
              <w:t>T h r e e  m o n t h s  e n d e 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380" w:type="dxa"/>
            <w:vAlign w:val="bottom"/>
            <w:tcBorders>
              <w:top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w w:val="92"/>
              </w:rPr>
              <w:t>December 31,</w:t>
            </w:r>
          </w:p>
        </w:tc>
        <w:tc>
          <w:tcPr>
            <w:tcW w:w="124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417,636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405,158</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464,446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71,561</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72,735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91,496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2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(43,704)</w:t>
            </w:r>
          </w:p>
        </w:tc>
        <w:tc>
          <w:tcPr>
            <w:tcW w:w="2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(43,017)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options, net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1,402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Debt repaid, net</w:t>
            </w:r>
          </w:p>
        </w:tc>
        <w:tc>
          <w:tcPr>
            <w:tcW w:w="2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(3,247)</w:t>
            </w:r>
          </w:p>
        </w:tc>
        <w:tc>
          <w:tcPr>
            <w:tcW w:w="2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(5,606)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(557)</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24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(87,530)</w:t>
            </w:r>
          </w:p>
        </w:tc>
        <w:tc>
          <w:tcPr>
            <w:tcW w:w="2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(11,573)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(123,126)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40" w:type="dxa"/>
            <w:vAlign w:val="bottom"/>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355,561</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417,636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385,091</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240" w:type="dxa"/>
            <w:vAlign w:val="bottom"/>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27,857</w:t>
            </w:r>
          </w:p>
        </w:tc>
        <w:tc>
          <w:tcPr>
            <w:tcW w:w="220" w:type="dxa"/>
            <w:vAlign w:val="bottom"/>
            <w:gridSpan w:val="2"/>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29,718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42,842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Y e a r</w:t>
            </w:r>
          </w:p>
        </w:tc>
        <w:tc>
          <w:tcPr>
            <w:tcW w:w="136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w w:val="87"/>
              </w:rPr>
              <w:t>e n d e 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385,091</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291,320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312,897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(172,166)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(169,741)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warrants and options,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Debt repaid, net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(19,402)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(132,928)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(158,476)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355,561</w:t>
            </w:r>
          </w:p>
        </w:tc>
        <w:tc>
          <w:tcPr>
            <w:tcW w:w="8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385,091</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119,154</w:t>
            </w:r>
          </w:p>
        </w:tc>
        <w:tc>
          <w:tcPr>
            <w:tcW w:w="8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143,156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CASH FLOWS (UNAUDITED)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Year ended</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 for the period</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88,073</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133,379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 net cash provided by operating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8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Depreciation and amortization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214,474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214,391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40"/>
              <w:spacing w:after="0"/>
              <w:rPr>
                <w:sz w:val="20"/>
                <w:szCs w:val="20"/>
                <w:color w:val="auto"/>
              </w:rPr>
            </w:pPr>
            <w:r>
              <w:rPr>
                <w:rFonts w:ascii="Arial" w:cs="Arial" w:eastAsia="Arial" w:hAnsi="Arial"/>
                <w:sz w:val="18"/>
                <w:szCs w:val="18"/>
                <w:b w:val="1"/>
                <w:bCs w:val="1"/>
                <w:color w:val="auto"/>
              </w:rPr>
              <w:t>Effect of indexation, translation and fair value measurement on debt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10,294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Other expense,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(4,293)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80"/>
              <w:spacing w:after="0"/>
              <w:rPr>
                <w:sz w:val="20"/>
                <w:szCs w:val="20"/>
                <w:color w:val="auto"/>
              </w:rPr>
            </w:pPr>
            <w:r>
              <w:rPr>
                <w:rFonts w:ascii="Arial" w:cs="Arial" w:eastAsia="Arial" w:hAnsi="Arial"/>
                <w:sz w:val="18"/>
                <w:szCs w:val="18"/>
                <w:b w:val="1"/>
                <w:bCs w:val="1"/>
                <w:color w:val="auto"/>
              </w:rPr>
              <w:t>Changes in assets and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Trade accounts receivable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27,317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40"/>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(4,600)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Inventories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(21,021)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40"/>
              <w:spacing w:after="0"/>
              <w:rPr>
                <w:sz w:val="20"/>
                <w:szCs w:val="20"/>
                <w:color w:val="auto"/>
              </w:rPr>
            </w:pPr>
            <w:r>
              <w:rPr>
                <w:rFonts w:ascii="Arial" w:cs="Arial" w:eastAsia="Arial" w:hAnsi="Arial"/>
                <w:sz w:val="18"/>
                <w:szCs w:val="18"/>
                <w:b w:val="1"/>
                <w:bCs w:val="1"/>
                <w:color w:val="auto"/>
              </w:rPr>
              <w:t>Trade accounts payable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Deferred revenue and customers' advances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(10,331)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40"/>
              <w:spacing w:after="0"/>
              <w:rPr>
                <w:sz w:val="20"/>
                <w:szCs w:val="20"/>
                <w:color w:val="auto"/>
              </w:rPr>
            </w:pPr>
            <w:r>
              <w:rPr>
                <w:rFonts w:ascii="Arial" w:cs="Arial" w:eastAsia="Arial" w:hAnsi="Arial"/>
                <w:sz w:val="18"/>
                <w:szCs w:val="18"/>
                <w:b w:val="1"/>
                <w:bCs w:val="1"/>
                <w:color w:val="auto"/>
              </w:rPr>
              <w:t>Other current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(9,435)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Long-term employee related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40"/>
              <w:spacing w:after="0"/>
              <w:rPr>
                <w:sz w:val="20"/>
                <w:szCs w:val="20"/>
                <w:color w:val="auto"/>
              </w:rPr>
            </w:pPr>
            <w:r>
              <w:rPr>
                <w:rFonts w:ascii="Arial" w:cs="Arial" w:eastAsia="Arial" w:hAnsi="Arial"/>
                <w:sz w:val="18"/>
                <w:szCs w:val="18"/>
                <w:b w:val="1"/>
                <w:bCs w:val="1"/>
                <w:color w:val="auto"/>
              </w:rPr>
              <w:t>Deferred tax, net and other long-term liabilities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(6,745)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291,320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312,897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(172,166)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(169,741)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deposits, marketable securities and other assets,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(132,928)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(158,476)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80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(305,094)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(328,217)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b w:val="1"/>
                <w:bCs w:val="1"/>
                <w:color w:val="auto"/>
              </w:rPr>
              <w:t>Debt repaid,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(19,402)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(48,849)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options</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800"/>
              <w:spacing w:after="0"/>
              <w:rPr>
                <w:sz w:val="20"/>
                <w:szCs w:val="20"/>
                <w:color w:val="auto"/>
              </w:rPr>
            </w:pPr>
            <w:r>
              <w:rPr>
                <w:rFonts w:ascii="Arial" w:cs="Arial" w:eastAsia="Arial" w:hAnsi="Arial"/>
                <w:sz w:val="18"/>
                <w:szCs w:val="18"/>
                <w:b w:val="1"/>
                <w:bCs w:val="1"/>
                <w:color w:val="auto"/>
              </w:rPr>
              <w:t>Net cash used in financing activities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(17,560)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EFFECT OF FOREIGN CURRENCY EXCHANGE RATE CHANGE</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(29,530)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(60,870)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385,091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355,561</w:t>
            </w:r>
          </w:p>
        </w:tc>
        <w:tc>
          <w:tcPr>
            <w:tcW w:w="12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385,091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2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2020-02-18T05:24:48Z</dcterms:created>
  <dcterms:modified xsi:type="dcterms:W3CDTF">2020-02-18T05:24:48Z</dcterms:modified>
</cp:coreProperties>
</file>