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August 2011 No. 7</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8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500"/>
        <w:spacing w:after="0"/>
        <w:tabs>
          <w:tab w:leader="none" w:pos="600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5020"/>
        <w:spacing w:after="0"/>
        <w:tabs>
          <w:tab w:leader="none" w:pos="60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 w:name="page2"/>
    <w:bookmarkEnd w:id="1"/>
    <w:p>
      <w:pPr>
        <w:ind w:left="660"/>
        <w:spacing w:after="0"/>
        <w:rPr>
          <w:sz w:val="20"/>
          <w:szCs w:val="20"/>
          <w:color w:val="auto"/>
        </w:rPr>
      </w:pPr>
      <w:r>
        <w:rPr>
          <w:rFonts w:ascii="Arial" w:cs="Arial" w:eastAsia="Arial" w:hAnsi="Arial"/>
          <w:sz w:val="18"/>
          <w:szCs w:val="18"/>
          <w:color w:val="auto"/>
        </w:rPr>
        <w:t>On August 18, 2011, the registrant Announces Receipt of $32 Million;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Completed Sale of its Holdings in HHSL. Attached please find the press release.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Form 6-K is being incorporated by reference into all effective registration statements filed by us under the Securities Act of 1933.</w:t>
      </w:r>
    </w:p>
    <w:p>
      <w:pPr>
        <w:spacing w:after="0" w:line="200" w:lineRule="exact"/>
        <w:rPr>
          <w:sz w:val="20"/>
          <w:szCs w:val="20"/>
          <w:color w:val="auto"/>
        </w:rPr>
      </w:pPr>
    </w:p>
    <w:p>
      <w:pPr>
        <w:spacing w:after="0" w:line="219"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360"/>
          </w:cols>
          <w:pgMar w:left="240" w:top="517" w:right="129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18, 2011</w:t>
      </w:r>
      <w:r>
        <w:rPr>
          <w:sz w:val="20"/>
          <w:szCs w:val="20"/>
          <w:color w:val="auto"/>
        </w:rPr>
        <w:tab/>
      </w:r>
      <w:r>
        <w:rPr>
          <w:rFonts w:ascii="Arial" w:cs="Arial" w:eastAsia="Arial" w:hAnsi="Arial"/>
          <w:sz w:val="17"/>
          <w:szCs w:val="17"/>
          <w:color w:val="auto"/>
        </w:rPr>
        <w:t>By: /s/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 Gilboa</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382"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513" w:right="719" w:bottom="1440" w:gutter="0" w:footer="0" w:header="0"/>
        </w:sectPr>
      </w:pPr>
    </w:p>
    <w:bookmarkStart w:id="3" w:name="page4"/>
    <w:bookmarkEnd w:id="3"/>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1835150" cy="805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35150" cy="80581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3"/>
          <w:szCs w:val="23"/>
          <w:b w:val="1"/>
          <w:bCs w:val="1"/>
          <w:color w:val="auto"/>
        </w:rPr>
        <w:t>TowerJazz Announces Receipt of $32 Million;</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Completed Sale of its Holdings in HHSL</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Book Value of the Holdings in HHSL is presented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 $17 Million in TowerJazz Balance Sheet</w:t>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MIGDAL HAEMEK, Israel and Newport Beach, CA – August 18, 2011 </w:t>
      </w:r>
      <w:r>
        <w:rPr>
          <w:rFonts w:ascii="Arial" w:cs="Arial" w:eastAsia="Arial" w:hAnsi="Arial"/>
          <w:sz w:val="18"/>
          <w:szCs w:val="18"/>
          <w:color w:val="auto"/>
        </w:rPr>
        <w:t>– TowerJazz, the global specialty foundry leader, today announced the closing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sale of all its holdings in Hua Hong Semiconductor Limited (“HHSL”), the parent company of HHNEC, one of Mainland China's leaders in the field of IC foundry service, in a HHSL share repurchase transaction, for $32 million in cash. TowerJazz’s holdings consisted of 10% of HHSL’S shares, valued per GAAP in the amount of $17 million on TowerJazz's balance sheet.</w:t>
      </w:r>
    </w:p>
    <w:p>
      <w:pPr>
        <w:spacing w:after="0" w:line="2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TowerJazz received the cash from this transaction and expects to record a gross gain in the third quarter of $15 million as a direct result of this sale, and approximately $8 million of net gain (after taking into account expected tax and other payments and fees associated with the transaction).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 advised TowerJazz on this transaction.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the global specialty foundry leader, its fully owned U.S. subsidiary Jazz Semiconductor and its fully owned Japanese subsidiary TowerJazz Japan, LTD,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multi-fab sourcing, TowerJazz maintains two manufacturing facilities in Israel, one in the U.S., and one in Japan with additional capacity available in China through manufacturing partnerships.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HHNEC</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Founded in July 1997, Shanghai Hua Hong NEC Electronics Company, Ltd. (‘HHNEC’) is one of Mainland China's leaders in the field of IC foundry service. The company is dedicated to the manufacture of IC, providing high quality products and value-added services to both domestic and overseas customers. It is well-known for its advanced technologies, on-time delivery performance, excellent yields and cost competitiveness. Based on its solid foundation in 0.35-0.13um memory, logic and mixed signal technologies, HHNEC has progressively developed many sought-after processes, including embedded non-volatile memories, HVCMOS, and RFCMOS. It focuses on embedded NVM, LCD driver, analog/power management, RF technology field and customer electronics, providing competitive and advanced platform of special processes. With its mature patented wafer processing techniques, HHNEC is able to help its customers achieve lower prototyping costs and shorter time-to-market For more information, please visit </w:t>
      </w:r>
      <w:r>
        <w:rPr>
          <w:rFonts w:ascii="Arial" w:cs="Arial" w:eastAsia="Arial" w:hAnsi="Arial"/>
          <w:sz w:val="16"/>
          <w:szCs w:val="16"/>
          <w:u w:val="single" w:color="auto"/>
          <w:color w:val="auto"/>
        </w:rPr>
        <w:t>http://www.hhnec.com/EN/AboutUs/Overview.aspx</w:t>
      </w:r>
      <w:r>
        <w:rPr>
          <w:rFonts w:ascii="Arial" w:cs="Arial" w:eastAsia="Arial" w:hAnsi="Arial"/>
          <w:sz w:val="16"/>
          <w:szCs w:val="16"/>
          <w:color w:val="auto"/>
        </w:rPr>
        <w:t>.</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9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gridSpan w:val="3"/>
          </w:tcPr>
          <w:p>
            <w:pPr>
              <w:ind w:left="40"/>
              <w:spacing w:after="0"/>
              <w:rPr>
                <w:sz w:val="20"/>
                <w:szCs w:val="20"/>
                <w:color w:val="auto"/>
              </w:rPr>
            </w:pPr>
            <w:r>
              <w:rPr>
                <w:rFonts w:ascii="Arial" w:cs="Arial" w:eastAsia="Arial" w:hAnsi="Arial"/>
                <w:sz w:val="18"/>
                <w:szCs w:val="18"/>
                <w:color w:val="auto"/>
              </w:rPr>
              <w:t>TowerJazz Investor Relations</w:t>
            </w:r>
          </w:p>
        </w:tc>
        <w:tc>
          <w:tcPr>
            <w:tcW w:w="7460" w:type="dxa"/>
            <w:vAlign w:val="bottom"/>
            <w:gridSpan w:val="3"/>
          </w:tcPr>
          <w:p>
            <w:pPr>
              <w:ind w:left="1740"/>
              <w:spacing w:after="0"/>
              <w:rPr>
                <w:sz w:val="20"/>
                <w:szCs w:val="20"/>
                <w:color w:val="auto"/>
              </w:rPr>
            </w:pPr>
            <w:r>
              <w:rPr>
                <w:rFonts w:ascii="Arial" w:cs="Arial" w:eastAsia="Arial" w:hAnsi="Arial"/>
                <w:sz w:val="18"/>
                <w:szCs w:val="18"/>
                <w:color w:val="auto"/>
              </w:rPr>
              <w:t>CCG Investor Relations</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Noit Levi, +972 4 604 7066</w:t>
            </w:r>
          </w:p>
        </w:tc>
        <w:tc>
          <w:tcPr>
            <w:tcW w:w="7460" w:type="dxa"/>
            <w:vAlign w:val="bottom"/>
            <w:gridSpan w:val="3"/>
          </w:tcPr>
          <w:p>
            <w:pPr>
              <w:ind w:left="1880"/>
              <w:spacing w:after="0"/>
              <w:rPr>
                <w:sz w:val="20"/>
                <w:szCs w:val="20"/>
                <w:color w:val="auto"/>
              </w:rPr>
            </w:pPr>
            <w:r>
              <w:rPr>
                <w:rFonts w:ascii="Arial" w:cs="Arial" w:eastAsia="Arial" w:hAnsi="Arial"/>
                <w:sz w:val="18"/>
                <w:szCs w:val="18"/>
                <w:color w:val="auto"/>
              </w:rPr>
              <w:t>Ehud Helft / Kenny Green, (646) 201 9246</w:t>
            </w: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3720" w:type="dxa"/>
            <w:vAlign w:val="bottom"/>
            <w:gridSpan w:val="2"/>
          </w:tcPr>
          <w:p>
            <w:pPr>
              <w:spacing w:after="0" w:line="190" w:lineRule="exact"/>
              <w:rPr>
                <w:sz w:val="20"/>
                <w:szCs w:val="20"/>
                <w:color w:val="auto"/>
              </w:rPr>
            </w:pPr>
            <w:r>
              <w:rPr>
                <w:rFonts w:ascii="Arial" w:cs="Arial" w:eastAsia="Arial" w:hAnsi="Arial"/>
                <w:sz w:val="18"/>
                <w:szCs w:val="18"/>
                <w:color w:val="auto"/>
              </w:rPr>
              <w:t>Noit.levi@towerazz.com</w:t>
            </w:r>
          </w:p>
        </w:tc>
        <w:tc>
          <w:tcPr>
            <w:tcW w:w="7460" w:type="dxa"/>
            <w:vAlign w:val="bottom"/>
            <w:gridSpan w:val="3"/>
          </w:tcPr>
          <w:p>
            <w:pPr>
              <w:ind w:left="1920"/>
              <w:spacing w:after="0" w:line="190" w:lineRule="exact"/>
              <w:rPr>
                <w:sz w:val="20"/>
                <w:szCs w:val="20"/>
                <w:color w:val="auto"/>
              </w:rPr>
            </w:pPr>
            <w:r>
              <w:rPr>
                <w:rFonts w:ascii="Arial" w:cs="Arial" w:eastAsia="Arial" w:hAnsi="Arial"/>
                <w:sz w:val="18"/>
                <w:szCs w:val="18"/>
                <w:color w:val="auto"/>
              </w:rPr>
              <w:t>towersemi@ccgisrael.com</w:t>
            </w:r>
          </w:p>
        </w:tc>
        <w:tc>
          <w:tcPr>
            <w:tcW w:w="0" w:type="dxa"/>
            <w:vAlign w:val="bottom"/>
          </w:tcPr>
          <w:p>
            <w:pPr>
              <w:spacing w:after="0"/>
              <w:rPr>
                <w:sz w:val="1"/>
                <w:szCs w:val="1"/>
                <w:color w:val="auto"/>
              </w:rPr>
            </w:pPr>
          </w:p>
        </w:tc>
      </w:tr>
      <w:tr>
        <w:trPr>
          <w:trHeight w:val="382"/>
        </w:trPr>
        <w:tc>
          <w:tcPr>
            <w:tcW w:w="24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1920" w:type="dxa"/>
            <w:vAlign w:val="bottom"/>
            <w:vMerge w:val="restart"/>
          </w:tcPr>
          <w:p>
            <w:pPr>
              <w:jc w:val="right"/>
              <w:ind w:right="25"/>
              <w:spacing w:after="0"/>
              <w:rPr>
                <w:sz w:val="20"/>
                <w:szCs w:val="20"/>
                <w:color w:val="auto"/>
              </w:rPr>
            </w:pPr>
            <w:r>
              <w:rPr>
                <w:rFonts w:ascii="Arial" w:cs="Arial" w:eastAsia="Arial" w:hAnsi="Arial"/>
                <w:sz w:val="22"/>
                <w:szCs w:val="22"/>
                <w:color w:val="auto"/>
              </w:rPr>
              <w:t>5</w:t>
            </w:r>
          </w:p>
        </w:tc>
        <w:tc>
          <w:tcPr>
            <w:tcW w:w="1920" w:type="dxa"/>
            <w:vAlign w:val="bottom"/>
            <w:tcBorders>
              <w:top w:val="single" w:sz="8" w:color="auto"/>
            </w:tcBorders>
            <w:vMerge w:val="restart"/>
          </w:tcPr>
          <w:p>
            <w:pPr>
              <w:spacing w:after="0"/>
              <w:rPr>
                <w:sz w:val="24"/>
                <w:szCs w:val="24"/>
                <w:color w:val="auto"/>
              </w:rPr>
            </w:pPr>
          </w:p>
        </w:tc>
        <w:tc>
          <w:tcPr>
            <w:tcW w:w="36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240" w:type="dxa"/>
            <w:vAlign w:val="bottom"/>
            <w:tcBorders>
              <w:left w:val="single" w:sz="8" w:color="808080"/>
            </w:tcBorders>
          </w:tcPr>
          <w:p>
            <w:pPr>
              <w:spacing w:after="0"/>
              <w:rPr>
                <w:sz w:val="6"/>
                <w:szCs w:val="6"/>
                <w:color w:val="auto"/>
              </w:rPr>
            </w:pPr>
          </w:p>
        </w:tc>
        <w:tc>
          <w:tcPr>
            <w:tcW w:w="180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1920" w:type="dxa"/>
            <w:vAlign w:val="bottom"/>
            <w:vMerge w:val="continue"/>
          </w:tcPr>
          <w:p>
            <w:pPr>
              <w:spacing w:after="0"/>
              <w:rPr>
                <w:sz w:val="6"/>
                <w:szCs w:val="6"/>
                <w:color w:val="auto"/>
              </w:rPr>
            </w:pPr>
          </w:p>
        </w:tc>
        <w:tc>
          <w:tcPr>
            <w:tcW w:w="3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-44450</wp:posOffset>
            </wp:positionV>
            <wp:extent cx="7250430" cy="45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4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2019-12-10T13:07:02Z</dcterms:created>
  <dcterms:modified xsi:type="dcterms:W3CDTF">2019-12-10T13:07:02Z</dcterms:modified>
</cp:coreProperties>
</file>