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For the month of September 2007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September 20, 2007, Tower Semiconductor announced that it Wins High-Volume Manufacturing Deal for Fab2 at the 0.13um Technology Generation.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20,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240" w:space="720"/>
            <w:col w:w="5259"/>
          </w:cols>
          <w:pgMar w:left="240" w:top="919" w:right="1440" w:bottom="1440" w:gutter="0" w:footer="0" w:header="0"/>
          <w:type w:val="continuous"/>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TOWER SEMICONDUCTOR WINS HIGH-VOLUME MANUFACTURING DEAL FOR FAB2 AT THE 0.13UM TECHNOLOGY GENERATION</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Expects Sales of Thousands of Wafers-per-Month to First-Tier U.S. IDM which could become one of Tower's top Three Customers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TECHNOLOGY TRANSFER TO COMMENCE NEXT QUARTER; PRODUCTION SHIPMENTS EXPECTED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TO BEGIN BY END OF 2008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MIGDAL HAEMEK, Israel - September 20, 2007 - Tower Semiconductor Ltd. (NASDAQ: TSEM; TASE: TSEM), a pure-play independent specialty foundry today announced that it has won a multi-million dollar per month manufacturing deal for its Fab2 at the 0.13-micron technology generation from a first-tier, U.S. integrated device manufacturer (IDM). Under this deal, technology will be transferred during the coming several quarters after which Tower expects to manufacture between five and eight thousand wafers-per-month, utilizing the new tools it is purchasing from companies such as AMD and Intel, as was previously announced.</w:t>
      </w:r>
    </w:p>
    <w:p>
      <w:pPr>
        <w:spacing w:after="0" w:line="1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high-volume production shipments are expected to commence towards the end of 2008. Following such production, Tower expects that the U.S. IDM could become one of Tower's top three customers.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"We are pleased, and feel it quite an achievement, that an IDM of this size, capability and reputation chose Tower to be it's foundry partner for a critical and projected very large volume family of products," said Tower's CEO, Russell Ellwanger. "We are excited that this product line will utilize our expanded manufacturing capacity in the advanced 0.13-micron technology. We are in advanced stages of closing the deals to acquire the additional tools needed to increase our capacity in Fab2 to a level that will meet this demand."</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 (ii) the cyclical nature of the semiconductor industry and the resulting periodic overcapacity, fluctuations in operating results, future average selling price erosion that may be more severe than our expectations, (iii) having sufficient funds to operate the company in the short-term and the funding needs for its ramp-up plan, (iv) operating our facilities at satisfactory utilization rates which is critical in order to defray the high level of fixed costs associated with operating a foundry and reduce our losses, (v) our ability to satisfy the covenants stipulated in our credit facility agreement, as amended,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and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 (xiv) the timely development, internal qualification and customer acceptance of new processes and products, (xv) the entering into and the consummation of agreements to purchase the equipment to increase Fab2 capacity and the timely installation thereof, (xvi) timely and successful execution of the technology transfer project mentioned above, including the customers' demand to grow to the quantities currently forecasted and (xvii) and business interruption due to terror attacks, earthquakes, other acts of God and the security situation in Israel.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Tower Semiconductor</w:t>
      </w:r>
    </w:p>
    <w:p>
      <w:pPr>
        <w:ind w:left="96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960"/>
        <w:spacing w:after="0"/>
        <w:rPr>
          <w:sz w:val="20"/>
          <w:szCs w:val="20"/>
          <w:color w:val="auto"/>
        </w:rPr>
      </w:pPr>
      <w:r>
        <w:rPr>
          <w:rFonts w:ascii="Courier New" w:cs="Courier New" w:eastAsia="Courier New" w:hAnsi="Courier New"/>
          <w:sz w:val="18"/>
          <w:szCs w:val="18"/>
          <w:color w:val="auto"/>
        </w:rPr>
        <w:t>noitle@towersemi.com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Shelton Group Public Relations</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Melissa Conger, +1 972-239-5119 ext 137</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mconger@sheltongroup.com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Shelton Group Investor Relations</w:t>
      </w:r>
    </w:p>
    <w:p>
      <w:pPr>
        <w:ind w:left="960"/>
        <w:spacing w:after="0" w:line="238" w:lineRule="auto"/>
        <w:rPr>
          <w:sz w:val="20"/>
          <w:szCs w:val="20"/>
          <w:color w:val="auto"/>
        </w:rPr>
      </w:pPr>
      <w:r>
        <w:rPr>
          <w:rFonts w:ascii="Courier New" w:cs="Courier New" w:eastAsia="Courier New" w:hAnsi="Courier New"/>
          <w:sz w:val="18"/>
          <w:szCs w:val="18"/>
          <w:color w:val="auto"/>
        </w:rPr>
        <w:t>Ryan Bright, + 1 972-239-5119 ext 159</w:t>
      </w:r>
    </w:p>
    <w:p>
      <w:pPr>
        <w:ind w:left="960"/>
        <w:spacing w:after="0"/>
        <w:rPr>
          <w:sz w:val="20"/>
          <w:szCs w:val="20"/>
          <w:color w:val="auto"/>
        </w:rPr>
      </w:pPr>
      <w:r>
        <w:rPr>
          <w:rFonts w:ascii="Courier New" w:cs="Courier New" w:eastAsia="Courier New" w:hAnsi="Courier New"/>
          <w:sz w:val="18"/>
          <w:szCs w:val="18"/>
          <w:color w:val="auto"/>
        </w:rPr>
        <w:t>rbright@sheltongroup.com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2019-12-14T04:20:39Z</dcterms:created>
  <dcterms:modified xsi:type="dcterms:W3CDTF">2019-12-14T04:20:39Z</dcterms:modified>
</cp:coreProperties>
</file>