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FORM 6-K</w:t>
      </w:r>
    </w:p>
    <w:p>
      <w:pPr>
        <w:spacing w:after="0" w:line="305"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SECURITIES AND EXCHANGE COMMISSION</w:t>
      </w:r>
    </w:p>
    <w:p>
      <w:pPr>
        <w:spacing w:after="0" w:line="24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 the month of May 2009 No. 6</w:t>
      </w:r>
    </w:p>
    <w:p>
      <w:pPr>
        <w:spacing w:after="0" w:line="19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TOWER SEMICONDUCTOR LTD.</w:t>
      </w:r>
    </w:p>
    <w:p>
      <w:pPr>
        <w:spacing w:after="0" w:line="4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Ramat Gavriel Industrial Park</w:t>
      </w:r>
    </w:p>
    <w:p>
      <w:pPr>
        <w:spacing w:after="0" w:line="21"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ind w:left="4320"/>
        <w:spacing w:after="0"/>
        <w:rPr>
          <w:sz w:val="20"/>
          <w:szCs w:val="20"/>
          <w:color w:val="auto"/>
        </w:rPr>
      </w:pPr>
      <w:r>
        <w:rPr>
          <w:rFonts w:ascii="Arial" w:cs="Arial" w:eastAsia="Arial" w:hAnsi="Arial"/>
          <w:sz w:val="18"/>
          <w:szCs w:val="18"/>
          <w:color w:val="auto"/>
        </w:rPr>
        <w:t>(Address of principal executive offices)</w:t>
      </w:r>
    </w:p>
    <w:p>
      <w:pPr>
        <w:spacing w:after="0" w:line="21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1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Form 20-F </w:t>
      </w:r>
      <w:r>
        <w:rPr>
          <w:rFonts w:ascii="Arial" w:cs="Arial" w:eastAsia="Arial" w:hAnsi="Arial"/>
          <w:sz w:val="21"/>
          <w:szCs w:val="21"/>
          <w:color w:val="auto"/>
        </w:rPr>
        <w:t>x</w:t>
      </w:r>
      <w:r>
        <w:rPr>
          <w:rFonts w:ascii="Arial" w:cs="Arial" w:eastAsia="Arial" w:hAnsi="Arial"/>
          <w:sz w:val="18"/>
          <w:szCs w:val="18"/>
          <w:color w:val="auto"/>
        </w:rPr>
        <w:t xml:space="preserve"> Form 40-F </w:t>
      </w:r>
      <w:r>
        <w:rPr>
          <w:rFonts w:ascii="Arial" w:cs="Arial" w:eastAsia="Arial" w:hAnsi="Arial"/>
          <w:sz w:val="21"/>
          <w:szCs w:val="21"/>
          <w:color w:val="auto"/>
        </w:rPr>
        <w:t>o</w:t>
      </w:r>
    </w:p>
    <w:p>
      <w:pPr>
        <w:spacing w:after="0" w:line="231" w:lineRule="exact"/>
        <w:rPr>
          <w:sz w:val="24"/>
          <w:szCs w:val="24"/>
          <w:color w:val="auto"/>
        </w:rPr>
      </w:pPr>
    </w:p>
    <w:p>
      <w:pPr>
        <w:ind w:right="680" w:firstLine="351"/>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21"/>
          <w:szCs w:val="21"/>
          <w:color w:val="auto"/>
        </w:rPr>
        <w:t>o</w:t>
      </w:r>
      <w:r>
        <w:rPr>
          <w:rFonts w:ascii="Arial" w:cs="Arial" w:eastAsia="Arial" w:hAnsi="Arial"/>
          <w:sz w:val="18"/>
          <w:szCs w:val="18"/>
          <w:color w:val="auto"/>
        </w:rPr>
        <w:t xml:space="preserve"> No </w:t>
      </w:r>
      <w:r>
        <w:rPr>
          <w:rFonts w:ascii="Arial" w:cs="Arial" w:eastAsia="Arial" w:hAnsi="Arial"/>
          <w:sz w:val="21"/>
          <w:szCs w:val="2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right="120" w:firstLine="351"/>
        <w:spacing w:after="0" w:line="268" w:lineRule="auto"/>
        <w:rPr>
          <w:sz w:val="20"/>
          <w:szCs w:val="20"/>
          <w:color w:val="auto"/>
        </w:rPr>
      </w:pPr>
      <w:r>
        <w:rPr>
          <w:rFonts w:ascii="Arial" w:cs="Arial" w:eastAsia="Arial" w:hAnsi="Arial"/>
          <w:sz w:val="18"/>
          <w:szCs w:val="18"/>
          <w:color w:val="auto"/>
        </w:rPr>
        <w:t>On May 27, 2009, the registrant announces Jazz Semiconductor’s DIRECT Multiproject Wafer (MPW) Shuttle Program Enables Rapid Design Verification and Faster Time-to-Market.</w:t>
      </w:r>
    </w:p>
    <w:p>
      <w:pPr>
        <w:spacing w:after="0" w:line="186" w:lineRule="exact"/>
        <w:rPr>
          <w:sz w:val="24"/>
          <w:szCs w:val="24"/>
          <w:color w:val="auto"/>
        </w:rPr>
      </w:pPr>
    </w:p>
    <w:p>
      <w:pPr>
        <w:ind w:left="360"/>
        <w:spacing w:after="0"/>
        <w:rPr>
          <w:sz w:val="20"/>
          <w:szCs w:val="20"/>
          <w:color w:val="auto"/>
        </w:rPr>
      </w:pPr>
      <w:r>
        <w:rPr>
          <w:rFonts w:ascii="Arial" w:cs="Arial" w:eastAsia="Arial" w:hAnsi="Arial"/>
          <w:sz w:val="18"/>
          <w:szCs w:val="18"/>
          <w:color w:val="auto"/>
        </w:rPr>
        <w:t>This Form 6-K is being incorporated by reference into all effective registration statements filed by us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4"/>
          <w:szCs w:val="24"/>
          <w:color w:val="auto"/>
        </w:rPr>
      </w:pPr>
    </w:p>
    <w:p>
      <w:pPr>
        <w:ind w:right="6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4"/>
          <w:szCs w:val="24"/>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ectPr>
          <w:pgSz w:w="11900" w:h="16838" w:orient="portrait"/>
          <w:cols w:equalWidth="0" w:num="1">
            <w:col w:w="11400"/>
          </w:cols>
          <w:pgMar w:left="240" w:top="476" w:right="259" w:bottom="0" w:gutter="0" w:footer="0" w:header="0"/>
        </w:sectPr>
      </w:pP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6"/>
          <w:szCs w:val="16"/>
          <w:color w:val="auto"/>
        </w:rPr>
        <w:t>Date: May 27, 2009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By: /s/ Nati Somekh Gilboa</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Nati Somekh Gilboa</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-3628390</wp:posOffset>
            </wp:positionH>
            <wp:positionV relativeFrom="paragraph">
              <wp:posOffset>271145</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5000" w:space="720"/>
            <w:col w:w="5680"/>
          </w:cols>
          <w:pgMar w:left="240" w:top="476" w:right="259" w:bottom="0" w:gutter="0" w:footer="0" w:header="0"/>
          <w:type w:val="continuous"/>
        </w:sectPr>
      </w:pPr>
    </w:p>
    <w:p>
      <w:pPr>
        <w:spacing w:after="0" w:line="200" w:lineRule="exact"/>
        <w:rPr>
          <w:sz w:val="24"/>
          <w:szCs w:val="24"/>
          <w:color w:val="auto"/>
        </w:rPr>
      </w:pPr>
    </w:p>
    <w:p>
      <w:pPr>
        <w:spacing w:after="0" w:line="28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Jazz Semiconductor's DIRECT Multiproject Wafer (MPW) Shuttle Program</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Enables Rapid Design Verification and Faster Time-to-Market</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Direct Interface with Jazz Headquarters Ideal for Aerospace and Defense Customers</w:t>
      </w:r>
    </w:p>
    <w:p>
      <w:pPr>
        <w:spacing w:after="0" w:line="232" w:lineRule="exact"/>
        <w:rPr>
          <w:sz w:val="24"/>
          <w:szCs w:val="24"/>
          <w:color w:val="auto"/>
        </w:rPr>
      </w:pPr>
    </w:p>
    <w:p>
      <w:pPr>
        <w:ind w:right="120"/>
        <w:spacing w:after="0" w:line="228" w:lineRule="auto"/>
        <w:rPr>
          <w:sz w:val="20"/>
          <w:szCs w:val="20"/>
          <w:color w:val="auto"/>
        </w:rPr>
      </w:pPr>
      <w:r>
        <w:rPr>
          <w:rFonts w:ascii="Arial" w:cs="Arial" w:eastAsia="Arial" w:hAnsi="Arial"/>
          <w:sz w:val="18"/>
          <w:szCs w:val="18"/>
          <w:b w:val="1"/>
          <w:bCs w:val="1"/>
          <w:color w:val="auto"/>
        </w:rPr>
        <w:t xml:space="preserve">NEWPORT BEACH, Calif. May 27, 2009 – </w:t>
      </w:r>
      <w:r>
        <w:rPr>
          <w:rFonts w:ascii="Arial" w:cs="Arial" w:eastAsia="Arial" w:hAnsi="Arial"/>
          <w:sz w:val="18"/>
          <w:szCs w:val="18"/>
          <w:color w:val="auto"/>
        </w:rPr>
        <w:t>Jazz Semiconductor</w:t>
      </w:r>
      <w:r>
        <w:rPr>
          <w:rFonts w:ascii="Arial" w:cs="Arial" w:eastAsia="Arial" w:hAnsi="Arial"/>
          <w:sz w:val="29"/>
          <w:szCs w:val="29"/>
          <w:color w:val="auto"/>
          <w:vertAlign w:val="superscript"/>
        </w:rPr>
        <w:t>®</w:t>
      </w:r>
      <w:r>
        <w:rPr>
          <w:rFonts w:ascii="Arial" w:cs="Arial" w:eastAsia="Arial" w:hAnsi="Arial"/>
          <w:sz w:val="18"/>
          <w:szCs w:val="18"/>
          <w:color w:val="auto"/>
        </w:rPr>
        <w:t>, a Tower Group Company (NASDAQ: TSEM, TASE: TSEM), and the leader in Analog-Intensive Mixed-Signal (AIMS) foundry solutions, today announced its DIRECT Multiproject Wafer (MPW) shuttle program offering customers quick and low-cost prototyping with access to high performance processes. The program provides a vehicle to develop new designs in CMOS, SiGe and SOI and bring these to market quickly, without incurring the full cost of a complete mask set.</w:t>
      </w:r>
    </w:p>
    <w:p>
      <w:pPr>
        <w:spacing w:after="0" w:line="213" w:lineRule="exact"/>
        <w:rPr>
          <w:sz w:val="24"/>
          <w:szCs w:val="24"/>
          <w:color w:val="auto"/>
        </w:rPr>
      </w:pPr>
    </w:p>
    <w:p>
      <w:pPr>
        <w:jc w:val="both"/>
        <w:ind w:right="240"/>
        <w:spacing w:after="0" w:line="306" w:lineRule="auto"/>
        <w:rPr>
          <w:sz w:val="20"/>
          <w:szCs w:val="20"/>
          <w:color w:val="auto"/>
        </w:rPr>
      </w:pPr>
      <w:r>
        <w:rPr>
          <w:rFonts w:ascii="Arial" w:cs="Arial" w:eastAsia="Arial" w:hAnsi="Arial"/>
          <w:sz w:val="16"/>
          <w:szCs w:val="16"/>
          <w:color w:val="auto"/>
        </w:rPr>
        <w:t>The DIRECT MPW program offered by Jazz is especially advantageous for Aerospace and Defense (A&amp;D) customers requiring ITAR protection by handling projects directly at its U.S. headquarters without access by a third party. The company’s A&amp;D support, operations and logistics team is specifically designed to support low volume production for critical Military Programs at its ISO 9001 US-based manufacturing facility.</w:t>
      </w:r>
    </w:p>
    <w:p>
      <w:pPr>
        <w:spacing w:after="0" w:line="161" w:lineRule="exact"/>
        <w:rPr>
          <w:sz w:val="24"/>
          <w:szCs w:val="24"/>
          <w:color w:val="auto"/>
        </w:rPr>
      </w:pPr>
    </w:p>
    <w:p>
      <w:pPr>
        <w:ind w:right="100"/>
        <w:spacing w:after="0" w:line="256" w:lineRule="auto"/>
        <w:rPr>
          <w:sz w:val="20"/>
          <w:szCs w:val="20"/>
          <w:color w:val="auto"/>
        </w:rPr>
      </w:pPr>
      <w:r>
        <w:rPr>
          <w:rFonts w:ascii="Arial" w:cs="Arial" w:eastAsia="Arial" w:hAnsi="Arial"/>
          <w:sz w:val="18"/>
          <w:szCs w:val="18"/>
          <w:color w:val="auto"/>
        </w:rPr>
        <w:t>Direct engagement with in-house R&amp;D and process experts at Jazz headquarters provides faster and more effective design interfaces and support. Through the DIRECT MPW program, Jazz offers customers rapid question resolution for design related issues to streamline the tape-in/mask generation process as well as direct process integration feedback and recommendations to further speed time-to-revenue. Monthly MPW runs include both CMOS and SiGe with speeds of up to 200GHz as well as SOI on selected processes.</w:t>
      </w:r>
    </w:p>
    <w:p>
      <w:pPr>
        <w:spacing w:after="0" w:line="197" w:lineRule="exact"/>
        <w:rPr>
          <w:sz w:val="24"/>
          <w:szCs w:val="24"/>
          <w:color w:val="auto"/>
        </w:rPr>
      </w:pPr>
    </w:p>
    <w:p>
      <w:pPr>
        <w:spacing w:after="0" w:line="256" w:lineRule="auto"/>
        <w:rPr>
          <w:sz w:val="20"/>
          <w:szCs w:val="20"/>
          <w:color w:val="auto"/>
        </w:rPr>
      </w:pPr>
      <w:r>
        <w:rPr>
          <w:rFonts w:ascii="Arial" w:cs="Arial" w:eastAsia="Arial" w:hAnsi="Arial"/>
          <w:sz w:val="18"/>
          <w:szCs w:val="18"/>
          <w:color w:val="auto"/>
        </w:rPr>
        <w:t>“Jazz’s DIRECT MPW program, in addition to supporting the greater commercial community, is an extremely valuable service for the complex Aerospace and Defense industry providing faster and more effective design interfaces and support to specifically meet their crucial needs,” said Mike Scott, Director of Sales and Marketing Jazz Aerospace and Defense Business Sector. “We look forward to continuing to respond to our customers’ needs as well as expanding the DIRECT MPW Program to provide improved value-added services to the A&amp;D sector.”</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For more information or questions regarding this program please visit </w:t>
      </w:r>
      <w:r>
        <w:rPr>
          <w:rFonts w:ascii="Arial" w:cs="Arial" w:eastAsia="Arial" w:hAnsi="Arial"/>
          <w:sz w:val="18"/>
          <w:szCs w:val="18"/>
          <w:u w:val="single" w:color="auto"/>
          <w:color w:val="auto"/>
        </w:rPr>
        <w:t>www.jazzsemi.com</w:t>
      </w:r>
      <w:r>
        <w:rPr>
          <w:rFonts w:ascii="Arial" w:cs="Arial" w:eastAsia="Arial" w:hAnsi="Arial"/>
          <w:sz w:val="18"/>
          <w:szCs w:val="18"/>
          <w:color w:val="auto"/>
        </w:rPr>
        <w:t xml:space="preserve"> or contact </w:t>
      </w:r>
      <w:r>
        <w:rPr>
          <w:rFonts w:ascii="Arial" w:cs="Arial" w:eastAsia="Arial" w:hAnsi="Arial"/>
          <w:sz w:val="18"/>
          <w:szCs w:val="18"/>
          <w:u w:val="single" w:color="auto"/>
          <w:color w:val="auto"/>
        </w:rPr>
        <w:t>mpw@jazzsemi.com</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5043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0955"/>
                    </a:xfrm>
                    <a:prstGeom prst="rect">
                      <a:avLst/>
                    </a:prstGeom>
                    <a:noFill/>
                  </pic:spPr>
                </pic:pic>
              </a:graphicData>
            </a:graphic>
          </wp:anchor>
        </w:drawing>
      </w:r>
    </w:p>
    <w:p>
      <w:pPr>
        <w:sectPr>
          <w:pgSz w:w="11900" w:h="16838" w:orient="portrait"/>
          <w:cols w:equalWidth="0" w:num="1">
            <w:col w:w="11400"/>
          </w:cols>
          <w:pgMar w:left="240" w:top="476" w:right="25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07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10795"/>
                    </a:xfrm>
                    <a:prstGeom prst="rect">
                      <a:avLst/>
                    </a:prstGeom>
                    <a:noFill/>
                  </pic:spPr>
                </pic:pic>
              </a:graphicData>
            </a:graphic>
          </wp:anchor>
        </w:drawing>
        <w:t>About Jazz Semiconductor, Inc.</w:t>
      </w:r>
    </w:p>
    <w:p>
      <w:pPr>
        <w:spacing w:after="0" w:line="2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Jazz Semiconductor, Inc., a Tower Group Company (NASDAQ: TSEM, TASE: TSEM), is a leading wafer foundry focused on Analog-Intensive Mixed-Signal (AIMS) process technologies. Jazz offers world-class design enablement tools to allow complex designs to be achieved quickly and more accurately. The company’s broad process portfolio of modular AIMS technologies includes RFCMOS, Analog CMOS, Silicon and SiGe BiCMOS, SiGe C-BiCMOS, MEMS, Power CMOS and High Voltage CMOS. Through access to Tower’s process technologies, Jazz offers Embedded NVM, CMOS Image Sensors, and Flash MTP and OTP solutions. Jazz Semiconductor’s executive offices and its U.S. wafer fabrication facility are located in Newport Beach, CA. For more information, please visit and </w:t>
      </w:r>
      <w:r>
        <w:rPr>
          <w:rFonts w:ascii="Arial" w:cs="Arial" w:eastAsia="Arial" w:hAnsi="Arial"/>
          <w:sz w:val="18"/>
          <w:szCs w:val="18"/>
          <w:u w:val="single" w:color="auto"/>
          <w:color w:val="auto"/>
        </w:rPr>
        <w:t>www.jazzsemi.com</w:t>
      </w:r>
      <w:r>
        <w:rPr>
          <w:rFonts w:ascii="Arial" w:cs="Arial" w:eastAsia="Arial" w:hAnsi="Arial"/>
          <w:sz w:val="18"/>
          <w:szCs w:val="18"/>
          <w:color w:val="auto"/>
        </w:rPr>
        <w: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and 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Tower and Jazz do not intend to update, and expressly disclaim any obligation to update, the information contained in this release.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Jazz Company Contact:</w:t>
            </w:r>
          </w:p>
        </w:tc>
        <w:tc>
          <w:tcPr>
            <w:tcW w:w="5700" w:type="dxa"/>
            <w:vAlign w:val="bottom"/>
            <w:gridSpan w:val="2"/>
          </w:tcPr>
          <w:p>
            <w:pPr>
              <w:spacing w:after="0"/>
              <w:rPr>
                <w:sz w:val="20"/>
                <w:szCs w:val="20"/>
                <w:color w:val="auto"/>
              </w:rPr>
            </w:pPr>
            <w:r>
              <w:rPr>
                <w:rFonts w:ascii="Arial" w:cs="Arial" w:eastAsia="Arial" w:hAnsi="Arial"/>
                <w:sz w:val="18"/>
                <w:szCs w:val="18"/>
                <w:color w:val="auto"/>
              </w:rPr>
              <w:t>Jazz Media Contact:</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Melinda Jarrell</w:t>
            </w:r>
          </w:p>
        </w:tc>
        <w:tc>
          <w:tcPr>
            <w:tcW w:w="5700" w:type="dxa"/>
            <w:vAlign w:val="bottom"/>
            <w:gridSpan w:val="2"/>
          </w:tcPr>
          <w:p>
            <w:pPr>
              <w:spacing w:after="0"/>
              <w:rPr>
                <w:sz w:val="20"/>
                <w:szCs w:val="20"/>
                <w:color w:val="auto"/>
              </w:rPr>
            </w:pPr>
            <w:r>
              <w:rPr>
                <w:rFonts w:ascii="Arial" w:cs="Arial" w:eastAsia="Arial" w:hAnsi="Arial"/>
                <w:sz w:val="18"/>
                <w:szCs w:val="18"/>
                <w:color w:val="auto"/>
              </w:rPr>
              <w:t>Lauri Julian</w:t>
            </w: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949/435-8181</w:t>
            </w:r>
          </w:p>
        </w:tc>
        <w:tc>
          <w:tcPr>
            <w:tcW w:w="356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Arial" w:cs="Arial" w:eastAsia="Arial" w:hAnsi="Arial"/>
                <w:sz w:val="18"/>
                <w:szCs w:val="18"/>
                <w:color w:val="auto"/>
              </w:rPr>
              <w:t>949/715-3049</w:t>
            </w:r>
          </w:p>
        </w:tc>
        <w:tc>
          <w:tcPr>
            <w:tcW w:w="3820" w:type="dxa"/>
            <w:vAlign w:val="bottom"/>
          </w:tcPr>
          <w:p>
            <w:pPr>
              <w:spacing w:after="0"/>
              <w:rPr>
                <w:sz w:val="18"/>
                <w:szCs w:val="18"/>
                <w:color w:val="auto"/>
              </w:rPr>
            </w:pPr>
          </w:p>
        </w:tc>
      </w:tr>
      <w:tr>
        <w:trPr>
          <w:trHeight w:val="184"/>
        </w:trPr>
        <w:tc>
          <w:tcPr>
            <w:tcW w:w="5720" w:type="dxa"/>
            <w:vAlign w:val="bottom"/>
            <w:gridSpan w:val="2"/>
          </w:tcPr>
          <w:p>
            <w:pPr>
              <w:spacing w:after="0" w:line="184" w:lineRule="exact"/>
              <w:rPr>
                <w:sz w:val="20"/>
                <w:szCs w:val="20"/>
                <w:color w:val="auto"/>
              </w:rPr>
            </w:pPr>
            <w:r>
              <w:rPr>
                <w:rFonts w:ascii="Arial" w:cs="Arial" w:eastAsia="Arial" w:hAnsi="Arial"/>
                <w:sz w:val="18"/>
                <w:szCs w:val="18"/>
                <w:color w:val="auto"/>
              </w:rPr>
              <w:t>melinda.jarrell@jazzsemi.com</w:t>
            </w:r>
          </w:p>
        </w:tc>
        <w:tc>
          <w:tcPr>
            <w:tcW w:w="5700" w:type="dxa"/>
            <w:vAlign w:val="bottom"/>
            <w:gridSpan w:val="2"/>
          </w:tcPr>
          <w:p>
            <w:pPr>
              <w:spacing w:after="0" w:line="184" w:lineRule="exact"/>
              <w:rPr>
                <w:sz w:val="20"/>
                <w:szCs w:val="20"/>
                <w:color w:val="auto"/>
              </w:rPr>
            </w:pPr>
            <w:r>
              <w:rPr>
                <w:rFonts w:ascii="Arial" w:cs="Arial" w:eastAsia="Arial" w:hAnsi="Arial"/>
                <w:sz w:val="18"/>
                <w:szCs w:val="18"/>
                <w:color w:val="auto"/>
              </w:rPr>
              <w:t>lauri.julian@jazzsemi.com</w:t>
            </w:r>
          </w:p>
        </w:tc>
      </w:tr>
      <w:tr>
        <w:trPr>
          <w:trHeight w:val="436"/>
        </w:trPr>
        <w:tc>
          <w:tcPr>
            <w:tcW w:w="2160" w:type="dxa"/>
            <w:vAlign w:val="bottom"/>
            <w:tcBorders>
              <w:top w:val="single" w:sz="8" w:color="auto"/>
            </w:tcBorders>
          </w:tcPr>
          <w:p>
            <w:pPr>
              <w:spacing w:after="0"/>
              <w:rPr>
                <w:sz w:val="24"/>
                <w:szCs w:val="24"/>
                <w:color w:val="auto"/>
              </w:rPr>
            </w:pPr>
          </w:p>
        </w:tc>
        <w:tc>
          <w:tcPr>
            <w:tcW w:w="3560" w:type="dxa"/>
            <w:vAlign w:val="bottom"/>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c>
          <w:tcPr>
            <w:tcW w:w="3820" w:type="dxa"/>
            <w:vAlign w:val="bottom"/>
          </w:tcPr>
          <w:p>
            <w:pPr>
              <w:spacing w:after="0"/>
              <w:rPr>
                <w:sz w:val="24"/>
                <w:szCs w:val="24"/>
                <w:color w:val="auto"/>
              </w:rPr>
            </w:pPr>
          </w:p>
        </w:tc>
      </w:tr>
      <w:tr>
        <w:trPr>
          <w:trHeight w:val="61"/>
        </w:trPr>
        <w:tc>
          <w:tcPr>
            <w:tcW w:w="2160" w:type="dxa"/>
            <w:vAlign w:val="bottom"/>
            <w:shd w:val="clear" w:color="auto" w:fill="808080"/>
          </w:tcPr>
          <w:p>
            <w:pPr>
              <w:spacing w:after="0"/>
              <w:rPr>
                <w:sz w:val="5"/>
                <w:szCs w:val="5"/>
                <w:color w:val="auto"/>
              </w:rPr>
            </w:pPr>
          </w:p>
        </w:tc>
        <w:tc>
          <w:tcPr>
            <w:tcW w:w="3560" w:type="dxa"/>
            <w:vAlign w:val="bottom"/>
            <w:shd w:val="clear" w:color="auto" w:fill="808080"/>
          </w:tcPr>
          <w:p>
            <w:pPr>
              <w:spacing w:after="0"/>
              <w:rPr>
                <w:sz w:val="5"/>
                <w:szCs w:val="5"/>
                <w:color w:val="auto"/>
              </w:rPr>
            </w:pPr>
          </w:p>
        </w:tc>
        <w:tc>
          <w:tcPr>
            <w:tcW w:w="1880" w:type="dxa"/>
            <w:vAlign w:val="bottom"/>
            <w:shd w:val="clear" w:color="auto" w:fill="808080"/>
          </w:tcPr>
          <w:p>
            <w:pPr>
              <w:spacing w:after="0"/>
              <w:rPr>
                <w:sz w:val="5"/>
                <w:szCs w:val="5"/>
                <w:color w:val="auto"/>
              </w:rPr>
            </w:pPr>
          </w:p>
        </w:tc>
        <w:tc>
          <w:tcPr>
            <w:tcW w:w="3820" w:type="dxa"/>
            <w:vAlign w:val="bottom"/>
            <w:shd w:val="clear" w:color="auto" w:fill="808080"/>
          </w:tcPr>
          <w:p>
            <w:pPr>
              <w:spacing w:after="0"/>
              <w:rPr>
                <w:sz w:val="5"/>
                <w:szCs w:val="5"/>
                <w:color w:val="auto"/>
              </w:rPr>
            </w:pPr>
          </w:p>
        </w:tc>
      </w:tr>
    </w:tbl>
    <w:p>
      <w:pPr>
        <w:spacing w:after="0" w:line="1" w:lineRule="exact"/>
        <w:rPr>
          <w:sz w:val="20"/>
          <w:szCs w:val="20"/>
          <w:color w:val="auto"/>
        </w:rPr>
      </w:pPr>
    </w:p>
    <w:sectPr>
      <w:pgSz w:w="11900" w:h="16838" w:orient="portrait"/>
      <w:cols w:equalWidth="0" w:num="1">
        <w:col w:w="11420"/>
      </w:cols>
      <w:pgMar w:left="240" w:top="3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2019-12-10T12:47:08Z</dcterms:created>
  <dcterms:modified xsi:type="dcterms:W3CDTF">2019-12-10T12:47:08Z</dcterms:modified>
</cp:coreProperties>
</file>