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9" w:lineRule="exact"/>
        <w:rPr>
          <w:sz w:val="24"/>
          <w:szCs w:val="24"/>
          <w:color w:val="auto"/>
        </w:rPr>
      </w:pPr>
    </w:p>
    <w:p>
      <w:pPr>
        <w:jc w:val="center"/>
        <w:ind w:right="1874"/>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874"/>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874"/>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785"/>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945"/>
        <w:spacing w:after="0"/>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625"/>
        <w:spacing w:after="0"/>
        <w:rPr>
          <w:sz w:val="20"/>
          <w:szCs w:val="20"/>
          <w:color w:val="auto"/>
        </w:rPr>
      </w:pPr>
      <w:r>
        <w:rPr>
          <w:rFonts w:ascii="Courier New" w:cs="Courier New" w:eastAsia="Courier New" w:hAnsi="Courier New"/>
          <w:sz w:val="18"/>
          <w:szCs w:val="18"/>
          <w:color w:val="auto"/>
        </w:rPr>
        <w:t>Tower Semiconductor LTD</w:t>
      </w:r>
    </w:p>
    <w:p>
      <w:pPr>
        <w:spacing w:after="0" w:line="201" w:lineRule="exact"/>
        <w:rPr>
          <w:sz w:val="24"/>
          <w:szCs w:val="24"/>
          <w:color w:val="auto"/>
        </w:rPr>
      </w:pPr>
    </w:p>
    <w:p>
      <w:pPr>
        <w:ind w:left="3045"/>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3045"/>
        <w:spacing w:after="0"/>
        <w:rPr>
          <w:sz w:val="20"/>
          <w:szCs w:val="20"/>
          <w:color w:val="auto"/>
        </w:rPr>
      </w:pPr>
      <w:r>
        <w:rPr>
          <w:rFonts w:ascii="Courier New" w:cs="Courier New" w:eastAsia="Courier New" w:hAnsi="Courier New"/>
          <w:sz w:val="18"/>
          <w:szCs w:val="18"/>
          <w:color w:val="auto"/>
        </w:rPr>
        <w:t>Ordinary Shares</w:t>
      </w:r>
    </w:p>
    <w:p>
      <w:pPr>
        <w:spacing w:after="0" w:line="201" w:lineRule="exact"/>
        <w:rPr>
          <w:sz w:val="24"/>
          <w:szCs w:val="24"/>
          <w:color w:val="auto"/>
        </w:rPr>
      </w:pPr>
    </w:p>
    <w:p>
      <w:pPr>
        <w:jc w:val="center"/>
        <w:ind w:right="1894"/>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65"/>
        <w:spacing w:after="0"/>
        <w:rPr>
          <w:sz w:val="20"/>
          <w:szCs w:val="20"/>
          <w:color w:val="auto"/>
        </w:rPr>
      </w:pPr>
      <w:r>
        <w:rPr>
          <w:rFonts w:ascii="Courier New" w:cs="Courier New" w:eastAsia="Courier New" w:hAnsi="Courier New"/>
          <w:sz w:val="18"/>
          <w:szCs w:val="18"/>
          <w:color w:val="auto"/>
        </w:rPr>
        <w:t>891856908</w:t>
      </w:r>
    </w:p>
    <w:p>
      <w:pPr>
        <w:spacing w:after="0" w:line="201" w:lineRule="exact"/>
        <w:rPr>
          <w:sz w:val="24"/>
          <w:szCs w:val="24"/>
          <w:color w:val="auto"/>
        </w:rPr>
      </w:pPr>
    </w:p>
    <w:p>
      <w:pPr>
        <w:ind w:left="3165"/>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1994"/>
        <w:spacing w:after="0"/>
        <w:rPr>
          <w:sz w:val="20"/>
          <w:szCs w:val="20"/>
          <w:color w:val="auto"/>
        </w:rPr>
      </w:pPr>
      <w:r>
        <w:rPr>
          <w:rFonts w:ascii="Courier New" w:cs="Courier New" w:eastAsia="Courier New" w:hAnsi="Courier New"/>
          <w:sz w:val="18"/>
          <w:szCs w:val="18"/>
          <w:color w:val="auto"/>
        </w:rPr>
        <w:t>November 30, 2001</w:t>
      </w:r>
    </w:p>
    <w:p>
      <w:pPr>
        <w:spacing w:after="0" w:line="201" w:lineRule="exact"/>
        <w:rPr>
          <w:sz w:val="24"/>
          <w:szCs w:val="24"/>
          <w:color w:val="auto"/>
        </w:rPr>
      </w:pPr>
    </w:p>
    <w:p>
      <w:pPr>
        <w:ind w:left="945"/>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ind w:left="5"/>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ind w:left="5"/>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 w:right="7899" w:hanging="5"/>
        <w:spacing w:after="0" w:line="279" w:lineRule="auto"/>
        <w:tabs>
          <w:tab w:leader="none" w:pos="42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left="5"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left="5"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ind w:left="5"/>
        <w:spacing w:after="0"/>
        <w:tabs>
          <w:tab w:leader="none" w:pos="6725" w:val="left"/>
        </w:tabs>
        <w:rPr>
          <w:sz w:val="20"/>
          <w:szCs w:val="20"/>
          <w:color w:val="auto"/>
        </w:rPr>
      </w:pPr>
      <w:r>
        <w:rPr>
          <w:rFonts w:ascii="Courier New" w:cs="Courier New" w:eastAsia="Courier New" w:hAnsi="Courier New"/>
          <w:sz w:val="18"/>
          <w:szCs w:val="18"/>
          <w:color w:val="auto"/>
        </w:rPr>
        <w:t>CUSIP: 891856908</w:t>
      </w:r>
      <w:r>
        <w:rPr>
          <w:sz w:val="20"/>
          <w:szCs w:val="20"/>
          <w:color w:val="auto"/>
        </w:rPr>
        <w:tab/>
      </w:r>
      <w:r>
        <w:rPr>
          <w:rFonts w:ascii="Courier New" w:cs="Courier New" w:eastAsia="Courier New" w:hAnsi="Courier New"/>
          <w:sz w:val="16"/>
          <w:szCs w:val="16"/>
          <w:color w:val="auto"/>
        </w:rPr>
        <w:t>Page 1 of 7</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525" w:hanging="420"/>
        <w:spacing w:after="0"/>
        <w:tabs>
          <w:tab w:leader="none" w:pos="52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25" w:right="29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Group International, Inc.</w:t>
      </w:r>
    </w:p>
    <w:p>
      <w:pPr>
        <w:spacing w:after="0" w:line="1" w:lineRule="exact"/>
        <w:rPr>
          <w:rFonts w:ascii="Courier New" w:cs="Courier New" w:eastAsia="Courier New" w:hAnsi="Courier New"/>
          <w:sz w:val="18"/>
          <w:szCs w:val="18"/>
          <w:color w:val="auto"/>
        </w:rPr>
      </w:pPr>
    </w:p>
    <w:p>
      <w:pPr>
        <w:ind w:left="52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95-4154357</w:t>
      </w:r>
    </w:p>
    <w:p>
      <w:pPr>
        <w:spacing w:after="0" w:line="202" w:lineRule="exact"/>
        <w:rPr>
          <w:sz w:val="24"/>
          <w:szCs w:val="24"/>
          <w:color w:val="auto"/>
        </w:rPr>
      </w:pPr>
    </w:p>
    <w:p>
      <w:pPr>
        <w:ind w:left="105"/>
        <w:spacing w:after="0"/>
        <w:tabs>
          <w:tab w:leader="none" w:pos="505"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 (SEE</w:t>
      </w:r>
    </w:p>
    <w:p>
      <w:pPr>
        <w:sectPr>
          <w:pgSz w:w="11900" w:h="16855" w:orient="portrait"/>
          <w:cols w:equalWidth="0" w:num="1">
            <w:col w:w="9684"/>
          </w:cols>
          <w:pgMar w:left="775" w:top="1440" w:right="1440" w:bottom="0" w:gutter="0" w:footer="0" w:header="0"/>
        </w:sectPr>
      </w:pPr>
    </w:p>
    <w:bookmarkStart w:id="1" w:name="page2"/>
    <w:bookmarkEnd w:id="1"/>
    <w:p>
      <w:pPr>
        <w:ind w:left="520"/>
        <w:spacing w:after="0"/>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1" w:lineRule="exact"/>
        <w:rPr>
          <w:sz w:val="20"/>
          <w:szCs w:val="20"/>
          <w:color w:val="auto"/>
        </w:rPr>
      </w:pPr>
    </w:p>
    <w:p>
      <w:pPr>
        <w:ind w:left="716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ind w:left="520" w:hanging="420"/>
        <w:spacing w:after="0"/>
        <w:tabs>
          <w:tab w:leader="none" w:pos="5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0" w:right="5359" w:hanging="420"/>
        <w:spacing w:after="0" w:line="470" w:lineRule="auto"/>
        <w:tabs>
          <w:tab w:leader="none" w:pos="5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pacing w:after="0" w:line="214" w:lineRule="exact"/>
        <w:rPr>
          <w:sz w:val="20"/>
          <w:szCs w:val="20"/>
          <w:color w:val="auto"/>
        </w:rPr>
      </w:pPr>
    </w:p>
    <w:p>
      <w:pPr>
        <w:ind w:left="1900" w:right="5999" w:hanging="430"/>
        <w:spacing w:after="0" w:line="470" w:lineRule="auto"/>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698,000</w:t>
      </w:r>
    </w:p>
    <w:p>
      <w:pPr>
        <w:spacing w:after="0" w:line="209" w:lineRule="exact"/>
        <w:rPr>
          <w:sz w:val="20"/>
          <w:szCs w:val="20"/>
          <w:color w:val="auto"/>
        </w:rPr>
      </w:pPr>
    </w:p>
    <w:p>
      <w:pPr>
        <w:ind w:left="1900" w:hanging="430"/>
        <w:spacing w:after="0"/>
        <w:tabs>
          <w:tab w:leader="none" w:pos="19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ind w:left="10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851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8519"/>
        <w:spacing w:after="0"/>
        <w:rPr>
          <w:sz w:val="20"/>
          <w:szCs w:val="20"/>
          <w:color w:val="auto"/>
        </w:rPr>
      </w:pPr>
      <w:r>
        <w:rPr>
          <w:rFonts w:ascii="Courier New" w:cs="Courier New" w:eastAsia="Courier New" w:hAnsi="Courier New"/>
          <w:sz w:val="18"/>
          <w:szCs w:val="18"/>
          <w:color w:val="auto"/>
        </w:rPr>
        <w:t>Y OWNED BY</w:t>
      </w:r>
    </w:p>
    <w:p>
      <w:pPr>
        <w:ind w:left="146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0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698,000</w:t>
      </w:r>
    </w:p>
    <w:p>
      <w:pPr>
        <w:ind w:left="320"/>
        <w:spacing w:after="0"/>
        <w:rPr>
          <w:sz w:val="20"/>
          <w:szCs w:val="20"/>
          <w:color w:val="auto"/>
        </w:rPr>
      </w:pPr>
      <w:r>
        <w:rPr>
          <w:rFonts w:ascii="Courier New" w:cs="Courier New" w:eastAsia="Courier New" w:hAnsi="Courier New"/>
          <w:sz w:val="18"/>
          <w:szCs w:val="18"/>
          <w:color w:val="auto"/>
        </w:rPr>
        <w:t>PERSON</w:t>
      </w:r>
    </w:p>
    <w:p>
      <w:pPr>
        <w:ind w:left="320"/>
        <w:spacing w:after="0" w:line="237" w:lineRule="auto"/>
        <w:rPr>
          <w:sz w:val="20"/>
          <w:szCs w:val="20"/>
          <w:color w:val="auto"/>
        </w:rPr>
      </w:pPr>
      <w:r>
        <w:rPr>
          <w:rFonts w:ascii="Courier New" w:cs="Courier New" w:eastAsia="Courier New" w:hAnsi="Courier New"/>
          <w:sz w:val="18"/>
          <w:szCs w:val="18"/>
          <w:color w:val="auto"/>
        </w:rPr>
        <w:t>WITH:</w:t>
      </w:r>
    </w:p>
    <w:p>
      <w:pPr>
        <w:spacing w:after="0" w:line="207" w:lineRule="exact"/>
        <w:rPr>
          <w:sz w:val="20"/>
          <w:szCs w:val="20"/>
          <w:color w:val="auto"/>
        </w:rPr>
      </w:pPr>
    </w:p>
    <w:p>
      <w:pPr>
        <w:ind w:left="1900" w:right="5259" w:hanging="430"/>
        <w:spacing w:after="0" w:line="470" w:lineRule="auto"/>
        <w:tabs>
          <w:tab w:leader="none" w:pos="19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4" w:lineRule="exact"/>
        <w:rPr>
          <w:sz w:val="20"/>
          <w:szCs w:val="20"/>
          <w:color w:val="auto"/>
        </w:rPr>
      </w:pPr>
    </w:p>
    <w:p>
      <w:pPr>
        <w:ind w:left="520" w:right="2419" w:hanging="420"/>
        <w:spacing w:after="0" w:line="470" w:lineRule="auto"/>
        <w:tabs>
          <w:tab w:leader="none" w:pos="5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698,000 Beneficial ownership disclaimed pursuant to Rule 13d-4</w:t>
      </w:r>
    </w:p>
    <w:p>
      <w:pPr>
        <w:spacing w:after="0" w:line="214" w:lineRule="exact"/>
        <w:rPr>
          <w:sz w:val="20"/>
          <w:szCs w:val="20"/>
          <w:color w:val="auto"/>
        </w:rPr>
      </w:pPr>
    </w:p>
    <w:p>
      <w:pPr>
        <w:ind w:left="520" w:right="1999" w:hanging="420"/>
        <w:spacing w:after="0" w:line="235" w:lineRule="auto"/>
        <w:tabs>
          <w:tab w:leader="none" w:pos="5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520" w:right="4199" w:hanging="420"/>
        <w:spacing w:after="0" w:line="470" w:lineRule="auto"/>
        <w:tabs>
          <w:tab w:leader="none" w:pos="5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5.7%</w:t>
      </w:r>
    </w:p>
    <w:p>
      <w:pPr>
        <w:spacing w:after="0" w:line="214" w:lineRule="exact"/>
        <w:rPr>
          <w:rFonts w:ascii="Courier New" w:cs="Courier New" w:eastAsia="Courier New" w:hAnsi="Courier New"/>
          <w:sz w:val="18"/>
          <w:szCs w:val="18"/>
          <w:color w:val="auto"/>
        </w:rPr>
      </w:pPr>
    </w:p>
    <w:p>
      <w:pPr>
        <w:ind w:left="520" w:right="4619" w:hanging="420"/>
        <w:spacing w:after="0" w:line="470" w:lineRule="auto"/>
        <w:tabs>
          <w:tab w:leader="none" w:pos="5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891856908</w:t>
      </w:r>
      <w:r>
        <w:rPr>
          <w:sz w:val="20"/>
          <w:szCs w:val="20"/>
          <w:color w:val="auto"/>
        </w:rPr>
        <w:tab/>
      </w:r>
      <w:r>
        <w:rPr>
          <w:rFonts w:ascii="Courier New" w:cs="Courier New" w:eastAsia="Courier New" w:hAnsi="Courier New"/>
          <w:sz w:val="16"/>
          <w:szCs w:val="16"/>
          <w:color w:val="auto"/>
        </w:rPr>
        <w:t>Page 2 of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0" w:hanging="420"/>
        <w:spacing w:after="0"/>
        <w:tabs>
          <w:tab w:leader="none" w:pos="5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20" w:right="29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International, Inc.</w:t>
      </w:r>
    </w:p>
    <w:p>
      <w:pPr>
        <w:spacing w:after="0" w:line="1" w:lineRule="exact"/>
        <w:rPr>
          <w:rFonts w:ascii="Courier New" w:cs="Courier New" w:eastAsia="Courier New" w:hAnsi="Courier New"/>
          <w:sz w:val="18"/>
          <w:szCs w:val="18"/>
          <w:color w:val="auto"/>
        </w:rPr>
      </w:pPr>
    </w:p>
    <w:p>
      <w:pPr>
        <w:ind w:left="5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95-4154361</w:t>
      </w:r>
    </w:p>
    <w:p>
      <w:pPr>
        <w:spacing w:after="0" w:line="202" w:lineRule="exact"/>
        <w:rPr>
          <w:sz w:val="20"/>
          <w:szCs w:val="20"/>
          <w:color w:val="auto"/>
        </w:rPr>
      </w:pPr>
    </w:p>
    <w:p>
      <w:pPr>
        <w:ind w:left="520" w:hanging="420"/>
        <w:spacing w:after="0"/>
        <w:tabs>
          <w:tab w:leader="none" w:pos="5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2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0"/>
          <w:szCs w:val="20"/>
          <w:color w:val="auto"/>
        </w:rPr>
      </w:pPr>
    </w:p>
    <w:p>
      <w:pPr>
        <w:ind w:left="716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ind w:left="100"/>
        <w:spacing w:after="0"/>
        <w:tabs>
          <w:tab w:leader="none" w:pos="50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ectPr>
          <w:pgSz w:w="11900" w:h="16838" w:orient="portrait"/>
          <w:cols w:equalWidth="0" w:num="1">
            <w:col w:w="9679"/>
          </w:cols>
          <w:pgMar w:left="780" w:top="136" w:right="1440" w:bottom="0" w:gutter="0" w:footer="0" w:header="0"/>
        </w:sectPr>
      </w:pPr>
    </w:p>
    <w:bookmarkStart w:id="2" w:name="page3"/>
    <w:bookmarkEnd w:id="2"/>
    <w:p>
      <w:pPr>
        <w:ind w:left="520" w:right="5359" w:hanging="420"/>
        <w:spacing w:after="0" w:line="470" w:lineRule="auto"/>
        <w:tabs>
          <w:tab w:leader="none" w:pos="5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pacing w:after="0" w:line="214" w:lineRule="exact"/>
        <w:rPr>
          <w:sz w:val="20"/>
          <w:szCs w:val="20"/>
          <w:color w:val="auto"/>
        </w:rPr>
      </w:pPr>
    </w:p>
    <w:p>
      <w:pPr>
        <w:ind w:left="1900" w:right="5999" w:hanging="430"/>
        <w:spacing w:after="0" w:line="470" w:lineRule="auto"/>
        <w:tabs>
          <w:tab w:leader="none" w:pos="19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698,000</w:t>
      </w:r>
    </w:p>
    <w:p>
      <w:pPr>
        <w:spacing w:after="0" w:line="209" w:lineRule="exact"/>
        <w:rPr>
          <w:sz w:val="20"/>
          <w:szCs w:val="20"/>
          <w:color w:val="auto"/>
        </w:rPr>
      </w:pPr>
    </w:p>
    <w:p>
      <w:pPr>
        <w:ind w:left="1900" w:hanging="430"/>
        <w:spacing w:after="0"/>
        <w:tabs>
          <w:tab w:leader="none" w:pos="19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ind w:left="10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851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8519"/>
        <w:spacing w:after="0"/>
        <w:rPr>
          <w:sz w:val="20"/>
          <w:szCs w:val="20"/>
          <w:color w:val="auto"/>
        </w:rPr>
      </w:pPr>
      <w:r>
        <w:rPr>
          <w:rFonts w:ascii="Courier New" w:cs="Courier New" w:eastAsia="Courier New" w:hAnsi="Courier New"/>
          <w:sz w:val="18"/>
          <w:szCs w:val="18"/>
          <w:color w:val="auto"/>
        </w:rPr>
        <w:t>Y OWNED BY</w:t>
      </w:r>
    </w:p>
    <w:p>
      <w:pPr>
        <w:ind w:left="146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0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698,000</w:t>
      </w:r>
    </w:p>
    <w:p>
      <w:pPr>
        <w:ind w:left="320"/>
        <w:spacing w:after="0"/>
        <w:rPr>
          <w:sz w:val="20"/>
          <w:szCs w:val="20"/>
          <w:color w:val="auto"/>
        </w:rPr>
      </w:pPr>
      <w:r>
        <w:rPr>
          <w:rFonts w:ascii="Courier New" w:cs="Courier New" w:eastAsia="Courier New" w:hAnsi="Courier New"/>
          <w:sz w:val="18"/>
          <w:szCs w:val="18"/>
          <w:color w:val="auto"/>
        </w:rPr>
        <w:t>PERSON</w:t>
      </w:r>
    </w:p>
    <w:p>
      <w:pPr>
        <w:ind w:left="320"/>
        <w:spacing w:after="0" w:line="237" w:lineRule="auto"/>
        <w:rPr>
          <w:sz w:val="20"/>
          <w:szCs w:val="20"/>
          <w:color w:val="auto"/>
        </w:rPr>
      </w:pPr>
      <w:r>
        <w:rPr>
          <w:rFonts w:ascii="Courier New" w:cs="Courier New" w:eastAsia="Courier New" w:hAnsi="Courier New"/>
          <w:sz w:val="18"/>
          <w:szCs w:val="18"/>
          <w:color w:val="auto"/>
        </w:rPr>
        <w:t>WITH:</w:t>
      </w:r>
    </w:p>
    <w:p>
      <w:pPr>
        <w:spacing w:after="0" w:line="207" w:lineRule="exact"/>
        <w:rPr>
          <w:sz w:val="20"/>
          <w:szCs w:val="20"/>
          <w:color w:val="auto"/>
        </w:rPr>
      </w:pPr>
    </w:p>
    <w:p>
      <w:pPr>
        <w:ind w:left="1900" w:right="5259" w:hanging="430"/>
        <w:spacing w:after="0" w:line="470" w:lineRule="auto"/>
        <w:tabs>
          <w:tab w:leader="none" w:pos="19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4" w:lineRule="exact"/>
        <w:rPr>
          <w:sz w:val="20"/>
          <w:szCs w:val="20"/>
          <w:color w:val="auto"/>
        </w:rPr>
      </w:pPr>
    </w:p>
    <w:p>
      <w:pPr>
        <w:ind w:left="520" w:right="2419" w:hanging="420"/>
        <w:spacing w:after="0" w:line="470" w:lineRule="auto"/>
        <w:tabs>
          <w:tab w:leader="none" w:pos="5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698,000 Beneficial ownership disclaimed pursuant to Rule 13d-4</w:t>
      </w:r>
    </w:p>
    <w:p>
      <w:pPr>
        <w:spacing w:after="0" w:line="214" w:lineRule="exact"/>
        <w:rPr>
          <w:sz w:val="20"/>
          <w:szCs w:val="20"/>
          <w:color w:val="auto"/>
        </w:rPr>
      </w:pPr>
    </w:p>
    <w:p>
      <w:pPr>
        <w:ind w:left="520" w:right="1999" w:hanging="420"/>
        <w:spacing w:after="0" w:line="235" w:lineRule="auto"/>
        <w:tabs>
          <w:tab w:leader="none" w:pos="5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520" w:right="4199" w:hanging="420"/>
        <w:spacing w:after="0" w:line="470" w:lineRule="auto"/>
        <w:tabs>
          <w:tab w:leader="none" w:pos="5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5.7%</w:t>
      </w:r>
    </w:p>
    <w:p>
      <w:pPr>
        <w:spacing w:after="0" w:line="214" w:lineRule="exact"/>
        <w:rPr>
          <w:rFonts w:ascii="Courier New" w:cs="Courier New" w:eastAsia="Courier New" w:hAnsi="Courier New"/>
          <w:sz w:val="18"/>
          <w:szCs w:val="18"/>
          <w:color w:val="auto"/>
        </w:rPr>
      </w:pPr>
    </w:p>
    <w:p>
      <w:pPr>
        <w:ind w:left="520" w:right="4619" w:hanging="420"/>
        <w:spacing w:after="0" w:line="470" w:lineRule="auto"/>
        <w:tabs>
          <w:tab w:leader="none" w:pos="5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891856908</w:t>
      </w:r>
      <w:r>
        <w:rPr>
          <w:sz w:val="20"/>
          <w:szCs w:val="20"/>
          <w:color w:val="auto"/>
        </w:rPr>
        <w:tab/>
      </w:r>
      <w:r>
        <w:rPr>
          <w:rFonts w:ascii="Courier New" w:cs="Courier New" w:eastAsia="Courier New" w:hAnsi="Courier New"/>
          <w:sz w:val="16"/>
          <w:szCs w:val="16"/>
          <w:color w:val="auto"/>
        </w:rPr>
        <w:t>Page 3 of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Tower Semiconductor LTD</w:t>
      </w:r>
    </w:p>
    <w:p>
      <w:pPr>
        <w:spacing w:after="0" w:line="202"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P.O. Box 619</w:t>
      </w:r>
    </w:p>
    <w:p>
      <w:pPr>
        <w:ind w:left="740"/>
        <w:spacing w:after="0"/>
        <w:tabs>
          <w:tab w:leader="none" w:pos="3140" w:val="left"/>
        </w:tabs>
        <w:rPr>
          <w:sz w:val="20"/>
          <w:szCs w:val="20"/>
          <w:color w:val="auto"/>
        </w:rPr>
      </w:pPr>
      <w:r>
        <w:rPr>
          <w:rFonts w:ascii="Courier New" w:cs="Courier New" w:eastAsia="Courier New" w:hAnsi="Courier New"/>
          <w:sz w:val="18"/>
          <w:szCs w:val="18"/>
          <w:color w:val="auto"/>
        </w:rPr>
        <w:t>Migdal Haemek, Israel</w:t>
      </w:r>
      <w:r>
        <w:rPr>
          <w:sz w:val="20"/>
          <w:szCs w:val="20"/>
          <w:color w:val="auto"/>
        </w:rPr>
        <w:tab/>
      </w:r>
      <w:r>
        <w:rPr>
          <w:rFonts w:ascii="Courier New" w:cs="Courier New" w:eastAsia="Courier New" w:hAnsi="Courier New"/>
          <w:sz w:val="16"/>
          <w:szCs w:val="16"/>
          <w:color w:val="auto"/>
        </w:rPr>
        <w:t>23105</w:t>
      </w:r>
    </w:p>
    <w:p>
      <w:pPr>
        <w:spacing w:after="0" w:line="200"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Group International, Inc. and Capital International, Inc.</w:t>
      </w:r>
    </w:p>
    <w:p>
      <w:pPr>
        <w:spacing w:after="0" w:line="202"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or principal business office or, if none, residence:</w:t>
      </w:r>
    </w:p>
    <w:p>
      <w:pPr>
        <w:ind w:left="740"/>
        <w:spacing w:after="0" w:line="238" w:lineRule="auto"/>
        <w:rPr>
          <w:sz w:val="20"/>
          <w:szCs w:val="20"/>
          <w:color w:val="auto"/>
        </w:rPr>
      </w:pPr>
      <w:r>
        <w:rPr>
          <w:rFonts w:ascii="Courier New" w:cs="Courier New" w:eastAsia="Courier New" w:hAnsi="Courier New"/>
          <w:sz w:val="18"/>
          <w:szCs w:val="18"/>
          <w:color w:val="auto"/>
        </w:rPr>
        <w:t>11100 Santa Monica Blvd.</w:t>
      </w:r>
    </w:p>
    <w:p>
      <w:pPr>
        <w:sectPr>
          <w:pgSz w:w="11900" w:h="16838" w:orient="portrait"/>
          <w:cols w:equalWidth="0" w:num="1">
            <w:col w:w="9679"/>
          </w:cols>
          <w:pgMar w:left="780" w:top="952" w:right="1440" w:bottom="0" w:gutter="0" w:footer="0" w:header="0"/>
        </w:sectPr>
      </w:pPr>
    </w:p>
    <w:bookmarkStart w:id="3" w:name="page4"/>
    <w:bookmarkEnd w:id="3"/>
    <w:p>
      <w:pPr>
        <w:ind w:left="740"/>
        <w:spacing w:after="0"/>
        <w:tabs>
          <w:tab w:leader="none" w:pos="250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90025</w:t>
      </w:r>
    </w:p>
    <w:p>
      <w:pPr>
        <w:spacing w:after="0" w:line="201" w:lineRule="exact"/>
        <w:rPr>
          <w:sz w:val="20"/>
          <w:szCs w:val="20"/>
          <w:color w:val="auto"/>
        </w:rPr>
      </w:pPr>
    </w:p>
    <w:p>
      <w:pPr>
        <w:spacing w:after="0"/>
        <w:tabs>
          <w:tab w:leader="none" w:pos="1240" w:val="left"/>
          <w:tab w:leader="none" w:pos="282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Ordinary Shares</w:t>
      </w:r>
    </w:p>
    <w:p>
      <w:pPr>
        <w:spacing w:after="0" w:line="202"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No.:</w:t>
      </w:r>
    </w:p>
    <w:p>
      <w:pPr>
        <w:ind w:left="740"/>
        <w:spacing w:after="0" w:line="238" w:lineRule="auto"/>
        <w:rPr>
          <w:sz w:val="20"/>
          <w:szCs w:val="20"/>
          <w:color w:val="auto"/>
        </w:rPr>
      </w:pPr>
      <w:r>
        <w:rPr>
          <w:rFonts w:ascii="Courier New" w:cs="Courier New" w:eastAsia="Courier New" w:hAnsi="Courier New"/>
          <w:sz w:val="18"/>
          <w:szCs w:val="18"/>
          <w:color w:val="auto"/>
        </w:rPr>
        <w:t>891856908</w:t>
      </w:r>
    </w:p>
    <w:p>
      <w:pPr>
        <w:spacing w:after="0" w:line="202"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 or</w:t>
      </w:r>
    </w:p>
    <w:p>
      <w:pPr>
        <w:ind w:left="740"/>
        <w:spacing w:after="0" w:line="238" w:lineRule="auto"/>
        <w:rPr>
          <w:sz w:val="20"/>
          <w:szCs w:val="20"/>
          <w:color w:val="auto"/>
        </w:rPr>
      </w:pPr>
      <w:r>
        <w:rPr>
          <w:rFonts w:ascii="Courier New" w:cs="Courier New" w:eastAsia="Courier New" w:hAnsi="Courier New"/>
          <w:sz w:val="18"/>
          <w:szCs w:val="18"/>
          <w:color w:val="auto"/>
        </w:rPr>
        <w:t>240.13d-2(b) or (c), check whether the person filings is a:</w:t>
      </w:r>
    </w:p>
    <w:p>
      <w:pPr>
        <w:ind w:left="1460" w:hanging="728"/>
        <w:spacing w:after="0"/>
        <w:tabs>
          <w:tab w:leader="none" w:pos="14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w:t>
      </w:r>
    </w:p>
    <w:p>
      <w:pPr>
        <w:ind w:left="1260"/>
        <w:spacing w:after="0" w:line="237" w:lineRule="auto"/>
        <w:rPr>
          <w:sz w:val="20"/>
          <w:szCs w:val="20"/>
          <w:color w:val="auto"/>
        </w:rPr>
      </w:pPr>
      <w:r>
        <w:rPr>
          <w:rFonts w:ascii="Courier New" w:cs="Courier New" w:eastAsia="Courier New" w:hAnsi="Courier New"/>
          <w:sz w:val="18"/>
          <w:szCs w:val="18"/>
          <w:color w:val="auto"/>
        </w:rPr>
        <w:t>240.13d-1(b)(1)(ii)(E).</w:t>
      </w:r>
    </w:p>
    <w:p>
      <w:pPr>
        <w:spacing w:after="0" w:line="5" w:lineRule="exact"/>
        <w:rPr>
          <w:sz w:val="20"/>
          <w:szCs w:val="20"/>
          <w:color w:val="auto"/>
        </w:rPr>
      </w:pPr>
    </w:p>
    <w:p>
      <w:pPr>
        <w:ind w:left="1260" w:right="2939" w:hanging="528"/>
        <w:spacing w:after="0" w:line="235" w:lineRule="auto"/>
        <w:tabs>
          <w:tab w:leader="none" w:pos="1365"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240.13d-1(b)(1)(ii)(G).</w:t>
      </w:r>
    </w:p>
    <w:p>
      <w:pPr>
        <w:spacing w:after="0" w:line="20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199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pages 2 and 3</w:t>
      </w:r>
    </w:p>
    <w:p>
      <w:pPr>
        <w:spacing w:after="0" w:line="201" w:lineRule="exact"/>
        <w:rPr>
          <w:sz w:val="20"/>
          <w:szCs w:val="20"/>
          <w:color w:val="auto"/>
        </w:rPr>
      </w:pPr>
    </w:p>
    <w:p>
      <w:pPr>
        <w:ind w:left="1460" w:hanging="728"/>
        <w:spacing w:after="0"/>
        <w:tabs>
          <w:tab w:leader="none" w:pos="14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60" w:hanging="728"/>
        <w:spacing w:after="0" w:line="238" w:lineRule="auto"/>
        <w:tabs>
          <w:tab w:leader="none" w:pos="14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60" w:hanging="728"/>
        <w:spacing w:after="0" w:line="238" w:lineRule="auto"/>
        <w:tabs>
          <w:tab w:leader="none" w:pos="14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60" w:hanging="728"/>
        <w:spacing w:after="0"/>
        <w:tabs>
          <w:tab w:leader="none" w:pos="14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60" w:hanging="728"/>
        <w:spacing w:after="0" w:line="238" w:lineRule="auto"/>
        <w:tabs>
          <w:tab w:leader="none" w:pos="14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60" w:hanging="728"/>
        <w:spacing w:after="0" w:line="238" w:lineRule="auto"/>
        <w:tabs>
          <w:tab w:leader="none" w:pos="14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60" w:hanging="728"/>
        <w:spacing w:after="0" w:line="238" w:lineRule="auto"/>
        <w:tabs>
          <w:tab w:leader="none" w:pos="14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891856908</w:t>
      </w:r>
      <w:r>
        <w:rPr>
          <w:sz w:val="20"/>
          <w:szCs w:val="20"/>
          <w:color w:val="auto"/>
        </w:rPr>
        <w:tab/>
      </w:r>
      <w:r>
        <w:rPr>
          <w:rFonts w:ascii="Courier New" w:cs="Courier New" w:eastAsia="Courier New" w:hAnsi="Courier New"/>
          <w:sz w:val="16"/>
          <w:szCs w:val="16"/>
          <w:color w:val="auto"/>
        </w:rPr>
        <w:t>Page 4 of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40" w:right="1879"/>
        <w:spacing w:after="0" w:line="270" w:lineRule="auto"/>
        <w:rPr>
          <w:sz w:val="20"/>
          <w:szCs w:val="20"/>
          <w:color w:val="auto"/>
        </w:rPr>
      </w:pPr>
      <w:r>
        <w:rPr>
          <w:rFonts w:ascii="Courier New" w:cs="Courier New" w:eastAsia="Courier New" w:hAnsi="Courier New"/>
          <w:sz w:val="16"/>
          <w:szCs w:val="16"/>
          <w:color w:val="auto"/>
        </w:rPr>
        <w:t>Capital Group International, Inc. is the parent holding company of a group of investment management companies that hold investment power and, in some cases, voting power over the securities reported in this Schedule 13G. The investment management companies, which include a "bank" as defined in Section 3(a)6 of the Securities Exchange Act of 1934 (the "Act") and several investment advisers registered under Section 203 of the Investment Advisers Act of 1940, provide investment advisory and management services for their respective clients which include registered investment companies and institutional accounts. Capital Group International, Inc. does not have investment power or voting power over any of the securities reported herein; however, Capital Group International, Inc. may be deemed to "beneficially own" such securities by virtue of Rule 13d-3 under the Act.</w:t>
      </w:r>
    </w:p>
    <w:p>
      <w:pPr>
        <w:spacing w:after="0" w:line="388" w:lineRule="exact"/>
        <w:rPr>
          <w:sz w:val="20"/>
          <w:szCs w:val="20"/>
          <w:color w:val="auto"/>
        </w:rPr>
      </w:pPr>
    </w:p>
    <w:p>
      <w:pPr>
        <w:ind w:left="740" w:right="1879"/>
        <w:spacing w:after="0" w:line="237" w:lineRule="auto"/>
        <w:rPr>
          <w:sz w:val="20"/>
          <w:szCs w:val="20"/>
          <w:color w:val="auto"/>
        </w:rPr>
      </w:pPr>
      <w:r>
        <w:rPr>
          <w:rFonts w:ascii="Courier New" w:cs="Courier New" w:eastAsia="Courier New" w:hAnsi="Courier New"/>
          <w:sz w:val="18"/>
          <w:szCs w:val="18"/>
          <w:color w:val="auto"/>
        </w:rPr>
        <w:t>Capital International, Inc., an investment adviser registered under Section 203 of the Investment Advisers Act of 1940 is deemed to be the beneficial owner of 698,000 shares or 5.7% of the 12,263,000 shares of Ordinary Shares believed to be outstanding as a result of acting as investment adviser to various investment companies and institutional accounts.</w:t>
      </w:r>
    </w:p>
    <w:p>
      <w:pPr>
        <w:spacing w:after="0" w:line="210" w:lineRule="exact"/>
        <w:rPr>
          <w:sz w:val="20"/>
          <w:szCs w:val="20"/>
          <w:color w:val="auto"/>
        </w:rPr>
      </w:pPr>
    </w:p>
    <w:p>
      <w:pPr>
        <w:ind w:left="740" w:right="1879" w:hanging="736"/>
        <w:spacing w:after="0" w:line="275" w:lineRule="auto"/>
        <w:tabs>
          <w:tab w:leader="none" w:pos="72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17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N/A</w:t>
      </w:r>
    </w:p>
    <w:p>
      <w:pPr>
        <w:spacing w:after="0" w:line="207" w:lineRule="exact"/>
        <w:rPr>
          <w:sz w:val="20"/>
          <w:szCs w:val="20"/>
          <w:color w:val="auto"/>
        </w:rPr>
      </w:pPr>
    </w:p>
    <w:p>
      <w:pPr>
        <w:ind w:left="740" w:right="177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w:t>
      </w:r>
    </w:p>
    <w:p>
      <w:pPr>
        <w:sectPr>
          <w:pgSz w:w="11900" w:h="16838" w:orient="portrait"/>
          <w:cols w:equalWidth="0" w:num="1">
            <w:col w:w="9679"/>
          </w:cols>
          <w:pgMar w:left="780" w:top="136" w:right="1440" w:bottom="0" w:gutter="0" w:footer="0" w:header="0"/>
        </w:sectPr>
      </w:pPr>
    </w:p>
    <w:bookmarkStart w:id="4" w:name="page5"/>
    <w:bookmarkEnd w:id="4"/>
    <w:p>
      <w:pPr>
        <w:ind w:left="740"/>
        <w:spacing w:after="0"/>
        <w:rPr>
          <w:sz w:val="20"/>
          <w:szCs w:val="20"/>
          <w:color w:val="auto"/>
        </w:rPr>
      </w:pPr>
      <w:r>
        <w:rPr>
          <w:rFonts w:ascii="Courier New" w:cs="Courier New" w:eastAsia="Courier New" w:hAnsi="Courier New"/>
          <w:sz w:val="18"/>
          <w:szCs w:val="18"/>
          <w:color w:val="auto"/>
        </w:rPr>
        <w:t>1.</w:t>
      </w:r>
    </w:p>
    <w:p>
      <w:pPr>
        <w:spacing w:after="0" w:line="4" w:lineRule="exact"/>
        <w:rPr>
          <w:sz w:val="20"/>
          <w:szCs w:val="20"/>
          <w:color w:val="auto"/>
        </w:rPr>
      </w:pPr>
    </w:p>
    <w:p>
      <w:pPr>
        <w:ind w:left="1040" w:right="1999"/>
        <w:spacing w:after="0" w:line="275" w:lineRule="auto"/>
        <w:rPr>
          <w:sz w:val="20"/>
          <w:szCs w:val="20"/>
          <w:color w:val="auto"/>
        </w:rPr>
      </w:pPr>
      <w:r>
        <w:rPr>
          <w:rFonts w:ascii="Courier New" w:cs="Courier New" w:eastAsia="Courier New" w:hAnsi="Courier New"/>
          <w:sz w:val="16"/>
          <w:szCs w:val="16"/>
          <w:color w:val="auto"/>
        </w:rPr>
        <w:t>Capital International Research and Management, Inc. dba Capital International, Inc. is an investment adviser registered under Section 203 of the Investment Advisers Act of 1940 and is a wholly owned subsidiary of Capital Group International, Inc.</w:t>
      </w:r>
    </w:p>
    <w:p>
      <w:pPr>
        <w:spacing w:after="0" w:line="177" w:lineRule="exact"/>
        <w:rPr>
          <w:sz w:val="20"/>
          <w:szCs w:val="20"/>
          <w:color w:val="auto"/>
        </w:rPr>
      </w:pPr>
    </w:p>
    <w:p>
      <w:pPr>
        <w:spacing w:after="0"/>
        <w:tabs>
          <w:tab w:leader="none" w:pos="920" w:val="left"/>
          <w:tab w:leader="none" w:pos="72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920" w:val="left"/>
          <w:tab w:leader="none" w:pos="440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891856908</w:t>
      </w:r>
      <w:r>
        <w:rPr>
          <w:sz w:val="20"/>
          <w:szCs w:val="20"/>
          <w:color w:val="auto"/>
        </w:rPr>
        <w:tab/>
      </w:r>
      <w:r>
        <w:rPr>
          <w:rFonts w:ascii="Courier New" w:cs="Courier New" w:eastAsia="Courier New" w:hAnsi="Courier New"/>
          <w:sz w:val="16"/>
          <w:szCs w:val="16"/>
          <w:color w:val="auto"/>
        </w:rPr>
        <w:t>Page 5 of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December 10, 2001</w:t>
      </w:r>
    </w:p>
    <w:p>
      <w:pPr>
        <w:spacing w:after="0" w:line="200" w:lineRule="exact"/>
        <w:rPr>
          <w:sz w:val="20"/>
          <w:szCs w:val="20"/>
          <w:color w:val="auto"/>
        </w:rPr>
      </w:pPr>
    </w:p>
    <w:p>
      <w:pPr>
        <w:spacing w:after="0" w:line="204"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David I. Fisher, Chairman</w:t>
      </w:r>
    </w:p>
    <w:p>
      <w:pPr>
        <w:spacing w:after="0" w:line="201"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Capital Group International, Inc.</w:t>
      </w:r>
    </w:p>
    <w:p>
      <w:pPr>
        <w:spacing w:after="0" w:line="200" w:lineRule="exact"/>
        <w:rPr>
          <w:sz w:val="20"/>
          <w:szCs w:val="20"/>
          <w:color w:val="auto"/>
        </w:rPr>
      </w:pPr>
    </w:p>
    <w:p>
      <w:pPr>
        <w:spacing w:after="0" w:line="204"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December 10, 2001</w:t>
      </w:r>
    </w:p>
    <w:p>
      <w:pPr>
        <w:spacing w:after="0" w:line="200" w:lineRule="exact"/>
        <w:rPr>
          <w:sz w:val="20"/>
          <w:szCs w:val="20"/>
          <w:color w:val="auto"/>
        </w:rPr>
      </w:pPr>
    </w:p>
    <w:p>
      <w:pPr>
        <w:spacing w:after="0" w:line="204"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David I. Fisher, Vice Chairman</w:t>
      </w:r>
    </w:p>
    <w:p>
      <w:pPr>
        <w:spacing w:after="0" w:line="201"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Capital International,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40"/>
        <w:spacing w:after="0"/>
        <w:tabs>
          <w:tab w:leader="none" w:pos="1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Michael J. Downer</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Michael J. Downer</w:t>
      </w:r>
    </w:p>
    <w:p>
      <w:pPr>
        <w:ind w:left="158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1580" w:right="1999"/>
        <w:spacing w:after="0" w:line="237" w:lineRule="auto"/>
        <w:rPr>
          <w:sz w:val="20"/>
          <w:szCs w:val="20"/>
          <w:color w:val="auto"/>
        </w:rPr>
      </w:pPr>
      <w:r>
        <w:rPr>
          <w:rFonts w:ascii="Courier New" w:cs="Courier New" w:eastAsia="Courier New" w:hAnsi="Courier New"/>
          <w:sz w:val="18"/>
          <w:szCs w:val="18"/>
          <w:color w:val="auto"/>
        </w:rPr>
        <w:t>Signed pursuant to a Power of Attorney dated December 19, 2000 included as an Exhibit to Schedule 13G filed with the Securities and Exchange Commission by Capital Group International, Inc. on February 9, 2001 with respect to Abitibi-Consolidated Inc.</w:t>
      </w:r>
    </w:p>
    <w:p>
      <w:pPr>
        <w:sectPr>
          <w:pgSz w:w="11900" w:h="16838" w:orient="portrait"/>
          <w:cols w:equalWidth="0" w:num="1">
            <w:col w:w="9679"/>
          </w:cols>
          <w:pgMar w:left="780" w:top="339" w:right="1440" w:bottom="1147"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891856908</w:t>
      </w:r>
      <w:r>
        <w:rPr>
          <w:sz w:val="20"/>
          <w:szCs w:val="20"/>
          <w:color w:val="auto"/>
        </w:rPr>
        <w:tab/>
      </w:r>
      <w:r>
        <w:rPr>
          <w:rFonts w:ascii="Courier New" w:cs="Courier New" w:eastAsia="Courier New" w:hAnsi="Courier New"/>
          <w:sz w:val="16"/>
          <w:szCs w:val="16"/>
          <w:color w:val="auto"/>
        </w:rPr>
        <w:t>Page 6 of 7</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Los Angeles, CA</w:t>
      </w:r>
    </w:p>
    <w:p>
      <w:pPr>
        <w:jc w:val="center"/>
        <w:ind w:right="1779"/>
        <w:spacing w:after="0" w:line="238" w:lineRule="auto"/>
        <w:rPr>
          <w:sz w:val="20"/>
          <w:szCs w:val="20"/>
          <w:color w:val="auto"/>
        </w:rPr>
      </w:pPr>
      <w:r>
        <w:rPr>
          <w:rFonts w:ascii="Courier New" w:cs="Courier New" w:eastAsia="Courier New" w:hAnsi="Courier New"/>
          <w:sz w:val="18"/>
          <w:szCs w:val="18"/>
          <w:color w:val="auto"/>
        </w:rPr>
        <w:t>December 10, 2001</w:t>
      </w:r>
    </w:p>
    <w:p>
      <w:pPr>
        <w:spacing w:after="0" w:line="200" w:lineRule="exact"/>
        <w:rPr>
          <w:sz w:val="20"/>
          <w:szCs w:val="20"/>
          <w:color w:val="auto"/>
        </w:rPr>
      </w:pPr>
    </w:p>
    <w:p>
      <w:pPr>
        <w:spacing w:after="0" w:line="210" w:lineRule="exact"/>
        <w:rPr>
          <w:sz w:val="20"/>
          <w:szCs w:val="20"/>
          <w:color w:val="auto"/>
        </w:rPr>
      </w:pPr>
    </w:p>
    <w:p>
      <w:pPr>
        <w:ind w:right="1879" w:firstLine="211"/>
        <w:spacing w:after="0" w:line="275" w:lineRule="auto"/>
        <w:rPr>
          <w:sz w:val="20"/>
          <w:szCs w:val="20"/>
          <w:color w:val="auto"/>
        </w:rPr>
      </w:pPr>
      <w:r>
        <w:rPr>
          <w:rFonts w:ascii="Courier New" w:cs="Courier New" w:eastAsia="Courier New" w:hAnsi="Courier New"/>
          <w:sz w:val="16"/>
          <w:szCs w:val="16"/>
          <w:color w:val="auto"/>
        </w:rPr>
        <w:t>Capital Group International, Inc. ("CGII") and Capital International, Inc. ("CII") hereby agree to file a joint statement on Schedule 13G under the Securities Exchange Act of 1934 (the "Act") in connection with their beneficial ownership of Ordinary Shares issued by Tower Semiconductor LTD.</w:t>
      </w:r>
    </w:p>
    <w:p>
      <w:pPr>
        <w:spacing w:after="0" w:line="182" w:lineRule="exact"/>
        <w:rPr>
          <w:sz w:val="20"/>
          <w:szCs w:val="20"/>
          <w:color w:val="auto"/>
        </w:rPr>
      </w:pPr>
    </w:p>
    <w:p>
      <w:pPr>
        <w:ind w:right="2519" w:firstLine="211"/>
        <w:spacing w:after="0" w:line="235" w:lineRule="auto"/>
        <w:rPr>
          <w:sz w:val="20"/>
          <w:szCs w:val="20"/>
          <w:color w:val="auto"/>
        </w:rPr>
      </w:pPr>
      <w:r>
        <w:rPr>
          <w:rFonts w:ascii="Courier New" w:cs="Courier New" w:eastAsia="Courier New" w:hAnsi="Courier New"/>
          <w:sz w:val="18"/>
          <w:szCs w:val="18"/>
          <w:color w:val="auto"/>
        </w:rPr>
        <w:t>CGII and CII state that they are each entitled to individually use Schedule 13G pursuant to Rule 13d-1(c) of the Act.</w:t>
      </w:r>
    </w:p>
    <w:p>
      <w:pPr>
        <w:spacing w:after="0" w:line="208"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CGII and CII are each responsible for the timely filing of the statement and any amendments thereto, and for the completeness and accuracy of the information concerning each of them contained therein but are not responsible for the completeness or accuracy of the information concerning the others.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780"/>
        <w:spacing w:after="0"/>
        <w:rPr>
          <w:sz w:val="20"/>
          <w:szCs w:val="20"/>
          <w:color w:val="auto"/>
        </w:rPr>
      </w:pPr>
      <w:r>
        <w:rPr>
          <w:rFonts w:ascii="Courier New" w:cs="Courier New" w:eastAsia="Courier New" w:hAnsi="Courier New"/>
          <w:sz w:val="18"/>
          <w:szCs w:val="18"/>
          <w:color w:val="auto"/>
        </w:rPr>
        <w:t>CAPITAL GROUP INTERNATIONAL, INC.</w:t>
      </w:r>
    </w:p>
    <w:p>
      <w:pPr>
        <w:spacing w:after="0" w:line="201" w:lineRule="exact"/>
        <w:rPr>
          <w:sz w:val="20"/>
          <w:szCs w:val="20"/>
          <w:color w:val="auto"/>
        </w:rPr>
      </w:pPr>
    </w:p>
    <w:p>
      <w:pPr>
        <w:ind w:left="178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3680"/>
        <w:spacing w:after="0"/>
        <w:rPr>
          <w:sz w:val="20"/>
          <w:szCs w:val="20"/>
          <w:color w:val="auto"/>
        </w:rPr>
      </w:pPr>
      <w:r>
        <w:rPr>
          <w:rFonts w:ascii="Courier New" w:cs="Courier New" w:eastAsia="Courier New" w:hAnsi="Courier New"/>
          <w:sz w:val="18"/>
          <w:szCs w:val="18"/>
          <w:color w:val="auto"/>
        </w:rPr>
        <w:t>David I. Fisher, Chairman</w:t>
      </w:r>
    </w:p>
    <w:p>
      <w:pPr>
        <w:ind w:left="3680"/>
        <w:spacing w:after="0" w:line="238" w:lineRule="auto"/>
        <w:rPr>
          <w:sz w:val="20"/>
          <w:szCs w:val="20"/>
          <w:color w:val="auto"/>
        </w:rPr>
      </w:pPr>
      <w:r>
        <w:rPr>
          <w:rFonts w:ascii="Courier New" w:cs="Courier New" w:eastAsia="Courier New" w:hAnsi="Courier New"/>
          <w:sz w:val="18"/>
          <w:szCs w:val="18"/>
          <w:color w:val="auto"/>
        </w:rPr>
        <w:t>Capital Group International,</w:t>
      </w:r>
    </w:p>
    <w:p>
      <w:pPr>
        <w:ind w:left="3680"/>
        <w:spacing w:after="0"/>
        <w:rPr>
          <w:sz w:val="20"/>
          <w:szCs w:val="20"/>
          <w:color w:val="auto"/>
        </w:rPr>
      </w:pPr>
      <w:r>
        <w:rPr>
          <w:rFonts w:ascii="Courier New" w:cs="Courier New" w:eastAsia="Courier New" w:hAnsi="Courier New"/>
          <w:sz w:val="18"/>
          <w:szCs w:val="18"/>
          <w:color w:val="auto"/>
        </w:rPr>
        <w:t>Inc.</w:t>
      </w:r>
    </w:p>
    <w:p>
      <w:pPr>
        <w:spacing w:after="0" w:line="200" w:lineRule="exact"/>
        <w:rPr>
          <w:sz w:val="20"/>
          <w:szCs w:val="20"/>
          <w:color w:val="auto"/>
        </w:rPr>
      </w:pPr>
    </w:p>
    <w:p>
      <w:pPr>
        <w:spacing w:after="0" w:line="203" w:lineRule="exact"/>
        <w:rPr>
          <w:sz w:val="20"/>
          <w:szCs w:val="20"/>
          <w:color w:val="auto"/>
        </w:rPr>
      </w:pPr>
    </w:p>
    <w:p>
      <w:pPr>
        <w:ind w:left="1780"/>
        <w:spacing w:after="0"/>
        <w:rPr>
          <w:sz w:val="20"/>
          <w:szCs w:val="20"/>
          <w:color w:val="auto"/>
        </w:rPr>
      </w:pPr>
      <w:r>
        <w:rPr>
          <w:rFonts w:ascii="Courier New" w:cs="Courier New" w:eastAsia="Courier New" w:hAnsi="Courier New"/>
          <w:sz w:val="18"/>
          <w:szCs w:val="18"/>
          <w:color w:val="auto"/>
        </w:rPr>
        <w:t>CAPITAL INTERNATIONAL, INC.</w:t>
      </w:r>
    </w:p>
    <w:p>
      <w:pPr>
        <w:spacing w:after="0" w:line="201" w:lineRule="exact"/>
        <w:rPr>
          <w:sz w:val="20"/>
          <w:szCs w:val="20"/>
          <w:color w:val="auto"/>
        </w:rPr>
      </w:pPr>
    </w:p>
    <w:p>
      <w:pPr>
        <w:ind w:left="178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3680"/>
        <w:spacing w:after="0"/>
        <w:rPr>
          <w:sz w:val="20"/>
          <w:szCs w:val="20"/>
          <w:color w:val="auto"/>
        </w:rPr>
      </w:pPr>
      <w:r>
        <w:rPr>
          <w:rFonts w:ascii="Courier New" w:cs="Courier New" w:eastAsia="Courier New" w:hAnsi="Courier New"/>
          <w:sz w:val="18"/>
          <w:szCs w:val="18"/>
          <w:color w:val="auto"/>
        </w:rPr>
        <w:t>David I. Fisher, Vice Chairman</w:t>
      </w:r>
    </w:p>
    <w:p>
      <w:pPr>
        <w:ind w:left="3680"/>
        <w:spacing w:after="0" w:line="238" w:lineRule="auto"/>
        <w:rPr>
          <w:sz w:val="20"/>
          <w:szCs w:val="20"/>
          <w:color w:val="auto"/>
        </w:rPr>
      </w:pPr>
      <w:r>
        <w:rPr>
          <w:rFonts w:ascii="Courier New" w:cs="Courier New" w:eastAsia="Courier New" w:hAnsi="Courier New"/>
          <w:sz w:val="18"/>
          <w:szCs w:val="18"/>
          <w:color w:val="auto"/>
        </w:rPr>
        <w:t>Capital International, Inc.</w:t>
      </w:r>
    </w:p>
    <w:p>
      <w:pPr>
        <w:spacing w:after="0" w:line="200" w:lineRule="exact"/>
        <w:rPr>
          <w:sz w:val="20"/>
          <w:szCs w:val="20"/>
          <w:color w:val="auto"/>
        </w:rPr>
      </w:pPr>
    </w:p>
    <w:p>
      <w:pPr>
        <w:spacing w:after="0" w:line="20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Michael J. Downer</w:t>
      </w: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Michael J. Downer</w:t>
      </w:r>
    </w:p>
    <w:p>
      <w:pPr>
        <w:ind w:left="52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520" w:right="1999"/>
        <w:spacing w:after="0" w:line="237" w:lineRule="auto"/>
        <w:rPr>
          <w:sz w:val="20"/>
          <w:szCs w:val="20"/>
          <w:color w:val="auto"/>
        </w:rPr>
      </w:pPr>
      <w:r>
        <w:rPr>
          <w:rFonts w:ascii="Courier New" w:cs="Courier New" w:eastAsia="Courier New" w:hAnsi="Courier New"/>
          <w:sz w:val="18"/>
          <w:szCs w:val="18"/>
          <w:color w:val="auto"/>
        </w:rPr>
        <w:t>Signed pursuant to a Power of Attorney dated December 19, 2000 included as an Exhibit to Schedule 13G filed with the Securities and Exchange Commission by Capital Group International, Inc. on February 9, 2001 with respect to Abitibi-Consolidated Inc.</w:t>
      </w:r>
    </w:p>
    <w:p>
      <w:pPr>
        <w:sectPr>
          <w:pgSz w:w="11900" w:h="16838" w:orient="portrait"/>
          <w:cols w:equalWidth="0" w:num="1">
            <w:col w:w="9679"/>
          </w:cols>
          <w:pgMar w:left="780" w:top="1440" w:right="1440" w:bottom="1440" w:gutter="0" w:footer="0" w:header="0"/>
        </w:sectPr>
      </w:pPr>
    </w:p>
    <w:bookmarkStart w:id="6" w:name="page7"/>
    <w:bookmarkEnd w:id="6"/>
    <w:p>
      <w:pPr>
        <w:spacing w:after="0"/>
        <w:tabs>
          <w:tab w:leader="none" w:pos="6720" w:val="left"/>
        </w:tabs>
        <w:rPr>
          <w:sz w:val="20"/>
          <w:szCs w:val="20"/>
          <w:color w:val="auto"/>
        </w:rPr>
      </w:pPr>
      <w:r>
        <w:rPr>
          <w:rFonts w:ascii="Courier New" w:cs="Courier New" w:eastAsia="Courier New" w:hAnsi="Courier New"/>
          <w:sz w:val="18"/>
          <w:szCs w:val="18"/>
          <w:color w:val="auto"/>
        </w:rPr>
        <w:t>CUSIP: 891856908</w:t>
      </w:r>
      <w:r>
        <w:rPr>
          <w:sz w:val="20"/>
          <w:szCs w:val="20"/>
          <w:color w:val="auto"/>
        </w:rPr>
        <w:tab/>
      </w:r>
      <w:r>
        <w:rPr>
          <w:rFonts w:ascii="Courier New" w:cs="Courier New" w:eastAsia="Courier New" w:hAnsi="Courier New"/>
          <w:sz w:val="16"/>
          <w:szCs w:val="16"/>
          <w:color w:val="auto"/>
        </w:rPr>
        <w:t>Page 7 of 7</w:t>
      </w:r>
    </w:p>
    <w:sectPr>
      <w:pgSz w:w="11900" w:h="16838" w:orient="portrait"/>
      <w:cols w:equalWidth="0" w:num="1">
        <w:col w:w="9679"/>
      </w:cols>
      <w:pgMar w:left="780" w:top="114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upperLetter"/>
      <w:start w:val="24"/>
    </w:lvl>
  </w:abstractNum>
  <w:abstractNum w:abstractNumId="1">
    <w:nsid w:val="1190CDE7"/>
    <w:multiLevelType w:val="hybridMultilevel"/>
    <w:lvl w:ilvl="0">
      <w:lvlJc w:val="left"/>
      <w:lvlText w:val="1"/>
      <w:numFmt w:val="bullet"/>
      <w:start w:val="1"/>
    </w:lvl>
  </w:abstractNum>
  <w:abstractNum w:abstractNumId="2">
    <w:nsid w:val="66EF438D"/>
    <w:multiLevelType w:val="hybridMultilevel"/>
    <w:lvl w:ilvl="0">
      <w:lvlJc w:val="left"/>
      <w:lvlText w:val="3"/>
      <w:numFmt w:val="bullet"/>
      <w:start w:val="1"/>
    </w:lvl>
  </w:abstractNum>
  <w:abstractNum w:abstractNumId="3">
    <w:nsid w:val="140E0F76"/>
    <w:multiLevelType w:val="hybridMultilevel"/>
    <w:lvl w:ilvl="0">
      <w:lvlJc w:val="left"/>
      <w:lvlText w:val="4"/>
      <w:numFmt w:val="bullet"/>
      <w:start w:val="1"/>
    </w:lvl>
  </w:abstractNum>
  <w:abstractNum w:abstractNumId="4">
    <w:nsid w:val="3352255A"/>
    <w:multiLevelType w:val="hybridMultilevel"/>
    <w:lvl w:ilvl="0">
      <w:lvlJc w:val="left"/>
      <w:lvlText w:val="5"/>
      <w:numFmt w:val="bullet"/>
      <w:start w:val="1"/>
    </w:lvl>
  </w:abstractNum>
  <w:abstractNum w:abstractNumId="5">
    <w:nsid w:val="109CF92E"/>
    <w:multiLevelType w:val="hybridMultilevel"/>
    <w:lvl w:ilvl="0">
      <w:lvlJc w:val="left"/>
      <w:lvlText w:val="6"/>
      <w:numFmt w:val="bullet"/>
      <w:start w:val="1"/>
    </w:lvl>
  </w:abstractNum>
  <w:abstractNum w:abstractNumId="6">
    <w:nsid w:val="DED7263"/>
    <w:multiLevelType w:val="hybridMultilevel"/>
    <w:lvl w:ilvl="0">
      <w:lvlJc w:val="left"/>
      <w:lvlText w:val="8"/>
      <w:numFmt w:val="bullet"/>
      <w:start w:val="1"/>
    </w:lvl>
  </w:abstractNum>
  <w:abstractNum w:abstractNumId="7">
    <w:nsid w:val="7FDCC233"/>
    <w:multiLevelType w:val="hybridMultilevel"/>
    <w:lvl w:ilvl="0">
      <w:lvlJc w:val="left"/>
      <w:lvlText w:val="9"/>
      <w:numFmt w:val="bullet"/>
      <w:start w:val="1"/>
    </w:lvl>
  </w:abstractNum>
  <w:abstractNum w:abstractNumId="8">
    <w:nsid w:val="1BEFD79F"/>
    <w:multiLevelType w:val="hybridMultilevel"/>
    <w:lvl w:ilvl="0">
      <w:lvlJc w:val="left"/>
      <w:lvlText w:val="%1"/>
      <w:numFmt w:val="decimal"/>
      <w:start w:val="10"/>
    </w:lvl>
  </w:abstractNum>
  <w:abstractNum w:abstractNumId="9">
    <w:nsid w:val="41A7C4C9"/>
    <w:multiLevelType w:val="hybridMultilevel"/>
    <w:lvl w:ilvl="0">
      <w:lvlJc w:val="left"/>
      <w:lvlText w:val="1"/>
      <w:numFmt w:val="bullet"/>
      <w:start w:val="1"/>
    </w:lvl>
  </w:abstractNum>
  <w:abstractNum w:abstractNumId="10">
    <w:nsid w:val="6B68079A"/>
    <w:multiLevelType w:val="hybridMultilevel"/>
    <w:lvl w:ilvl="0">
      <w:lvlJc w:val="left"/>
      <w:lvlText w:val="2"/>
      <w:numFmt w:val="bullet"/>
      <w:start w:val="1"/>
    </w:lvl>
  </w:abstractNum>
  <w:abstractNum w:abstractNumId="11">
    <w:nsid w:val="4E6AFB66"/>
    <w:multiLevelType w:val="hybridMultilevel"/>
    <w:lvl w:ilvl="0">
      <w:lvlJc w:val="left"/>
      <w:lvlText w:val="4"/>
      <w:numFmt w:val="bullet"/>
      <w:start w:val="1"/>
    </w:lvl>
  </w:abstractNum>
  <w:abstractNum w:abstractNumId="12">
    <w:nsid w:val="25E45D32"/>
    <w:multiLevelType w:val="hybridMultilevel"/>
    <w:lvl w:ilvl="0">
      <w:lvlJc w:val="left"/>
      <w:lvlText w:val="5"/>
      <w:numFmt w:val="bullet"/>
      <w:start w:val="1"/>
    </w:lvl>
  </w:abstractNum>
  <w:abstractNum w:abstractNumId="13">
    <w:nsid w:val="519B500D"/>
    <w:multiLevelType w:val="hybridMultilevel"/>
    <w:lvl w:ilvl="0">
      <w:lvlJc w:val="left"/>
      <w:lvlText w:val="6"/>
      <w:numFmt w:val="bullet"/>
      <w:start w:val="1"/>
    </w:lvl>
  </w:abstractNum>
  <w:abstractNum w:abstractNumId="14">
    <w:nsid w:val="431BD7B7"/>
    <w:multiLevelType w:val="hybridMultilevel"/>
    <w:lvl w:ilvl="0">
      <w:lvlJc w:val="left"/>
      <w:lvlText w:val="8"/>
      <w:numFmt w:val="bullet"/>
      <w:start w:val="1"/>
    </w:lvl>
  </w:abstractNum>
  <w:abstractNum w:abstractNumId="15">
    <w:nsid w:val="3F2DBA31"/>
    <w:multiLevelType w:val="hybridMultilevel"/>
    <w:lvl w:ilvl="0">
      <w:lvlJc w:val="left"/>
      <w:lvlText w:val="9"/>
      <w:numFmt w:val="bullet"/>
      <w:start w:val="1"/>
    </w:lvl>
  </w:abstractNum>
  <w:abstractNum w:abstractNumId="16">
    <w:nsid w:val="7C83E458"/>
    <w:multiLevelType w:val="hybridMultilevel"/>
    <w:lvl w:ilvl="0">
      <w:lvlJc w:val="left"/>
      <w:lvlText w:val="%1"/>
      <w:numFmt w:val="decimal"/>
      <w:start w:val="10"/>
    </w:lvl>
  </w:abstractNum>
  <w:abstractNum w:abstractNumId="17">
    <w:nsid w:val="257130A3"/>
    <w:multiLevelType w:val="hybridMultilevel"/>
    <w:lvl w:ilvl="0">
      <w:lvlJc w:val="left"/>
      <w:lvlText w:val="(%1)"/>
      <w:numFmt w:val="lowerLetter"/>
      <w:start w:val="5"/>
    </w:lvl>
  </w:abstractNum>
  <w:abstractNum w:abstractNumId="18">
    <w:nsid w:val="62BBD95A"/>
    <w:multiLevelType w:val="hybridMultilevel"/>
    <w:lvl w:ilvl="0">
      <w:lvlJc w:val="left"/>
      <w:lvlText w:val="(%1)"/>
      <w:numFmt w:val="lowerLetter"/>
      <w:start w:val="7"/>
    </w:lvl>
  </w:abstractNum>
  <w:abstractNum w:abstractNumId="19">
    <w:nsid w:val="436C6125"/>
    <w:multiLevelType w:val="hybridMultilevel"/>
    <w:lvl w:ilvl="0">
      <w:lvlJc w:val="left"/>
      <w:lvlText w:val="(%1)"/>
      <w:numFmt w:val="lowerLetter"/>
      <w:start w:val="1"/>
    </w:lvl>
  </w:abstractNum>
  <w:abstractNum w:abstractNumId="20">
    <w:nsid w:val="628C895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2019-12-14T04:23:00Z</dcterms:created>
  <dcterms:modified xsi:type="dcterms:W3CDTF">2019-12-14T04:23:00Z</dcterms:modified>
</cp:coreProperties>
</file>