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December 2011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 1</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On December 07, 2011, the registrant announces that TowerJazz will Present at the Needham Growth Conference in New York on January 10,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438785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700"/>
          </w:cols>
          <w:pgMar w:left="900" w:top="517" w:right="29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December 07, 2011</w:t>
      </w:r>
      <w:r>
        <w:rPr>
          <w:sz w:val="20"/>
          <w:szCs w:val="20"/>
          <w:color w:val="auto"/>
        </w:rPr>
        <w:tab/>
      </w:r>
      <w:r>
        <w:rPr>
          <w:rFonts w:ascii="Arial" w:cs="Arial" w:eastAsia="Arial" w:hAnsi="Arial"/>
          <w:sz w:val="16"/>
          <w:szCs w:val="16"/>
          <w:color w:val="auto"/>
        </w:rPr>
        <w:t>By: /s/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23"/>
          <w:szCs w:val="23"/>
          <w:b w:val="1"/>
          <w:bCs w:val="1"/>
          <w:color w:val="auto"/>
        </w:rPr>
        <w:t>TowerJazz to Present at the Needham Growth Conference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in New York on January 10, 2012</w:t>
      </w:r>
    </w:p>
    <w:p>
      <w:pPr>
        <w:spacing w:after="0" w:line="23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MIGDAL HAEMEK, Israel – December 7, 2011</w:t>
      </w:r>
      <w:r>
        <w:rPr>
          <w:rFonts w:ascii="Arial" w:cs="Arial" w:eastAsia="Arial" w:hAnsi="Arial"/>
          <w:sz w:val="18"/>
          <w:szCs w:val="18"/>
          <w:color w:val="auto"/>
        </w:rPr>
        <w:t>– TowerJazz (NASDAQ: TSEM), the global specialty foundry leader, today announced that its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Mr. Russell Ellwanger, will present at the 14th Annual Needham Growth Conference.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14th Annual Needham Growth Conference will be taking place at the New York Palace Hotel. TowerJazz is scheduled to present in the Henry Room at 9:20am Eastern Time on Tuesday, January 10, 2012.</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At the conference there will be an opportunity for investors to meet one-on-one with Russell Ellwanger, CEO. Interested investors should contact either the conference organizers or the Investor Relations team at TowerJazz at </w:t>
      </w:r>
      <w:r>
        <w:rPr>
          <w:rFonts w:ascii="Arial" w:cs="Arial" w:eastAsia="Arial" w:hAnsi="Arial"/>
          <w:sz w:val="18"/>
          <w:szCs w:val="18"/>
          <w:u w:val="single" w:color="auto"/>
          <w:color w:val="auto"/>
        </w:rPr>
        <w:t>towerjazz@ccgisrael.com</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the global specialty foundry leader, its fully owned U.S. subsidiary Jazz Semiconductor Ltd., and its fully owned Japanese subsidiary TowerJazz Japan, LTD,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multi-fab sourcing, TowerJazz maintains two manufacturing facilities in Israel, one in the U.S., and one in Japan with additional capacity available in China through manufacturing partnerships.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Contact:</w:t>
            </w:r>
          </w:p>
        </w:tc>
        <w:tc>
          <w:tcPr>
            <w:tcW w:w="240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760" w:type="dxa"/>
            <w:vAlign w:val="bottom"/>
          </w:tcPr>
          <w:p>
            <w:pPr>
              <w:spacing w:after="0"/>
              <w:rPr>
                <w:sz w:val="17"/>
                <w:szCs w:val="17"/>
                <w:color w:val="auto"/>
              </w:rPr>
            </w:pPr>
          </w:p>
        </w:tc>
      </w:tr>
      <w:tr>
        <w:trPr>
          <w:trHeight w:val="465"/>
        </w:trPr>
        <w:tc>
          <w:tcPr>
            <w:tcW w:w="3080" w:type="dxa"/>
            <w:vAlign w:val="bottom"/>
            <w:gridSpan w:val="4"/>
          </w:tcPr>
          <w:p>
            <w:pPr>
              <w:ind w:left="320"/>
              <w:spacing w:after="0"/>
              <w:rPr>
                <w:sz w:val="20"/>
                <w:szCs w:val="20"/>
                <w:color w:val="auto"/>
              </w:rPr>
            </w:pPr>
            <w:r>
              <w:rPr>
                <w:rFonts w:ascii="Arial" w:cs="Arial" w:eastAsia="Arial" w:hAnsi="Arial"/>
                <w:sz w:val="18"/>
                <w:szCs w:val="18"/>
                <w:color w:val="auto"/>
              </w:rPr>
              <w:t>Tower Semiconductor</w:t>
            </w:r>
          </w:p>
        </w:tc>
        <w:tc>
          <w:tcPr>
            <w:tcW w:w="8340" w:type="dxa"/>
            <w:vAlign w:val="bottom"/>
            <w:gridSpan w:val="3"/>
          </w:tcPr>
          <w:p>
            <w:pPr>
              <w:ind w:left="720"/>
              <w:spacing w:after="0"/>
              <w:rPr>
                <w:sz w:val="20"/>
                <w:szCs w:val="20"/>
                <w:color w:val="auto"/>
              </w:rPr>
            </w:pPr>
            <w:r>
              <w:rPr>
                <w:rFonts w:ascii="Arial" w:cs="Arial" w:eastAsia="Arial" w:hAnsi="Arial"/>
                <w:sz w:val="18"/>
                <w:szCs w:val="18"/>
                <w:color w:val="auto"/>
              </w:rPr>
              <w:t>CCG Investor Relations</w:t>
            </w:r>
          </w:p>
        </w:tc>
      </w:tr>
      <w:tr>
        <w:trPr>
          <w:trHeight w:val="216"/>
        </w:trPr>
        <w:tc>
          <w:tcPr>
            <w:tcW w:w="34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Noit Levi, +972 4 604 7066</w:t>
            </w:r>
          </w:p>
        </w:tc>
        <w:tc>
          <w:tcPr>
            <w:tcW w:w="8340" w:type="dxa"/>
            <w:vAlign w:val="bottom"/>
            <w:gridSpan w:val="3"/>
          </w:tcPr>
          <w:p>
            <w:pPr>
              <w:ind w:left="720"/>
              <w:spacing w:after="0"/>
              <w:rPr>
                <w:sz w:val="20"/>
                <w:szCs w:val="20"/>
                <w:color w:val="auto"/>
              </w:rPr>
            </w:pPr>
            <w:r>
              <w:rPr>
                <w:rFonts w:ascii="Arial" w:cs="Arial" w:eastAsia="Arial" w:hAnsi="Arial"/>
                <w:sz w:val="18"/>
                <w:szCs w:val="18"/>
                <w:color w:val="auto"/>
              </w:rPr>
              <w:t>Kenny Green, (646) 201 9246</w:t>
            </w:r>
          </w:p>
        </w:tc>
      </w:tr>
      <w:tr>
        <w:trPr>
          <w:trHeight w:val="190"/>
        </w:trPr>
        <w:tc>
          <w:tcPr>
            <w:tcW w:w="340" w:type="dxa"/>
            <w:vAlign w:val="bottom"/>
          </w:tcPr>
          <w:p>
            <w:pPr>
              <w:spacing w:after="0"/>
              <w:rPr>
                <w:sz w:val="16"/>
                <w:szCs w:val="16"/>
                <w:color w:val="auto"/>
              </w:rPr>
            </w:pPr>
          </w:p>
        </w:tc>
        <w:tc>
          <w:tcPr>
            <w:tcW w:w="2740" w:type="dxa"/>
            <w:vAlign w:val="bottom"/>
            <w:gridSpan w:val="3"/>
          </w:tcPr>
          <w:p>
            <w:pPr>
              <w:spacing w:after="0" w:line="190" w:lineRule="exact"/>
              <w:rPr>
                <w:sz w:val="20"/>
                <w:szCs w:val="20"/>
                <w:color w:val="auto"/>
              </w:rPr>
            </w:pPr>
            <w:r>
              <w:rPr>
                <w:rFonts w:ascii="Arial" w:cs="Arial" w:eastAsia="Arial" w:hAnsi="Arial"/>
                <w:sz w:val="18"/>
                <w:szCs w:val="18"/>
                <w:color w:val="auto"/>
              </w:rPr>
              <w:t>Noit.levi@towerjazz.com</w:t>
            </w:r>
          </w:p>
        </w:tc>
        <w:tc>
          <w:tcPr>
            <w:tcW w:w="8340" w:type="dxa"/>
            <w:vAlign w:val="bottom"/>
            <w:gridSpan w:val="3"/>
          </w:tcPr>
          <w:p>
            <w:pPr>
              <w:ind w:left="720"/>
              <w:spacing w:after="0" w:line="190" w:lineRule="exact"/>
              <w:rPr>
                <w:sz w:val="20"/>
                <w:szCs w:val="20"/>
                <w:color w:val="auto"/>
              </w:rPr>
            </w:pPr>
            <w:r>
              <w:rPr>
                <w:rFonts w:ascii="Arial" w:cs="Arial" w:eastAsia="Arial" w:hAnsi="Arial"/>
                <w:sz w:val="18"/>
                <w:szCs w:val="18"/>
                <w:color w:val="auto"/>
              </w:rPr>
              <w:t>towerjazz@ccgisrael.com</w:t>
            </w:r>
          </w:p>
        </w:tc>
      </w:tr>
      <w:tr>
        <w:trPr>
          <w:trHeight w:val="382"/>
        </w:trPr>
        <w:tc>
          <w:tcPr>
            <w:tcW w:w="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r>
      <w:tr>
        <w:trPr>
          <w:trHeight w:val="71"/>
        </w:trPr>
        <w:tc>
          <w:tcPr>
            <w:tcW w:w="340" w:type="dxa"/>
            <w:vAlign w:val="bottom"/>
            <w:shd w:val="clear" w:color="auto" w:fill="808080"/>
          </w:tcPr>
          <w:p>
            <w:pPr>
              <w:spacing w:after="0"/>
              <w:rPr>
                <w:sz w:val="6"/>
                <w:szCs w:val="6"/>
                <w:color w:val="auto"/>
              </w:rPr>
            </w:pPr>
          </w:p>
        </w:tc>
        <w:tc>
          <w:tcPr>
            <w:tcW w:w="340" w:type="dxa"/>
            <w:vAlign w:val="bottom"/>
            <w:shd w:val="clear" w:color="auto" w:fill="808080"/>
          </w:tcPr>
          <w:p>
            <w:pPr>
              <w:spacing w:after="0"/>
              <w:rPr>
                <w:sz w:val="6"/>
                <w:szCs w:val="6"/>
                <w:color w:val="auto"/>
              </w:rPr>
            </w:pPr>
          </w:p>
        </w:tc>
        <w:tc>
          <w:tcPr>
            <w:tcW w:w="1500" w:type="dxa"/>
            <w:vAlign w:val="bottom"/>
            <w:shd w:val="clear" w:color="auto" w:fill="808080"/>
          </w:tcPr>
          <w:p>
            <w:pPr>
              <w:spacing w:after="0"/>
              <w:rPr>
                <w:sz w:val="6"/>
                <w:szCs w:val="6"/>
                <w:color w:val="auto"/>
              </w:rPr>
            </w:pPr>
          </w:p>
        </w:tc>
        <w:tc>
          <w:tcPr>
            <w:tcW w:w="900" w:type="dxa"/>
            <w:vAlign w:val="bottom"/>
            <w:shd w:val="clear" w:color="auto" w:fill="808080"/>
          </w:tcPr>
          <w:p>
            <w:pPr>
              <w:spacing w:after="0"/>
              <w:rPr>
                <w:sz w:val="6"/>
                <w:szCs w:val="6"/>
                <w:color w:val="auto"/>
              </w:rPr>
            </w:pPr>
          </w:p>
        </w:tc>
        <w:tc>
          <w:tcPr>
            <w:tcW w:w="720" w:type="dxa"/>
            <w:vAlign w:val="bottom"/>
            <w:shd w:val="clear" w:color="auto" w:fill="808080"/>
          </w:tcPr>
          <w:p>
            <w:pPr>
              <w:spacing w:after="0"/>
              <w:rPr>
                <w:sz w:val="6"/>
                <w:szCs w:val="6"/>
                <w:color w:val="auto"/>
              </w:rPr>
            </w:pPr>
          </w:p>
        </w:tc>
        <w:tc>
          <w:tcPr>
            <w:tcW w:w="1860" w:type="dxa"/>
            <w:vAlign w:val="bottom"/>
            <w:shd w:val="clear" w:color="auto" w:fill="808080"/>
          </w:tcPr>
          <w:p>
            <w:pPr>
              <w:spacing w:after="0"/>
              <w:rPr>
                <w:sz w:val="6"/>
                <w:szCs w:val="6"/>
                <w:color w:val="auto"/>
              </w:rPr>
            </w:pPr>
          </w:p>
        </w:tc>
        <w:tc>
          <w:tcPr>
            <w:tcW w:w="576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4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2019-12-10T13:03:28Z</dcterms:created>
  <dcterms:modified xsi:type="dcterms:W3CDTF">2019-12-10T13:03:28Z</dcterms:modified>
</cp:coreProperties>
</file>