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May 2008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On May 19, 2008, the Registrant announced its financial results for the three months ended March 31, 2008. Attached hereto are the following exhibits</w:t>
      </w:r>
    </w:p>
    <w:p>
      <w:pPr>
        <w:spacing w:after="0" w:line="164" w:lineRule="exact"/>
        <w:rPr>
          <w:sz w:val="24"/>
          <w:szCs w:val="24"/>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Press release dated May 19, 2008</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19,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Nati Somekh Gilboa</w:t>
      </w:r>
    </w:p>
    <w:p>
      <w:pPr>
        <w:ind w:left="506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REPORTS FIRST QUARTER 2008 FINANCIAL RESULTS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ACHIEVED REVENUE OF $57.6 MILLION, REPRESENTING THE SECOND HIGHEST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QUARTERLY REVENUE IN THE COMPANY'S HISTORY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MIGDAL HAEMEK, Israel - May 20, 2008 - Tower Semiconductor Ltd. (NASDAQ: TSEM, TASE: TSEM), an independent specialty foundry, today announced financial results for the first quarter ended March 31,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07" w:lineRule="exact"/>
        <w:rPr>
          <w:sz w:val="20"/>
          <w:szCs w:val="20"/>
          <w:color w:val="auto"/>
        </w:rPr>
      </w:pPr>
    </w:p>
    <w:p>
      <w:pPr>
        <w:ind w:left="540" w:right="2419" w:hanging="532"/>
        <w:spacing w:after="0" w:line="290"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Recorded positive cash flow from operations for the sixth consecutive quarter and positive EBITDA for the tenth consecutive quarter</w:t>
      </w:r>
    </w:p>
    <w:p>
      <w:pPr>
        <w:spacing w:after="0" w:line="169" w:lineRule="exact"/>
        <w:rPr>
          <w:rFonts w:ascii="Courier New" w:cs="Courier New" w:eastAsia="Courier New" w:hAnsi="Courier New"/>
          <w:sz w:val="16"/>
          <w:szCs w:val="16"/>
          <w:color w:val="auto"/>
        </w:rPr>
      </w:pPr>
    </w:p>
    <w:p>
      <w:pPr>
        <w:ind w:left="540" w:right="261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Decreased net loss by $10.6 million year-over-year, representing an improvement of 26 percent</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Initiated production of N-trig's Digitizer Chips in Fab 2 targeted at the convertible notebook market</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Ramped production of Canesta's 3D Image Sensors in Fab 2 targeted at the automotive and gaming 3D camera market</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Announced plan to pursue expanded opportunities within the European market</w:t>
      </w:r>
    </w:p>
    <w:p>
      <w:pPr>
        <w:spacing w:after="0" w:line="22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Revenue for the first quarter of 2008 was $57.6 million as compared to revenue of $55.6 million in the first quarter of 2007 and $61.6 million in the prior quarter.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First quarter 2008 non-GAAP gross profit and operating profit, as described and reconciled below, totaled $21.0 million and $12.0 million, respectively, which represent 36.4 percent gross margin and 20.9 percent operating margin. Calculated in accordance with GAAP, net loss for the first quarter was $29.6 million, or $0.24 per share, an improvement of $10.6 million as compared to $40.2 million, or $0.38 per share, for the same period in 2007.</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we continued to execute on a number of key initiatives and customer engagements that resulted in the second largest revenue quarter in the Company's history despite the seasonality that is typically associated with our customer base and target markets," commented Russell Ellwanger, Chief Executive Officer of Tower Semiconductor, Ltd. "Furthermore, in accordance with our stated IDM specialty platform strategy, we achieved very high base line yield levels on new process platforms for two tier-one IDM customers in our first cycle of learning. Both platforms are expected to ramp in volume production over the next quarters. Additionally, our CMOS Image Sensor portfolio continues to expand with the inclusion of 3D imaging for automotive and gaming applications."</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Tower expects that second quarter revenue will be in a range of between $56 million and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2008 FINANCIAL RESULTS CONFERENCE CALL AND WEB CAST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will host a conference call to discuss these results today, May 20, 2008, at 10:00 a.m. Eastern Time (ET) / 5:00 p.m. Israel time. To participate, please call: 1-888-994-4498 (U.S. toll-free number) or 972-3-918-0685 (international) and mention ID code: TOWER. Callers in Israel are invited to call locally by dialing 03-918-0685.The conference call will also be Web cast live at http://www.earnings.com and at www.towersemi.com and will be available thereafter on both Web sites for replay for 90 days, starting at approximately 2 p.m. ET on the day of the call.</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previously announced, beginning with the fourth quarter of 2007, the Company presents its financial statements in accordance with U.S. GAAP. All historical amounts presented in this release, including the financial tables below, were recast to reflect the application of U.S. GAAP.</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As used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w:t>
      </w:r>
    </w:p>
    <w:p>
      <w:pPr>
        <w:sectPr>
          <w:pgSz w:w="11900" w:h="16838" w:orient="portrait"/>
          <w:cols w:equalWidth="0" w:num="1">
            <w:col w:w="10219"/>
          </w:cols>
          <w:pgMar w:left="240" w:top="344" w:right="1440" w:bottom="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for operating income, net income or loss, cash flows provided by operating, investing and financing activities, or other income or cash flow statement data prepared in accordance with GAAP.</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ectPr>
          <w:pgSz w:w="11900" w:h="16838" w:orient="portrait"/>
          <w:cols w:equalWidth="0" w:num="1">
            <w:col w:w="10219"/>
          </w:cols>
          <w:pgMar w:left="240" w:top="14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FORWARD LOOKING STATEMENT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therefore, (ii) the cyclical nature of the semiconductor industry and the resulting periodic overcapacity, fluctuations in operating results, future average selling price erosion, (iii) having sufficient funds to satisfy our short-term and long-term debt obligations and other liabilities, (iv) operating our facilities at high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(ix) maintaining existing customers and attracting additional customers, (x) not receiving orders from our wafer partners and customers, which can result in excess capacity, (xi) our dependence on a relatively small number of products for a significant portion of our revenue,</w:t>
      </w:r>
    </w:p>
    <w:p>
      <w:pPr>
        <w:spacing w:after="0" w:line="393" w:lineRule="exact"/>
        <w:rPr>
          <w:sz w:val="20"/>
          <w:szCs w:val="20"/>
          <w:color w:val="auto"/>
        </w:rPr>
      </w:pPr>
    </w:p>
    <w:p>
      <w:pPr>
        <w:ind w:right="1779" w:firstLine="8"/>
        <w:spacing w:after="0" w:line="268"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returns, (xiii) 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w:t>
      </w:r>
    </w:p>
    <w:p>
      <w:pPr>
        <w:ind w:right="1779" w:firstLine="8"/>
        <w:spacing w:after="0" w:line="271"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achieving acceptable device yields, product performance and delivery times, (xvii) our ability to manufacture products on a timely basis and to purchase the equipment to increase Fab2 capacity beyond 24,000 wafers per month and timely installation thereof, (xviii) 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and (xx) business interruption due to fire, the security situation in Israel and other events beyond our control.</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Tower Semiconductor</w:t>
      </w:r>
    </w:p>
    <w:p>
      <w:pPr>
        <w:ind w:left="420"/>
        <w:spacing w:after="0" w:line="238" w:lineRule="auto"/>
        <w:rPr>
          <w:sz w:val="20"/>
          <w:szCs w:val="20"/>
          <w:color w:val="auto"/>
        </w:rPr>
      </w:pPr>
      <w:r>
        <w:rPr>
          <w:rFonts w:ascii="Courier New" w:cs="Courier New" w:eastAsia="Courier New" w:hAnsi="Courier New"/>
          <w:sz w:val="18"/>
          <w:szCs w:val="18"/>
          <w:color w:val="auto"/>
        </w:rPr>
        <w:t>Limor Asif, + 972-4-650 6936</w:t>
      </w:r>
    </w:p>
    <w:p>
      <w:pPr>
        <w:ind w:left="420"/>
        <w:spacing w:after="0"/>
        <w:rPr>
          <w:sz w:val="20"/>
          <w:szCs w:val="20"/>
          <w:color w:val="auto"/>
        </w:rPr>
      </w:pPr>
      <w:r>
        <w:rPr>
          <w:rFonts w:ascii="Courier New" w:cs="Courier New" w:eastAsia="Courier New" w:hAnsi="Courier New"/>
          <w:sz w:val="18"/>
          <w:szCs w:val="18"/>
          <w:color w:val="auto"/>
        </w:rPr>
        <w:t>Limoras@towersemi.com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Ryan Bright, (972) 239-5119 ext. 159</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rbright@sheltongroup.com</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5480" w:type="dxa"/>
            <w:vAlign w:val="bottom"/>
          </w:tcPr>
          <w:p>
            <w:pPr>
              <w:ind w:left="3060"/>
              <w:spacing w:after="0"/>
              <w:rPr>
                <w:sz w:val="20"/>
                <w:szCs w:val="20"/>
                <w:color w:val="auto"/>
              </w:rPr>
            </w:pPr>
            <w:r>
              <w:rPr>
                <w:rFonts w:ascii="Courier New" w:cs="Courier New" w:eastAsia="Courier New" w:hAnsi="Courier New"/>
                <w:sz w:val="18"/>
                <w:szCs w:val="18"/>
                <w:color w:val="auto"/>
              </w:rPr>
              <w:t>(DOLLARS IN THOUSANDS)</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48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MARCH 31, DECEMBER 31,</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$ 32,374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$ 44,536</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44,977</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4,748</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34,398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27,806</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1,580</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114,109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123,647</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LONG-TERM INVESTMENTS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14,984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15,093</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520,518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502,287</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31,855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34,711</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OTHER ASSETS, NET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10,652</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11,044</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960"/>
              <w:spacing w:after="0"/>
              <w:rPr>
                <w:sz w:val="20"/>
                <w:szCs w:val="20"/>
                <w:color w:val="auto"/>
              </w:rPr>
            </w:pPr>
            <w:r>
              <w:rPr>
                <w:rFonts w:ascii="Courier New" w:cs="Courier New" w:eastAsia="Courier New" w:hAnsi="Courier New"/>
                <w:sz w:val="18"/>
                <w:szCs w:val="18"/>
                <w:color w:val="auto"/>
              </w:rPr>
              <w:t>TOTAL ASSETS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$692,118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$686,782</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MATURITIES OF CONVERTIBLE DEBENTURE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8,426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7,887</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55,988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49,025</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9,935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17,926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20,024</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92,275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76,936</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LONG-TERM DEBT FROM BANKS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390,210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379,314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DEBENTURES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116,618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117,460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LONG-TERM CUSTOMERS' ADVANCES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16,059</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27,983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OTHER LONG-TERM LIABILITIES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59,793</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40,380</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960"/>
              <w:spacing w:after="0"/>
              <w:rPr>
                <w:sz w:val="20"/>
                <w:szCs w:val="20"/>
                <w:color w:val="auto"/>
              </w:rPr>
            </w:pPr>
            <w:r>
              <w:rPr>
                <w:rFonts w:ascii="Courier New" w:cs="Courier New" w:eastAsia="Courier New" w:hAnsi="Courier New"/>
                <w:sz w:val="18"/>
                <w:szCs w:val="18"/>
                <w:color w:val="auto"/>
              </w:rPr>
              <w:t>TOTAL LIABILITIES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674,955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642,073</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17,163</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44,709</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960"/>
              <w:spacing w:after="0"/>
              <w:rPr>
                <w:sz w:val="20"/>
                <w:szCs w:val="20"/>
                <w:color w:val="auto"/>
              </w:rPr>
            </w:pPr>
            <w:r>
              <w:rPr>
                <w:rFonts w:ascii="Courier New" w:cs="Courier New" w:eastAsia="Courier New" w:hAnsi="Courier New"/>
                <w:sz w:val="18"/>
                <w:szCs w:val="18"/>
                <w:color w:val="auto"/>
                <w:w w:val="99"/>
              </w:rPr>
              <w:t>TOTAL LIABILITIES AND SHAREHOLDERS' EQUITY</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$692,118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$686,782</w:t>
            </w:r>
          </w:p>
        </w:tc>
      </w:tr>
      <w:tr>
        <w:trPr>
          <w:trHeight w:val="203"/>
        </w:trPr>
        <w:tc>
          <w:tcPr>
            <w:tcW w:w="54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7" w:name="page8"/>
    <w:bookmarkEnd w:id="7"/>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OPERATIONS (UNAUDITED)</w:t>
      </w:r>
    </w:p>
    <w:tbl>
      <w:tblPr>
        <w:tblLayout w:type="fixed"/>
        <w:tblInd w:w="0" w:type="dxa"/>
        <w:tblCellMar>
          <w:top w:w="0" w:type="dxa"/>
          <w:left w:w="0" w:type="dxa"/>
          <w:bottom w:w="0" w:type="dxa"/>
          <w:right w:w="0" w:type="dxa"/>
        </w:tblCellMar>
      </w:tblPr>
      <w:tr>
        <w:trPr>
          <w:trHeight w:val="203"/>
        </w:trPr>
        <w:tc>
          <w:tcPr>
            <w:tcW w:w="73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(DOLLARS IN THOUSANDS, EXCEPT SHARE DATA AND PER SHARE DATA)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24"/>
                <w:szCs w:val="24"/>
                <w:color w:val="auto"/>
              </w:rPr>
            </w:pP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390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2008</w:t>
            </w:r>
          </w:p>
        </w:tc>
        <w:tc>
          <w:tcPr>
            <w:tcW w:w="320" w:type="dxa"/>
            <w:vAlign w:val="bottom"/>
          </w:tcPr>
          <w:p>
            <w:pPr>
              <w:spacing w:after="0"/>
              <w:rPr>
                <w:sz w:val="17"/>
                <w:szCs w:val="17"/>
                <w:color w:val="auto"/>
              </w:rPr>
            </w:pPr>
          </w:p>
        </w:tc>
        <w:tc>
          <w:tcPr>
            <w:tcW w:w="12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2007</w:t>
            </w:r>
          </w:p>
        </w:tc>
        <w:tc>
          <w:tcPr>
            <w:tcW w:w="16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GAAP</w:t>
            </w:r>
          </w:p>
        </w:tc>
        <w:tc>
          <w:tcPr>
            <w:tcW w:w="320" w:type="dxa"/>
            <w:vAlign w:val="bottom"/>
          </w:tcPr>
          <w:p>
            <w:pPr>
              <w:spacing w:after="0"/>
              <w:rPr>
                <w:sz w:val="17"/>
                <w:szCs w:val="17"/>
                <w:color w:val="auto"/>
              </w:rPr>
            </w:pPr>
          </w:p>
        </w:tc>
        <w:tc>
          <w:tcPr>
            <w:tcW w:w="12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GAAP</w:t>
            </w:r>
          </w:p>
        </w:tc>
        <w:tc>
          <w:tcPr>
            <w:tcW w:w="16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GAAP</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57,607</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55,604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35,875</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68,255</w:t>
            </w:r>
          </w:p>
        </w:tc>
        <w:tc>
          <w:tcPr>
            <w:tcW w:w="3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71,519</w:t>
            </w:r>
          </w:p>
        </w:tc>
        <w:tc>
          <w:tcPr>
            <w:tcW w:w="1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61,331</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GROSS LOSS</w:t>
            </w:r>
          </w:p>
        </w:tc>
        <w:tc>
          <w:tcPr>
            <w:tcW w:w="2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(10,648)</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(15,915)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(25,456)</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540" w:type="dxa"/>
            <w:vAlign w:val="bottom"/>
          </w:tcPr>
          <w:p>
            <w:pPr>
              <w:ind w:left="540"/>
              <w:spacing w:after="0"/>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2,976</w:t>
            </w:r>
          </w:p>
        </w:tc>
        <w:tc>
          <w:tcPr>
            <w:tcW w:w="3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3,609</w:t>
            </w:r>
          </w:p>
        </w:tc>
        <w:tc>
          <w:tcPr>
            <w:tcW w:w="1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3,379</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MARKETING, GENERAL AND ADMINISTRATIVE</w:t>
            </w:r>
          </w:p>
        </w:tc>
        <w:tc>
          <w:tcPr>
            <w:tcW w:w="2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7,768</w:t>
            </w:r>
          </w:p>
        </w:tc>
        <w:tc>
          <w:tcPr>
            <w:tcW w:w="3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8,077</w:t>
            </w:r>
          </w:p>
        </w:tc>
        <w:tc>
          <w:tcPr>
            <w:tcW w:w="1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5,849</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10,744</w:t>
            </w:r>
          </w:p>
        </w:tc>
        <w:tc>
          <w:tcPr>
            <w:tcW w:w="3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11,686</w:t>
            </w:r>
          </w:p>
        </w:tc>
        <w:tc>
          <w:tcPr>
            <w:tcW w:w="1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9,228</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ind w:left="740"/>
              <w:spacing w:after="0"/>
              <w:rPr>
                <w:sz w:val="20"/>
                <w:szCs w:val="20"/>
                <w:color w:val="auto"/>
              </w:rPr>
            </w:pPr>
            <w:r>
              <w:rPr>
                <w:rFonts w:ascii="Courier New" w:cs="Courier New" w:eastAsia="Courier New" w:hAnsi="Courier New"/>
                <w:sz w:val="18"/>
                <w:szCs w:val="18"/>
                <w:color w:val="auto"/>
              </w:rPr>
              <w:t>OPERATING LOSS</w:t>
            </w:r>
          </w:p>
        </w:tc>
        <w:tc>
          <w:tcPr>
            <w:tcW w:w="26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(21,392)</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(27,601)</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(34,684)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FINANCING EXPENSE, NET</w:t>
            </w:r>
          </w:p>
        </w:tc>
        <w:tc>
          <w:tcPr>
            <w:tcW w:w="26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(7,800)</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(12,710)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(6,062)</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26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(428)</w:t>
            </w:r>
          </w:p>
        </w:tc>
        <w:tc>
          <w:tcPr>
            <w:tcW w:w="3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69</w:t>
            </w:r>
          </w:p>
        </w:tc>
        <w:tc>
          <w:tcPr>
            <w:tcW w:w="1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551</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ind w:left="740"/>
              <w:spacing w:after="0"/>
              <w:rPr>
                <w:sz w:val="20"/>
                <w:szCs w:val="20"/>
                <w:color w:val="auto"/>
              </w:rPr>
            </w:pPr>
            <w:r>
              <w:rPr>
                <w:rFonts w:ascii="Courier New" w:cs="Courier New" w:eastAsia="Courier New" w:hAnsi="Courier New"/>
                <w:sz w:val="18"/>
                <w:szCs w:val="18"/>
                <w:color w:val="auto"/>
              </w:rPr>
              <w:t>LOSS FOR THE PERIOD</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(29,620)</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(40,242)</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(40,195)</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BASIC LOSS PER ORDINARY SHARE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540" w:type="dxa"/>
            <w:vAlign w:val="bottom"/>
          </w:tcPr>
          <w:p>
            <w:pPr>
              <w:ind w:left="540"/>
              <w:spacing w:after="0"/>
              <w:rPr>
                <w:sz w:val="20"/>
                <w:szCs w:val="20"/>
                <w:color w:val="auto"/>
              </w:rPr>
            </w:pPr>
            <w:r>
              <w:rPr>
                <w:rFonts w:ascii="Courier New" w:cs="Courier New" w:eastAsia="Courier New" w:hAnsi="Courier New"/>
                <w:sz w:val="18"/>
                <w:szCs w:val="18"/>
                <w:color w:val="auto"/>
              </w:rPr>
              <w:t>LOSS PER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(0.24)</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(0.56)</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540" w:type="dxa"/>
            <w:vAlign w:val="bottom"/>
          </w:tcPr>
          <w:p>
            <w:pPr>
              <w:ind w:left="540"/>
              <w:spacing w:after="0"/>
              <w:rPr>
                <w:sz w:val="20"/>
                <w:szCs w:val="20"/>
                <w:color w:val="auto"/>
              </w:rPr>
            </w:pPr>
            <w:r>
              <w:rPr>
                <w:rFonts w:ascii="Courier New" w:cs="Courier New" w:eastAsia="Courier New" w:hAnsi="Courier New"/>
                <w:sz w:val="18"/>
                <w:szCs w:val="18"/>
                <w:color w:val="auto"/>
              </w:rPr>
              <w:t>WEIGHTED AVERAGE NUMBER OF ORDINARY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 OUTSTANDING - IN THOUSANDS</w:t>
            </w:r>
          </w:p>
        </w:tc>
        <w:tc>
          <w:tcPr>
            <w:tcW w:w="2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124,228</w:t>
            </w:r>
          </w:p>
        </w:tc>
        <w:tc>
          <w:tcPr>
            <w:tcW w:w="3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105,060</w:t>
            </w:r>
          </w:p>
        </w:tc>
        <w:tc>
          <w:tcPr>
            <w:tcW w:w="1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71,872</w:t>
            </w:r>
          </w:p>
        </w:tc>
      </w:tr>
      <w:tr>
        <w:trPr>
          <w:trHeight w:val="203"/>
        </w:trPr>
        <w:tc>
          <w:tcPr>
            <w:tcW w:w="45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bl>
    <w:p>
      <w:pPr>
        <w:sectPr>
          <w:pgSz w:w="11900" w:h="16838" w:orient="portrait"/>
          <w:cols w:equalWidth="0" w:num="1">
            <w:col w:w="10219"/>
          </w:cols>
          <w:pgMar w:left="240" w:top="919" w:right="1440" w:bottom="1440" w:gutter="0" w:footer="0" w:header="0"/>
        </w:sectPr>
      </w:pPr>
    </w:p>
    <w:bookmarkStart w:id="8" w:name="page9"/>
    <w:bookmarkEnd w:id="8"/>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RECONCILIATION OF REPORTED GAAP TO NON-GAAP CONSOLIDATED STATEMENTS OF</w:t>
      </w:r>
    </w:p>
    <w:p>
      <w:pPr>
        <w:jc w:val="center"/>
        <w:ind w:right="1779"/>
        <w:spacing w:after="0"/>
        <w:rPr>
          <w:sz w:val="20"/>
          <w:szCs w:val="20"/>
          <w:color w:val="auto"/>
        </w:rPr>
      </w:pPr>
      <w:r>
        <w:rPr>
          <w:rFonts w:ascii="Courier New" w:cs="Courier New" w:eastAsia="Courier New" w:hAnsi="Courier New"/>
          <w:sz w:val="18"/>
          <w:szCs w:val="18"/>
          <w:color w:val="auto"/>
        </w:rPr>
        <w:t>OPERATIONS (UNAUDITED)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ENDED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MARCH 31, 2008</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43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DEPRECIATION,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w:t>
            </w:r>
          </w:p>
        </w:tc>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AND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STOCK BASED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COMPENSATION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NON-GAAP (SEE A, B, C BELOW)</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GAAP</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$ 57,607</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$ 57,607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36,650</w:t>
            </w:r>
          </w:p>
        </w:tc>
        <w:tc>
          <w:tcPr>
            <w:tcW w:w="620" w:type="dxa"/>
            <w:vAlign w:val="bottom"/>
          </w:tcPr>
          <w:p>
            <w:pPr>
              <w:spacing w:after="0"/>
              <w:rPr>
                <w:sz w:val="24"/>
                <w:szCs w:val="24"/>
                <w:color w:val="auto"/>
              </w:rPr>
            </w:pPr>
          </w:p>
        </w:tc>
        <w:tc>
          <w:tcPr>
            <w:tcW w:w="14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31,605(A)</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68,255</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GROSS PROFIT (LOSS)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20,957</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(31,605)</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(10,648)</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RESEARCH AND DEVELOPMENT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2,744</w:t>
            </w:r>
          </w:p>
        </w:tc>
        <w:tc>
          <w:tcPr>
            <w:tcW w:w="620" w:type="dxa"/>
            <w:vAlign w:val="bottom"/>
          </w:tcPr>
          <w:p>
            <w:pPr>
              <w:spacing w:after="0"/>
              <w:rPr>
                <w:sz w:val="24"/>
                <w:szCs w:val="24"/>
                <w:color w:val="auto"/>
              </w:rPr>
            </w:pPr>
          </w:p>
        </w:tc>
        <w:tc>
          <w:tcPr>
            <w:tcW w:w="14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232(B)</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2,976</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MARKETING,  GENERAL&amp;ADMINISTRATIVE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6,169</w:t>
            </w:r>
          </w:p>
        </w:tc>
        <w:tc>
          <w:tcPr>
            <w:tcW w:w="620" w:type="dxa"/>
            <w:vAlign w:val="bottom"/>
          </w:tcPr>
          <w:p>
            <w:pPr>
              <w:spacing w:after="0"/>
              <w:rPr>
                <w:sz w:val="17"/>
                <w:szCs w:val="17"/>
                <w:color w:val="auto"/>
              </w:rPr>
            </w:pPr>
          </w:p>
        </w:tc>
        <w:tc>
          <w:tcPr>
            <w:tcW w:w="14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1,599(C)</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7,768</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8,913</w:t>
            </w:r>
          </w:p>
        </w:tc>
        <w:tc>
          <w:tcPr>
            <w:tcW w:w="62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1,831</w:t>
            </w:r>
          </w:p>
        </w:tc>
        <w:tc>
          <w:tcPr>
            <w:tcW w:w="5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10,744</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OPERATING PROFIT (LOSS)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$ 12,044</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$(33,436)</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$(21,392)</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ind w:left="540" w:right="20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$31,328 AND STOCK BASED COMPENSATION EXPENSES IN THE AMOUNT OF $277.</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$58 AND STOCK BASED COMPENSATION EXPENSES IN THE AMOUNT OF $174.</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$14 AND STOCK BASED COMPENSATION EXPENSES IN THE AMOUNT OF $1,585.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ENDED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MARCH 31, 2007</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43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DEPRECIATION,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w:t>
            </w:r>
          </w:p>
        </w:tc>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AND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STOCK BASED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COMPENSATION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NON-GAAP (SEE D, E, F BELOW)</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GAAP</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$ 55,604</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$ 55,604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34,711</w:t>
            </w:r>
          </w:p>
        </w:tc>
        <w:tc>
          <w:tcPr>
            <w:tcW w:w="620" w:type="dxa"/>
            <w:vAlign w:val="bottom"/>
          </w:tcPr>
          <w:p>
            <w:pPr>
              <w:spacing w:after="0"/>
              <w:rPr>
                <w:sz w:val="24"/>
                <w:szCs w:val="24"/>
                <w:color w:val="auto"/>
              </w:rPr>
            </w:pPr>
          </w:p>
        </w:tc>
        <w:tc>
          <w:tcPr>
            <w:tcW w:w="14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36,808(D)</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71,519</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GROSS PROFIT (LOSS)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20,893</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(36,808)</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(15,915)</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RESEARCH AND DEVELOPMENT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2,752</w:t>
            </w:r>
          </w:p>
        </w:tc>
        <w:tc>
          <w:tcPr>
            <w:tcW w:w="620" w:type="dxa"/>
            <w:vAlign w:val="bottom"/>
          </w:tcPr>
          <w:p>
            <w:pPr>
              <w:spacing w:after="0"/>
              <w:rPr>
                <w:sz w:val="24"/>
                <w:szCs w:val="24"/>
                <w:color w:val="auto"/>
              </w:rPr>
            </w:pPr>
          </w:p>
        </w:tc>
        <w:tc>
          <w:tcPr>
            <w:tcW w:w="14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857(E)</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3,609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MARKETING,  GENERAL&amp;ADMINISTRATIVE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6,310</w:t>
            </w:r>
          </w:p>
        </w:tc>
        <w:tc>
          <w:tcPr>
            <w:tcW w:w="620" w:type="dxa"/>
            <w:vAlign w:val="bottom"/>
          </w:tcPr>
          <w:p>
            <w:pPr>
              <w:spacing w:after="0"/>
              <w:rPr>
                <w:sz w:val="17"/>
                <w:szCs w:val="17"/>
                <w:color w:val="auto"/>
              </w:rPr>
            </w:pPr>
          </w:p>
        </w:tc>
        <w:tc>
          <w:tcPr>
            <w:tcW w:w="14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1,767(F)</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8,077</w:t>
            </w:r>
          </w:p>
        </w:tc>
      </w:tr>
      <w:tr>
        <w:trPr>
          <w:trHeight w:val="203"/>
        </w:trPr>
        <w:tc>
          <w:tcPr>
            <w:tcW w:w="4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9,062</w:t>
            </w:r>
          </w:p>
        </w:tc>
        <w:tc>
          <w:tcPr>
            <w:tcW w:w="62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2,624</w:t>
            </w:r>
          </w:p>
        </w:tc>
        <w:tc>
          <w:tcPr>
            <w:tcW w:w="5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11,686</w:t>
            </w:r>
          </w:p>
        </w:tc>
      </w:tr>
    </w:tbl>
    <w:p>
      <w:pPr>
        <w:sectPr>
          <w:pgSz w:w="11900" w:h="16838" w:orient="portrait"/>
          <w:cols w:equalWidth="0" w:num="1">
            <w:col w:w="10219"/>
          </w:cols>
          <w:pgMar w:left="240" w:top="919" w:right="1440" w:bottom="0" w:gutter="0" w:footer="0" w:header="0"/>
        </w:sectPr>
      </w:pPr>
    </w:p>
    <w:bookmarkStart w:id="9" w:name="page10"/>
    <w:bookmarkEnd w:id="9"/>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OPERATING PROFIT (LOSS)</w:t>
            </w:r>
          </w:p>
        </w:tc>
        <w:tc>
          <w:tcPr>
            <w:tcW w:w="1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$ 11,831</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$(39,432)</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$(27,601)</w:t>
            </w:r>
          </w:p>
        </w:tc>
      </w:tr>
      <w:tr>
        <w:trPr>
          <w:trHeight w:val="203"/>
        </w:trPr>
        <w:tc>
          <w:tcPr>
            <w:tcW w:w="3220" w:type="dxa"/>
            <w:vAlign w:val="bottom"/>
          </w:tcPr>
          <w:p>
            <w:pPr>
              <w:spacing w:after="0"/>
              <w:rPr>
                <w:sz w:val="17"/>
                <w:szCs w:val="17"/>
                <w:color w:val="auto"/>
              </w:rPr>
            </w:pP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0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$36,647 AND STOCK BASED COMPENSATION EXPENSES IN THE AMOUNT OF $161.</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$705 AND STOCK BASED COMPENSATION EXPENSES IN THE AMOUNT OF $152.</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STOCK 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THREE MONTHS ENDED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MARCH 31, 2006</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432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DEPRECIATION,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AMORTIZATION AND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STOCK BASED</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EXPENSES</w:t>
            </w:r>
          </w:p>
        </w:tc>
        <w:tc>
          <w:tcPr>
            <w:tcW w:w="10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33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9"/>
              </w:rPr>
              <w:t>NON-GAAP (SEE G, H, I BELOW)</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GAAP</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$ 35,875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$ 35,875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23,297</w:t>
            </w:r>
          </w:p>
        </w:tc>
        <w:tc>
          <w:tcPr>
            <w:tcW w:w="6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38,034(G)</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61,331</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GROSS PROFIT (LOSS)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12,578</w:t>
            </w:r>
          </w:p>
        </w:tc>
        <w:tc>
          <w:tcPr>
            <w:tcW w:w="680" w:type="dxa"/>
            <w:vAlign w:val="bottom"/>
          </w:tcPr>
          <w:p>
            <w:pPr>
              <w:spacing w:after="0"/>
              <w:rPr>
                <w:sz w:val="24"/>
                <w:szCs w:val="24"/>
                <w:color w:val="auto"/>
              </w:rPr>
            </w:pPr>
          </w:p>
        </w:tc>
        <w:tc>
          <w:tcPr>
            <w:tcW w:w="14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7"/>
              </w:rPr>
              <w:t>(38,034)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(25,456)</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RESEARCH AND DEVELOPMENT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2,227</w:t>
            </w:r>
          </w:p>
        </w:tc>
        <w:tc>
          <w:tcPr>
            <w:tcW w:w="6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1,152(H)</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3,379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MARKETING,  GENERAL&amp;ADMINISTRATIVE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5,155</w:t>
            </w:r>
          </w:p>
        </w:tc>
        <w:tc>
          <w:tcPr>
            <w:tcW w:w="6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694(I)</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5,849</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7,382</w:t>
            </w:r>
          </w:p>
        </w:tc>
        <w:tc>
          <w:tcPr>
            <w:tcW w:w="680" w:type="dxa"/>
            <w:vAlign w:val="bottom"/>
          </w:tcPr>
          <w:p>
            <w:pPr>
              <w:spacing w:after="0"/>
              <w:rPr>
                <w:sz w:val="24"/>
                <w:szCs w:val="24"/>
                <w:color w:val="auto"/>
              </w:rPr>
            </w:pP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1,846</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9,228</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OPERATING PROFIT (LOSS)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5,196</w:t>
            </w:r>
          </w:p>
        </w:tc>
        <w:tc>
          <w:tcPr>
            <w:tcW w:w="21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$(39,880)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$(34,684)</w:t>
            </w:r>
          </w:p>
        </w:tc>
      </w:tr>
      <w:tr>
        <w:trPr>
          <w:trHeight w:val="203"/>
        </w:trPr>
        <w:tc>
          <w:tcPr>
            <w:tcW w:w="4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$37,835 AND STOCK BASED COMPENSATION EXPENSES IN THE AMOUNT $199.</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$1,055 AND STOCK BASED COMPENSATION EXPENSES IN THE AMOUNT OF $97.</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DEPRECIATION AND AMORTIZATION EXPENSES IN THE AMOUNT OF $11 AND STOCK BASED COMPENSATION EXPENSES IN THE AMOUNT OF $683.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Roman"/>
      <w:start w:val="12"/>
    </w:lvl>
  </w:abstractNum>
  <w:abstractNum w:abstractNumId="2">
    <w:nsid w:val="238E1F29"/>
    <w:multiLevelType w:val="hybridMultilevel"/>
    <w:lvl w:ilvl="0">
      <w:lvlJc w:val="left"/>
      <w:lvlText w:val="(%1)"/>
      <w:numFmt w:val="lowerRoman"/>
      <w:start w:val="16"/>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4"/>
    </w:lvl>
  </w:abstractNum>
  <w:abstractNum w:abstractNumId="5">
    <w:nsid w:val="507ED7A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2019-12-14T04:20:02Z</dcterms:created>
  <dcterms:modified xsi:type="dcterms:W3CDTF">2019-12-14T04:20:02Z</dcterms:modified>
</cp:coreProperties>
</file>