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6010</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September 30,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4300 Stevens Creek Blvd., Suite 175</w:t>
      </w:r>
    </w:p>
    <w:p>
      <w:pPr>
        <w:spacing w:after="0"/>
        <w:rPr>
          <w:sz w:val="20"/>
          <w:szCs w:val="20"/>
          <w:color w:val="auto"/>
        </w:rPr>
      </w:pPr>
      <w:r>
        <w:rPr>
          <w:rFonts w:ascii="Courier New" w:cs="Courier New" w:eastAsia="Courier New" w:hAnsi="Courier New"/>
          <w:sz w:val="18"/>
          <w:szCs w:val="18"/>
          <w:color w:val="auto"/>
        </w:rPr>
        <w:t>San Jose, CA 95129</w:t>
      </w:r>
    </w:p>
    <w:p>
      <w:pPr>
        <w:spacing w:after="0" w:line="237" w:lineRule="auto"/>
        <w:rPr>
          <w:sz w:val="20"/>
          <w:szCs w:val="20"/>
          <w:color w:val="auto"/>
        </w:rPr>
      </w:pPr>
      <w:r>
        <w:rPr>
          <w:rFonts w:ascii="Courier New" w:cs="Courier New" w:eastAsia="Courier New" w:hAnsi="Courier New"/>
          <w:sz w:val="18"/>
          <w:szCs w:val="18"/>
          <w:color w:val="auto"/>
        </w:rPr>
        <w:t>As Agent for Service of Tower Semiconductor Ltd.</w:t>
      </w:r>
    </w:p>
    <w:p>
      <w:pPr>
        <w:spacing w:after="0" w:line="202" w:lineRule="exact"/>
        <w:rPr>
          <w:sz w:val="24"/>
          <w:szCs w:val="24"/>
          <w:color w:val="auto"/>
        </w:rPr>
      </w:pPr>
    </w:p>
    <w:p>
      <w:pPr>
        <w:ind w:left="640"/>
        <w:spacing w:after="0"/>
        <w:tabs>
          <w:tab w:leader="none" w:pos="16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Amendment No. 1 to Tower Semiconductor Ltd.</w:t>
      </w:r>
    </w:p>
    <w:p>
      <w:pPr>
        <w:ind w:left="860"/>
        <w:spacing w:after="0" w:line="238" w:lineRule="auto"/>
        <w:rPr>
          <w:sz w:val="20"/>
          <w:szCs w:val="20"/>
          <w:color w:val="auto"/>
        </w:rPr>
      </w:pPr>
      <w:r>
        <w:rPr>
          <w:rFonts w:ascii="Courier New" w:cs="Courier New" w:eastAsia="Courier New" w:hAnsi="Courier New"/>
          <w:sz w:val="18"/>
          <w:szCs w:val="18"/>
          <w:color w:val="auto"/>
        </w:rPr>
        <w:t>Registration Statement on Form F-2</w:t>
      </w:r>
    </w:p>
    <w:p>
      <w:pPr>
        <w:ind w:left="640"/>
        <w:spacing w:after="0"/>
        <w:rPr>
          <w:sz w:val="20"/>
          <w:szCs w:val="20"/>
          <w:color w:val="auto"/>
        </w:rPr>
      </w:pPr>
      <w:r>
        <w:rPr>
          <w:rFonts w:ascii="Courier New" w:cs="Courier New" w:eastAsia="Courier New" w:hAnsi="Courier New"/>
          <w:sz w:val="18"/>
          <w:szCs w:val="18"/>
          <w:color w:val="auto"/>
        </w:rPr>
        <w:t>Filed September 22, 2005</w:t>
      </w:r>
    </w:p>
    <w:p>
      <w:pPr>
        <w:ind w:left="860"/>
        <w:spacing w:after="0" w:line="237" w:lineRule="auto"/>
        <w:rPr>
          <w:sz w:val="20"/>
          <w:szCs w:val="20"/>
          <w:color w:val="auto"/>
        </w:rPr>
      </w:pPr>
      <w:r>
        <w:rPr>
          <w:rFonts w:ascii="Courier New" w:cs="Courier New" w:eastAsia="Courier New" w:hAnsi="Courier New"/>
          <w:sz w:val="18"/>
          <w:szCs w:val="18"/>
          <w:color w:val="auto"/>
        </w:rPr>
        <w:t>File No. 333-126909</w:t>
      </w:r>
    </w:p>
    <w:p>
      <w:pPr>
        <w:ind w:left="640"/>
        <w:spacing w:after="0" w:line="238" w:lineRule="auto"/>
        <w:rPr>
          <w:sz w:val="20"/>
          <w:szCs w:val="20"/>
          <w:color w:val="auto"/>
        </w:rPr>
      </w:pPr>
      <w:r>
        <w:rPr>
          <w:rFonts w:ascii="Courier New" w:cs="Courier New" w:eastAsia="Courier New" w:hAnsi="Courier New"/>
          <w:sz w:val="18"/>
          <w:szCs w:val="18"/>
          <w:color w:val="auto"/>
        </w:rPr>
        <w:t>Form 6-K/A</w:t>
      </w:r>
    </w:p>
    <w:p>
      <w:pPr>
        <w:ind w:left="640"/>
        <w:spacing w:after="0"/>
        <w:rPr>
          <w:sz w:val="20"/>
          <w:szCs w:val="20"/>
          <w:color w:val="auto"/>
        </w:rPr>
      </w:pPr>
      <w:r>
        <w:rPr>
          <w:rFonts w:ascii="Courier New" w:cs="Courier New" w:eastAsia="Courier New" w:hAnsi="Courier New"/>
          <w:sz w:val="18"/>
          <w:szCs w:val="18"/>
          <w:color w:val="auto"/>
        </w:rPr>
        <w:t>Filed September 22, 2005</w:t>
      </w:r>
    </w:p>
    <w:p>
      <w:pPr>
        <w:ind w:left="640"/>
        <w:spacing w:after="0" w:line="237" w:lineRule="auto"/>
        <w:rPr>
          <w:sz w:val="20"/>
          <w:szCs w:val="20"/>
          <w:color w:val="auto"/>
        </w:rPr>
      </w:pPr>
      <w:r>
        <w:rPr>
          <w:rFonts w:ascii="Courier New" w:cs="Courier New" w:eastAsia="Courier New" w:hAnsi="Courier New"/>
          <w:sz w:val="18"/>
          <w:szCs w:val="18"/>
          <w:color w:val="auto"/>
        </w:rPr>
        <w:t>File No. 0-24790</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Sir/Madam:</w:t>
      </w:r>
    </w:p>
    <w:p>
      <w:pPr>
        <w:spacing w:after="0" w:line="207" w:lineRule="exact"/>
        <w:rPr>
          <w:sz w:val="24"/>
          <w:szCs w:val="24"/>
          <w:color w:val="auto"/>
        </w:rPr>
      </w:pPr>
    </w:p>
    <w:p>
      <w:pPr>
        <w:ind w:right="3259" w:firstLine="632"/>
        <w:spacing w:after="0" w:line="236" w:lineRule="auto"/>
        <w:rPr>
          <w:sz w:val="20"/>
          <w:szCs w:val="20"/>
          <w:color w:val="auto"/>
        </w:rPr>
      </w:pPr>
      <w:r>
        <w:rPr>
          <w:rFonts w:ascii="Courier New" w:cs="Courier New" w:eastAsia="Courier New" w:hAnsi="Courier New"/>
          <w:sz w:val="18"/>
          <w:szCs w:val="18"/>
          <w:color w:val="auto"/>
        </w:rPr>
        <w:t>We have limited our review of your filing to those issues we have addressed in our comments. Where indicated, we think you should</w:t>
      </w:r>
    </w:p>
    <w:p>
      <w:pPr>
        <w:spacing w:after="0" w:line="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revise your document in response to these comments. If you disagree,</w:t>
      </w:r>
    </w:p>
    <w:p>
      <w:pPr>
        <w:spacing w:after="0" w:line="6" w:lineRule="exact"/>
        <w:rPr>
          <w:sz w:val="24"/>
          <w:szCs w:val="24"/>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we will consider your explanation as to why our comment is inapplicable or a revision is unnecessary. Please be as detailed as</w:t>
      </w:r>
    </w:p>
    <w:p>
      <w:pPr>
        <w:spacing w:after="0" w:line="6"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necessary in your explanation. In some of our comments, we may ask</w:t>
      </w:r>
    </w:p>
    <w:p>
      <w:pPr>
        <w:spacing w:after="0" w:line="6" w:lineRule="exact"/>
        <w:rPr>
          <w:sz w:val="24"/>
          <w:szCs w:val="24"/>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you to provide us with information so we may better understand your</w:t>
      </w:r>
    </w:p>
    <w:p>
      <w:pPr>
        <w:spacing w:after="0" w:line="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disclosure. After reviewing this information, we may raise additional comments.</w:t>
      </w:r>
    </w:p>
    <w:p>
      <w:pPr>
        <w:spacing w:after="0" w:line="208"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Please understand that the purpose of our review process 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any other aspect of</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our review. Feel free to call us at the telephone numbers listed at</w:t>
      </w:r>
    </w:p>
    <w:p>
      <w:pPr>
        <w:spacing w:after="0"/>
        <w:rPr>
          <w:sz w:val="20"/>
          <w:szCs w:val="20"/>
          <w:color w:val="auto"/>
        </w:rPr>
      </w:pPr>
      <w:r>
        <w:rPr>
          <w:rFonts w:ascii="Courier New" w:cs="Courier New" w:eastAsia="Courier New" w:hAnsi="Courier New"/>
          <w:sz w:val="18"/>
          <w:szCs w:val="18"/>
          <w:color w:val="auto"/>
        </w:rPr>
        <w:t>the end of this letter.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F-2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Fee Table</w:t>
      </w:r>
    </w:p>
    <w:p>
      <w:pPr>
        <w:spacing w:after="0" w:line="4" w:lineRule="exact"/>
        <w:rPr>
          <w:sz w:val="24"/>
          <w:szCs w:val="24"/>
          <w:color w:val="auto"/>
        </w:rPr>
      </w:pPr>
    </w:p>
    <w:p>
      <w:pPr>
        <w:ind w:right="367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revise the notes to the fee table to clarify how you determined the amount to be registered.</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Cover Page</w:t>
      </w:r>
    </w:p>
    <w:p>
      <w:pPr>
        <w:spacing w:after="0" w:line="4" w:lineRule="exact"/>
        <w:rPr>
          <w:sz w:val="24"/>
          <w:szCs w:val="24"/>
          <w:color w:val="auto"/>
        </w:rPr>
      </w:pPr>
    </w:p>
    <w:p>
      <w:pPr>
        <w:ind w:right="3259" w:firstLine="8"/>
        <w:spacing w:after="0" w:line="23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response to comment 3. In an appropriate place in your prospectus, please clarify whether the committed investors can</w:t>
      </w:r>
    </w:p>
    <w:p>
      <w:pPr>
        <w:spacing w:after="0" w:line="6"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any securities included in registration statement, including</w:t>
      </w:r>
    </w:p>
    <w:p>
      <w:pPr>
        <w:spacing w:after="0" w:line="5" w:lineRule="exact"/>
        <w:rPr>
          <w:rFonts w:ascii="Courier New" w:cs="Courier New" w:eastAsia="Courier New" w:hAnsi="Courier New"/>
          <w:sz w:val="18"/>
          <w:szCs w:val="18"/>
          <w:color w:val="auto"/>
        </w:rPr>
      </w:pPr>
    </w:p>
    <w:p>
      <w:pPr>
        <w:ind w:right="38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oversubscribing or otherwise. Also clarify whether those securities will be part of the unregistered offering or the registered offering.</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Questions and Answers About the Rights Offering, page 2</w:t>
      </w:r>
    </w:p>
    <w:p>
      <w:pPr>
        <w:spacing w:after="0" w:line="4" w:lineRule="exact"/>
        <w:rPr>
          <w:sz w:val="24"/>
          <w:szCs w:val="24"/>
          <w:color w:val="auto"/>
        </w:rPr>
      </w:pPr>
    </w:p>
    <w:p>
      <w:pPr>
        <w:ind w:right="399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response to prior comment 4 and reissue the comment.</w:t>
      </w:r>
    </w:p>
    <w:p>
      <w:pPr>
        <w:spacing w:after="0" w:line="5"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in the filing the reasons for structuring the rights</w:t>
      </w:r>
    </w:p>
    <w:p>
      <w:pPr>
        <w:spacing w:after="0" w:line="5"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for convertible debentures in the principal amount of $1 per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How will principal and interest be paid, page 2</w:t>
      </w:r>
    </w:p>
    <w:p>
      <w:pPr>
        <w:spacing w:after="0" w:line="4" w:lineRule="exact"/>
        <w:rPr>
          <w:sz w:val="24"/>
          <w:szCs w:val="24"/>
          <w:color w:val="auto"/>
        </w:rPr>
      </w:pPr>
    </w:p>
    <w:p>
      <w:pPr>
        <w:ind w:right="3359" w:firstLine="8"/>
        <w:spacing w:after="0" w:line="237"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cite any authority on which you rely to reach the conclusions in your response to comment 6. Address how all provisions for postponement of principal and interest payments disclosed in the document are consistent with the Trust Indenture Act</w:t>
      </w:r>
    </w:p>
    <w:p>
      <w:pPr>
        <w:sectPr>
          <w:pgSz w:w="11900" w:h="16853" w:orient="portrait"/>
          <w:cols w:equalWidth="0" w:num="1">
            <w:col w:w="10219"/>
          </w:cols>
          <w:pgMar w:left="240" w:top="852"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of 1939.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Are the debentures subordinated, page 3</w:t>
      </w:r>
    </w:p>
    <w:p>
      <w:pPr>
        <w:spacing w:after="0" w:line="4" w:lineRule="exact"/>
        <w:rPr>
          <w:sz w:val="20"/>
          <w:szCs w:val="20"/>
          <w:color w:val="auto"/>
        </w:rPr>
      </w:pPr>
    </w:p>
    <w:p>
      <w:pPr>
        <w:ind w:right="389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the amount owed to the customer who has a first-</w:t>
      </w:r>
    </w:p>
    <w:p>
      <w:pPr>
        <w:spacing w:after="0" w:line="5"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ranking charge. Also disclose the nature of the debt, and tell us the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this customer.</w:t>
      </w:r>
    </w:p>
    <w:p>
      <w:pPr>
        <w:spacing w:after="0" w:line="4" w:lineRule="exact"/>
        <w:rPr>
          <w:rFonts w:ascii="Courier New" w:cs="Courier New" w:eastAsia="Courier New" w:hAnsi="Courier New"/>
          <w:sz w:val="18"/>
          <w:szCs w:val="18"/>
          <w:color w:val="auto"/>
        </w:rPr>
      </w:pPr>
    </w:p>
    <w:p>
      <w:pPr>
        <w:ind w:right="377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wafer credits mentioned on page 38 are senior debt, please</w:t>
      </w:r>
    </w:p>
    <w:p>
      <w:pPr>
        <w:spacing w:after="0" w:line="5"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quantify that debt in this section. Also, please quantify the "Statutory Priorities" mentioned on page 43.</w:t>
      </w:r>
    </w:p>
    <w:p>
      <w:pPr>
        <w:spacing w:after="0" w:line="5"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Clarify what you mean by "certain other events relating to" you</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your property.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Why are we engaging in a rights offering, page 4</w:t>
      </w:r>
    </w:p>
    <w:p>
      <w:pPr>
        <w:spacing w:after="0" w:line="4" w:lineRule="exact"/>
        <w:rPr>
          <w:sz w:val="20"/>
          <w:szCs w:val="20"/>
          <w:color w:val="auto"/>
        </w:rPr>
      </w:pPr>
    </w:p>
    <w:p>
      <w:pPr>
        <w:ind w:right="3359" w:firstLine="8"/>
        <w:spacing w:after="0" w:line="236"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that the third paragraph of your response to comment 3 indicates that you are obligated to raise an amount "similar" to the</w:t>
      </w:r>
    </w:p>
    <w:p>
      <w:pPr>
        <w:spacing w:after="0" w:line="6"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 million bank commitment. However, in the fifth paragraph of the</w:t>
      </w:r>
    </w:p>
    <w:p>
      <w:pPr>
        <w:spacing w:after="0" w:line="5"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response, you state that you are obligated to raise $50 million. Please revise your disclosure to specify the amount you are obligated</w:t>
      </w:r>
    </w:p>
    <w:p>
      <w:pPr>
        <w:spacing w:after="0" w:line="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raise and tell us with specificity which subsection of which exhibit to the registration statement governs your obligation. Ensure that you have disclosed the reasons for the entire rights offering.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 do you transfer your rights, page 5</w:t>
      </w:r>
    </w:p>
    <w:p>
      <w:pPr>
        <w:ind w:left="320" w:hanging="312"/>
        <w:spacing w:after="0" w:line="238" w:lineRule="auto"/>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the last sentence of your response to comment</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0"/>
          <w:numId w:val="8"/>
        </w:numPr>
        <w:rPr>
          <w:rFonts w:ascii="Courier New" w:cs="Courier New" w:eastAsia="Courier New" w:hAnsi="Courier New"/>
          <w:sz w:val="18"/>
          <w:szCs w:val="18"/>
          <w:color w:val="auto"/>
        </w:r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are the federal income tax and Israeli income tax</w:t>
      </w:r>
    </w:p>
    <w:p>
      <w:pPr>
        <w:spacing w:after="0" w:line="238" w:lineRule="auto"/>
        <w:rPr>
          <w:sz w:val="20"/>
          <w:szCs w:val="20"/>
          <w:color w:val="auto"/>
        </w:rPr>
      </w:pPr>
      <w:r>
        <w:rPr>
          <w:rFonts w:ascii="Courier New" w:cs="Courier New" w:eastAsia="Courier New" w:hAnsi="Courier New"/>
          <w:sz w:val="18"/>
          <w:szCs w:val="18"/>
          <w:color w:val="auto"/>
        </w:rPr>
        <w:t>consequences,</w:t>
      </w:r>
    </w:p>
    <w:p>
      <w:pPr>
        <w:spacing w:after="0"/>
        <w:rPr>
          <w:sz w:val="20"/>
          <w:szCs w:val="20"/>
          <w:color w:val="auto"/>
        </w:rPr>
      </w:pPr>
      <w:r>
        <w:rPr>
          <w:rFonts w:ascii="Courier New" w:cs="Courier New" w:eastAsia="Courier New" w:hAnsi="Courier New"/>
          <w:sz w:val="18"/>
          <w:szCs w:val="18"/>
          <w:color w:val="auto"/>
        </w:rPr>
        <w:t>page 6</w:t>
      </w:r>
    </w:p>
    <w:p>
      <w:pPr>
        <w:spacing w:after="0" w:line="3" w:lineRule="exact"/>
        <w:rPr>
          <w:sz w:val="20"/>
          <w:szCs w:val="20"/>
          <w:color w:val="auto"/>
        </w:rPr>
      </w:pPr>
    </w:p>
    <w:p>
      <w:pPr>
        <w:ind w:right="3779" w:firstLine="8"/>
        <w:spacing w:after="0" w:line="235"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confirm our understanding that you will file as an exhibit</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ruling that you receive from a tax authority.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When will you receive your new securities, page 7</w:t>
      </w:r>
    </w:p>
    <w:p>
      <w:pPr>
        <w:spacing w:after="0" w:line="4" w:lineRule="exact"/>
        <w:rPr>
          <w:sz w:val="20"/>
          <w:szCs w:val="20"/>
          <w:color w:val="auto"/>
        </w:rPr>
      </w:pPr>
    </w:p>
    <w:p>
      <w:pPr>
        <w:ind w:right="3359" w:firstLine="8"/>
        <w:spacing w:after="0" w:line="237"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clarify how you will issue debentures after payment is cleared and still retain the ability to withdraw the offering as noted in the next Q&amp;A. How will you treat securities issued in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after the offering has been withdrawn?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 many shares, page 8</w:t>
      </w:r>
    </w:p>
    <w:p>
      <w:pPr>
        <w:spacing w:after="0" w:line="4" w:lineRule="exact"/>
        <w:rPr>
          <w:sz w:val="20"/>
          <w:szCs w:val="20"/>
          <w:color w:val="auto"/>
        </w:rPr>
      </w:pPr>
    </w:p>
    <w:p>
      <w:pPr>
        <w:ind w:right="3679" w:firstLine="8"/>
        <w:spacing w:after="0" w:line="235"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a view toward clarified disclosure, please tell us in detail</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how you calculated the 138.59 ratio.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Factors, page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you do not exercise all of your rights, page 20</w:t>
      </w: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response to comment 3.  However, we also note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your</w:t>
      </w:r>
    </w:p>
    <w:p>
      <w:pPr>
        <w:spacing w:after="0" w:line="4" w:lineRule="exact"/>
        <w:rPr>
          <w:rFonts w:ascii="Courier New" w:cs="Courier New" w:eastAsia="Courier New" w:hAnsi="Courier New"/>
          <w:sz w:val="18"/>
          <w:szCs w:val="18"/>
          <w:color w:val="auto"/>
        </w:rPr>
      </w:pPr>
    </w:p>
    <w:p>
      <w:pPr>
        <w:ind w:right="325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continued vague references to "certain" shareholders like in this risk factor. Please clarify who the "certain" shareholders are. Also, if the shifting of rights results in material changes to the ownership structure of your company, provide an updated beneficial ownership table in an appropriate section of your document.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Rights Offering, page 27</w:t>
      </w: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that you have revised your disclosure on pages 4 and</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0"/>
          <w:numId w:val="14"/>
        </w:numPr>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suggest that the board has not yet set the terms of the price offering, including the subscription price and conversion ratio. Please tell us which terms you will omit from the prospectus on the</w:t>
      </w:r>
    </w:p>
    <w:p>
      <w:pPr>
        <w:spacing w:after="0" w:line="4"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the registration statement is declared effective and the basis</w:t>
      </w:r>
    </w:p>
    <w:p>
      <w:pPr>
        <w:spacing w:after="0" w:line="5"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this omission. Also confirm your understanding that all terms of</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offering and securities must be final - not subject to board discretion without recirculation or termination of the offering as appropriate - and must be included in the prospectus that you circulate with the rights certificate.</w:t>
      </w:r>
    </w:p>
    <w:p>
      <w:pPr>
        <w:spacing w:after="0" w:line="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note that the rights are exercisable beginning on the date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w:t>
      </w:r>
    </w:p>
    <w:p>
      <w:pPr>
        <w:sectPr>
          <w:pgSz w:w="11900" w:h="16838" w:orient="portrait"/>
          <w:cols w:equalWidth="0" w:num="1">
            <w:col w:w="10219"/>
          </w:cols>
          <w:pgMar w:left="240" w:top="136" w:right="1440" w:bottom="0" w:gutter="0" w:footer="0" w:header="0"/>
        </w:sectPr>
      </w:pPr>
    </w:p>
    <w:bookmarkStart w:id="2" w:name="page3"/>
    <w:bookmarkEnd w:id="2"/>
    <w:p>
      <w:pPr>
        <w:ind w:right="3359"/>
        <w:spacing w:after="0" w:line="236" w:lineRule="auto"/>
        <w:rPr>
          <w:sz w:val="20"/>
          <w:szCs w:val="20"/>
          <w:color w:val="auto"/>
        </w:rPr>
      </w:pPr>
      <w:r>
        <w:rPr>
          <w:rFonts w:ascii="Courier New" w:cs="Courier New" w:eastAsia="Courier New" w:hAnsi="Courier New"/>
          <w:sz w:val="18"/>
          <w:szCs w:val="18"/>
          <w:color w:val="auto"/>
        </w:rPr>
        <w:t>the prospectus. However, according to your prospectus cover, the record date is not until two days after the date of the prospectus.</w:t>
      </w:r>
    </w:p>
    <w:p>
      <w:pPr>
        <w:spacing w:after="0" w:line="6"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Please clarify how the rights can be exercised before the record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Committed Purchases, page 28</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clarify when the unregistered offering will close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when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related rights will be exercised.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Recommendation, page 29</w:t>
      </w:r>
    </w:p>
    <w:p>
      <w:pPr>
        <w:spacing w:after="0" w:line="4" w:lineRule="exact"/>
        <w:rPr>
          <w:sz w:val="20"/>
          <w:szCs w:val="20"/>
          <w:color w:val="auto"/>
        </w:rPr>
      </w:pPr>
    </w:p>
    <w:p>
      <w:pPr>
        <w:ind w:right="3479" w:firstLine="8"/>
        <w:spacing w:after="0" w:line="237"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tell us how you calculated the 1,547 figure. If each right allows the holder to purchase $100 worth of debentures convertible at $1.10, it seems that the 1,547 figure should be much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larger.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Decision Will be Binding, page 29</w:t>
      </w:r>
    </w:p>
    <w:p>
      <w:pPr>
        <w:spacing w:after="0" w:line="4" w:lineRule="exact"/>
        <w:rPr>
          <w:sz w:val="20"/>
          <w:szCs w:val="20"/>
          <w:color w:val="auto"/>
        </w:rPr>
      </w:pPr>
    </w:p>
    <w:p>
      <w:pPr>
        <w:ind w:right="3359" w:firstLine="8"/>
        <w:spacing w:after="0" w:line="236"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expand your disclosure in response to comment 23 to clarify the practical effect of what you mean by consideration of the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materiality of a defect.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Debentures, page 35</w:t>
      </w:r>
    </w:p>
    <w:p>
      <w:pPr>
        <w:ind w:left="420" w:hanging="412"/>
        <w:spacing w:after="0" w:line="238"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a view toward clarified disclosure, please provide an</w:t>
      </w:r>
    </w:p>
    <w:p>
      <w:pPr>
        <w:spacing w:after="0" w:line="4"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example of the operation of the adjustments in the last two bullet points on page 36 (which seek to explain how you will calculate the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per share for purposes of the adjustment).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2006 Tax Reform, page 51</w:t>
      </w:r>
    </w:p>
    <w:p>
      <w:pPr>
        <w:spacing w:after="0" w:line="238" w:lineRule="auto"/>
        <w:rPr>
          <w:sz w:val="20"/>
          <w:szCs w:val="20"/>
          <w:color w:val="auto"/>
        </w:rPr>
      </w:pPr>
      <w:r>
        <w:rPr>
          <w:rFonts w:ascii="Courier New" w:cs="Courier New" w:eastAsia="Courier New" w:hAnsi="Courier New"/>
          <w:sz w:val="18"/>
          <w:szCs w:val="18"/>
          <w:color w:val="auto"/>
        </w:rPr>
        <w:t>20. Clarify how the reform would affect U.S. residents.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Tax Considerations, page 52</w:t>
      </w:r>
    </w:p>
    <w:p>
      <w:pPr>
        <w:spacing w:after="0" w:line="4" w:lineRule="exact"/>
        <w:rPr>
          <w:sz w:val="20"/>
          <w:szCs w:val="20"/>
          <w:color w:val="auto"/>
        </w:rPr>
      </w:pPr>
    </w:p>
    <w:p>
      <w:pPr>
        <w:ind w:right="3479" w:firstLine="8"/>
        <w:spacing w:after="0" w:line="237"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must file a tax opinion that does not assume material conclusions that are a requirement of the ultimate opinion. For example, we note the assumption regarding debt characterization. If</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counsel cannot opine with certainty, counsel should explain the reasons for the doubt, the degree of uncertainty and the possible outcomes. You should provide appropriate disclosure setting forth the risk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of Tax Opinion</w:t>
      </w:r>
    </w:p>
    <w:p>
      <w:pPr>
        <w:ind w:left="420" w:hanging="412"/>
        <w:spacing w:after="0" w:line="238"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statement that the opinion will speak as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4"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opinion and that you will undertake no obligation to update the opinion. Please either file an opinion that omits that statement</w:t>
      </w:r>
    </w:p>
    <w:p>
      <w:pPr>
        <w:spacing w:after="0" w:line="6" w:lineRule="exact"/>
        <w:rPr>
          <w:rFonts w:ascii="Courier New" w:cs="Courier New" w:eastAsia="Courier New" w:hAnsi="Courier New"/>
          <w:sz w:val="18"/>
          <w:szCs w:val="18"/>
          <w:color w:val="auto"/>
        </w:rPr>
      </w:pPr>
    </w:p>
    <w:p>
      <w:pPr>
        <w:ind w:right="4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file an opinion dated as of the effective date of the registration</w:t>
      </w:r>
    </w:p>
    <w:p>
      <w:pPr>
        <w:spacing w:after="0" w:line="5"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as an exhibit to a final pre-effective amendment to your registration statement.</w:t>
      </w:r>
    </w:p>
    <w:p>
      <w:pPr>
        <w:spacing w:after="0" w:line="5" w:lineRule="exact"/>
        <w:rPr>
          <w:rFonts w:ascii="Courier New" w:cs="Courier New" w:eastAsia="Courier New" w:hAnsi="Courier New"/>
          <w:sz w:val="18"/>
          <w:szCs w:val="18"/>
          <w:color w:val="auto"/>
        </w:rPr>
      </w:pPr>
    </w:p>
    <w:p>
      <w:pPr>
        <w:ind w:right="3259" w:firstLine="8"/>
        <w:spacing w:after="0" w:line="236"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Those who purchase the rights, debentures or underlying shares from your offering must be permitted to rely on the opinion you file</w:t>
      </w:r>
    </w:p>
    <w:p>
      <w:pPr>
        <w:spacing w:after="0" w:line="6"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an exhibit. The last paragraph of your current exhibit implies that only the initial holders of the rights may rely on the opinion.</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Please file a revised opinion.</w:t>
      </w:r>
    </w:p>
    <w:p>
      <w:pPr>
        <w:ind w:left="420" w:hanging="412"/>
        <w:spacing w:after="0" w:line="238"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note that counsel must also consent to being named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prospectus.  Please revise accordingly.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6-K/A filed September 22, 2005</w:t>
      </w:r>
    </w:p>
    <w:p>
      <w:pPr>
        <w:spacing w:after="0" w:line="4" w:lineRule="exact"/>
        <w:rPr>
          <w:sz w:val="20"/>
          <w:szCs w:val="20"/>
          <w:color w:val="auto"/>
        </w:rPr>
      </w:pPr>
    </w:p>
    <w:p>
      <w:pPr>
        <w:ind w:right="3259" w:firstLine="8"/>
        <w:spacing w:after="0" w:line="237" w:lineRule="auto"/>
        <w:tabs>
          <w:tab w:leader="none" w:pos="42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in your response to our previous comment 38 that you agreed to provide all of the disclosures required by Item 10(e) of Regulation S-K with respect to each non-GAAP financial measure you disclose. In your earnings discussion furnished as Exhibit 99.1 to</w:t>
      </w:r>
    </w:p>
    <w:p>
      <w:pPr>
        <w:spacing w:after="0" w:line="6" w:lineRule="exact"/>
        <w:rPr>
          <w:rFonts w:ascii="Courier New" w:cs="Courier New" w:eastAsia="Courier New" w:hAnsi="Courier New"/>
          <w:sz w:val="18"/>
          <w:szCs w:val="18"/>
          <w:color w:val="auto"/>
        </w:rPr>
      </w:pPr>
    </w:p>
    <w:p>
      <w:pPr>
        <w:ind w:right="3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on Form 6-K/A filed September 22, 2005, which is incorporated by reference into your Form F-2/A also filed September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 2005, you have disclosed the non-GAAP financial measure,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EBITDA.</w:t>
      </w:r>
    </w:p>
    <w:p>
      <w:pPr>
        <w:spacing w:after="0" w:line="4"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revise the earnings discussion in Exhibit 99.1 to include the</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disclosures required by Item 10(e)(1)(i) of Regulation S-K.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Closing Comments</w:t>
      </w:r>
    </w:p>
    <w:p>
      <w:pPr>
        <w:spacing w:after="0" w:line="207" w:lineRule="exact"/>
        <w:rPr>
          <w:sz w:val="20"/>
          <w:szCs w:val="20"/>
          <w:color w:val="auto"/>
        </w:rPr>
      </w:pPr>
    </w:p>
    <w:p>
      <w:pPr>
        <w:ind w:right="3359" w:firstLine="632"/>
        <w:spacing w:after="0" w:line="236" w:lineRule="auto"/>
        <w:rPr>
          <w:sz w:val="20"/>
          <w:szCs w:val="20"/>
          <w:color w:val="auto"/>
        </w:rPr>
      </w:pPr>
      <w:r>
        <w:rPr>
          <w:rFonts w:ascii="Courier New" w:cs="Courier New" w:eastAsia="Courier New" w:hAnsi="Courier New"/>
          <w:sz w:val="18"/>
          <w:szCs w:val="18"/>
          <w:color w:val="auto"/>
        </w:rPr>
        <w:t>As appropriate, please amend your registration statement in response to these comments. You may wish to provide us with marked</w:t>
      </w:r>
    </w:p>
    <w:p>
      <w:pPr>
        <w:spacing w:after="0" w:line="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copies of the amendment to expedite our review. Please furnish a cover letter with your amendment that keys your responses to our comments and provides any requested information. Detailed cover letters greatly facilitate our review. Please understand that we may</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have additional comments after reviewing your amendment and responses</w:t>
      </w:r>
    </w:p>
    <w:p>
      <w:pPr>
        <w:spacing w:after="0"/>
        <w:rPr>
          <w:sz w:val="20"/>
          <w:szCs w:val="20"/>
          <w:color w:val="auto"/>
        </w:rPr>
      </w:pPr>
      <w:r>
        <w:rPr>
          <w:rFonts w:ascii="Courier New" w:cs="Courier New" w:eastAsia="Courier New" w:hAnsi="Courier New"/>
          <w:sz w:val="18"/>
          <w:szCs w:val="18"/>
          <w:color w:val="auto"/>
        </w:rPr>
        <w:t>to our comments.</w:t>
      </w:r>
    </w:p>
    <w:p>
      <w:pPr>
        <w:spacing w:after="0" w:line="207" w:lineRule="exact"/>
        <w:rPr>
          <w:sz w:val="20"/>
          <w:szCs w:val="20"/>
          <w:color w:val="auto"/>
        </w:rPr>
      </w:pPr>
    </w:p>
    <w:p>
      <w:pPr>
        <w:ind w:right="3259" w:firstLine="632"/>
        <w:spacing w:after="0" w:line="237" w:lineRule="auto"/>
        <w:rPr>
          <w:sz w:val="20"/>
          <w:szCs w:val="20"/>
          <w:color w:val="auto"/>
        </w:rPr>
      </w:pPr>
      <w:r>
        <w:rPr>
          <w:rFonts w:ascii="Courier New" w:cs="Courier New" w:eastAsia="Courier New" w:hAnsi="Courier New"/>
          <w:sz w:val="18"/>
          <w:szCs w:val="18"/>
          <w:color w:val="auto"/>
        </w:rPr>
        <w:t>We urge all persons who are responsible for the accuracy and adequacy of the disclosure in the filing to be certain that the filing includes all information required under the Securities Act of</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1933 and that they have provided all information investors require for an informed investment decision. Since the company and its management are in possession of all facts relating to a company`s disclosure, they are responsible for the accuracy and adequacy of the</w:t>
      </w:r>
    </w:p>
    <w:p>
      <w:pPr>
        <w:spacing w:after="0"/>
        <w:rPr>
          <w:sz w:val="20"/>
          <w:szCs w:val="20"/>
          <w:color w:val="auto"/>
        </w:rPr>
      </w:pPr>
      <w:r>
        <w:rPr>
          <w:rFonts w:ascii="Courier New" w:cs="Courier New" w:eastAsia="Courier New" w:hAnsi="Courier New"/>
          <w:sz w:val="18"/>
          <w:szCs w:val="18"/>
          <w:color w:val="auto"/>
        </w:rPr>
        <w:t>disclosures they have made.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You may contact Thomas Dyer at (202) 551-3641 or Kaitlin</w:t>
      </w:r>
    </w:p>
    <w:p>
      <w:pPr>
        <w:spacing w:after="0" w:line="238" w:lineRule="auto"/>
        <w:rPr>
          <w:sz w:val="20"/>
          <w:szCs w:val="20"/>
          <w:color w:val="auto"/>
        </w:rPr>
      </w:pPr>
      <w:r>
        <w:rPr>
          <w:rFonts w:ascii="Courier New" w:cs="Courier New" w:eastAsia="Courier New" w:hAnsi="Courier New"/>
          <w:sz w:val="18"/>
          <w:szCs w:val="18"/>
          <w:color w:val="auto"/>
        </w:rPr>
        <w:t>Tillan</w:t>
      </w:r>
    </w:p>
    <w:p>
      <w:pPr>
        <w:spacing w:after="0" w:line="5"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at (202) 551-3604 if you have questions regarding comments on the financial statements and related matters. Please contact Adelaja Heyliger at (202) 551-3636 or me at (202) 551-3800 with any other questions.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760"/>
        <w:spacing w:after="0"/>
        <w:rPr>
          <w:sz w:val="20"/>
          <w:szCs w:val="20"/>
          <w:color w:val="auto"/>
        </w:rPr>
      </w:pPr>
      <w:r>
        <w:rPr>
          <w:rFonts w:ascii="Courier New" w:cs="Courier New" w:eastAsia="Courier New" w:hAnsi="Courier New"/>
          <w:sz w:val="16"/>
          <w:szCs w:val="16"/>
          <w:color w:val="auto"/>
        </w:rPr>
        <w:t>Russell Mancuso</w:t>
      </w:r>
    </w:p>
    <w:p>
      <w:pPr>
        <w:spacing w:after="0" w:line="16"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Branch Chief</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cc (via fax):</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H. Schapiro, Esq.</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Sheldon Krause,</w:t>
      </w:r>
    </w:p>
    <w:p>
      <w:pPr>
        <w:spacing w:after="0" w:line="21" w:lineRule="exact"/>
        <w:rPr>
          <w:sz w:val="20"/>
          <w:szCs w:val="20"/>
          <w:color w:val="auto"/>
        </w:rPr>
      </w:pPr>
    </w:p>
    <w:p>
      <w:pPr>
        <w:sectPr>
          <w:pgSz w:w="11900" w:h="16838" w:orient="portrait"/>
          <w:cols w:equalWidth="0" w:num="3">
            <w:col w:w="1380" w:space="320"/>
            <w:col w:w="2640" w:space="720"/>
            <w:col w:w="515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Esq.</w:t>
      </w:r>
    </w:p>
    <w:p>
      <w:pPr>
        <w:sectPr>
          <w:pgSz w:w="11900" w:h="16838" w:orient="portrait"/>
          <w:cols w:equalWidth="0" w:num="1">
            <w:col w:w="10219"/>
          </w:cols>
          <w:pgMar w:left="240" w:top="136" w:right="1440" w:bottom="1440" w:gutter="0" w:footer="0" w:header="0"/>
          <w:type w:val="continuous"/>
        </w:sectPr>
      </w:pP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Ari Fried, Esq.</w:t>
      </w:r>
    </w:p>
    <w:p>
      <w:pPr>
        <w:ind w:left="860"/>
        <w:spacing w:after="0" w:line="238" w:lineRule="auto"/>
        <w:rPr>
          <w:sz w:val="20"/>
          <w:szCs w:val="20"/>
          <w:color w:val="auto"/>
        </w:rPr>
      </w:pPr>
      <w:r>
        <w:rPr>
          <w:rFonts w:ascii="Courier New" w:cs="Courier New" w:eastAsia="Courier New" w:hAnsi="Courier New"/>
          <w:sz w:val="18"/>
          <w:szCs w:val="18"/>
          <w:color w:val="auto"/>
        </w:rPr>
        <w:t>Yigal Arnon &amp; Co.</w:t>
      </w:r>
    </w:p>
    <w:p>
      <w:pPr>
        <w:ind w:left="860"/>
        <w:spacing w:after="0"/>
        <w:rPr>
          <w:sz w:val="20"/>
          <w:szCs w:val="20"/>
          <w:color w:val="auto"/>
        </w:rPr>
      </w:pPr>
      <w:r>
        <w:rPr>
          <w:rFonts w:ascii="Courier New" w:cs="Courier New" w:eastAsia="Courier New" w:hAnsi="Courier New"/>
          <w:sz w:val="18"/>
          <w:szCs w:val="18"/>
          <w:color w:val="auto"/>
        </w:rPr>
        <w:t>1 Azrieli Center</w:t>
      </w:r>
    </w:p>
    <w:p>
      <w:pPr>
        <w:ind w:left="860"/>
        <w:spacing w:after="0" w:line="237" w:lineRule="auto"/>
        <w:rPr>
          <w:sz w:val="20"/>
          <w:szCs w:val="20"/>
          <w:color w:val="auto"/>
        </w:rPr>
      </w:pPr>
      <w:r>
        <w:rPr>
          <w:rFonts w:ascii="Courier New" w:cs="Courier New" w:eastAsia="Courier New" w:hAnsi="Courier New"/>
          <w:sz w:val="18"/>
          <w:szCs w:val="18"/>
          <w:color w:val="auto"/>
        </w:rPr>
        <w:t>Tel Aviv, 67021 Israel</w:t>
      </w:r>
    </w:p>
    <w:p>
      <w:pPr>
        <w:spacing w:after="0" w:line="238" w:lineRule="auto"/>
        <w:rPr>
          <w:sz w:val="20"/>
          <w:szCs w:val="20"/>
          <w:color w:val="auto"/>
        </w:rPr>
      </w:pPr>
      <w:r>
        <w:rPr>
          <w:rFonts w:ascii="Courier New" w:cs="Courier New" w:eastAsia="Courier New" w:hAnsi="Courier New"/>
          <w:sz w:val="18"/>
          <w:szCs w:val="18"/>
          <w:color w:val="auto"/>
        </w:rPr>
        <w:t>Tower Semiconductor USA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Agent for Service of Tower Semiconductor Ltd.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30, 2005</w:t>
      </w:r>
    </w:p>
    <w:p>
      <w:pPr>
        <w:spacing w:after="0" w:line="238" w:lineRule="auto"/>
        <w:rPr>
          <w:sz w:val="20"/>
          <w:szCs w:val="20"/>
          <w:color w:val="auto"/>
        </w:rPr>
      </w:pPr>
      <w:r>
        <w:rPr>
          <w:rFonts w:ascii="Courier New" w:cs="Courier New" w:eastAsia="Courier New" w:hAnsi="Courier New"/>
          <w:sz w:val="18"/>
          <w:szCs w:val="18"/>
          <w:color w:val="auto"/>
        </w:rPr>
        <w:t>Page 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Eilenberg &amp; Krause LLP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212.986.2399</w:t>
      </w:r>
    </w:p>
    <w:sectPr>
      <w:pgSz w:w="11900" w:h="16838" w:orient="portrait"/>
      <w:cols w:equalWidth="0" w:num="2">
        <w:col w:w="5060" w:space="0"/>
        <w:col w:w="51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2"/>
    </w:lvl>
  </w:abstractNum>
  <w:abstractNum w:abstractNumId="2">
    <w:nsid w:val="140E0F76"/>
    <w:multiLevelType w:val="hybridMultilevel"/>
    <w:lvl w:ilvl="0">
      <w:lvlJc w:val="left"/>
      <w:lvlText w:val="%1."/>
      <w:numFmt w:val="decimal"/>
      <w:start w:val="3"/>
    </w:lvl>
  </w:abstractNum>
  <w:abstractNum w:abstractNumId="3">
    <w:nsid w:val="3352255A"/>
    <w:multiLevelType w:val="hybridMultilevel"/>
    <w:lvl w:ilvl="0">
      <w:lvlJc w:val="left"/>
      <w:lvlText w:val="%1."/>
      <w:numFmt w:val="decimal"/>
      <w:start w:val="4"/>
    </w:lvl>
  </w:abstractNum>
  <w:abstractNum w:abstractNumId="4">
    <w:nsid w:val="109CF92E"/>
    <w:multiLevelType w:val="hybridMultilevel"/>
    <w:lvl w:ilvl="0">
      <w:lvlJc w:val="left"/>
      <w:lvlText w:val="%1."/>
      <w:numFmt w:val="decimal"/>
      <w:start w:val="5"/>
    </w:lvl>
  </w:abstractNum>
  <w:abstractNum w:abstractNumId="5">
    <w:nsid w:val="DED7263"/>
    <w:multiLevelType w:val="hybridMultilevel"/>
    <w:lvl w:ilvl="0">
      <w:lvlJc w:val="left"/>
      <w:lvlText w:val="%1."/>
      <w:numFmt w:val="decimal"/>
      <w:start w:val="8"/>
    </w:lvl>
  </w:abstractNum>
  <w:abstractNum w:abstractNumId="6">
    <w:nsid w:val="7FDCC233"/>
    <w:multiLevelType w:val="hybridMultilevel"/>
    <w:lvl w:ilvl="0">
      <w:lvlJc w:val="left"/>
      <w:lvlText w:val="%1."/>
      <w:numFmt w:val="decimal"/>
      <w:start w:val="9"/>
    </w:lvl>
  </w:abstractNum>
  <w:abstractNum w:abstractNumId="7">
    <w:nsid w:val="1BEFD79F"/>
    <w:multiLevelType w:val="hybridMultilevel"/>
    <w:lvl w:ilvl="0">
      <w:lvlJc w:val="left"/>
      <w:lvlText w:val="%1."/>
      <w:numFmt w:val="decimal"/>
      <w:start w:val="12"/>
    </w:lvl>
  </w:abstractNum>
  <w:abstractNum w:abstractNumId="8">
    <w:nsid w:val="41A7C4C9"/>
    <w:multiLevelType w:val="hybridMultilevel"/>
    <w:lvl w:ilvl="0">
      <w:lvlJc w:val="left"/>
      <w:lvlText w:val="%1."/>
      <w:numFmt w:val="decimal"/>
      <w:start w:val="10"/>
    </w:lvl>
  </w:abstractNum>
  <w:abstractNum w:abstractNumId="9">
    <w:nsid w:val="6B68079A"/>
    <w:multiLevelType w:val="hybridMultilevel"/>
    <w:lvl w:ilvl="0">
      <w:lvlJc w:val="left"/>
      <w:lvlText w:val="%1."/>
      <w:numFmt w:val="decimal"/>
      <w:start w:val="11"/>
    </w:lvl>
  </w:abstractNum>
  <w:abstractNum w:abstractNumId="10">
    <w:nsid w:val="4E6AFB66"/>
    <w:multiLevelType w:val="hybridMultilevel"/>
    <w:lvl w:ilvl="0">
      <w:lvlJc w:val="left"/>
      <w:lvlText w:val="%1."/>
      <w:numFmt w:val="decimal"/>
      <w:start w:val="12"/>
    </w:lvl>
  </w:abstractNum>
  <w:abstractNum w:abstractNumId="11">
    <w:nsid w:val="25E45D32"/>
    <w:multiLevelType w:val="hybridMultilevel"/>
    <w:lvl w:ilvl="0">
      <w:lvlJc w:val="left"/>
      <w:lvlText w:val="%1."/>
      <w:numFmt w:val="decimal"/>
      <w:start w:val="13"/>
    </w:lvl>
  </w:abstractNum>
  <w:abstractNum w:abstractNumId="12">
    <w:nsid w:val="519B500D"/>
    <w:multiLevelType w:val="hybridMultilevel"/>
    <w:lvl w:ilvl="0">
      <w:lvlJc w:val="left"/>
      <w:lvlText w:val="%1."/>
      <w:numFmt w:val="decimal"/>
      <w:start w:val="14"/>
    </w:lvl>
  </w:abstractNum>
  <w:abstractNum w:abstractNumId="13">
    <w:nsid w:val="431BD7B7"/>
    <w:multiLevelType w:val="hybridMultilevel"/>
    <w:lvl w:ilvl="0">
      <w:lvlJc w:val="left"/>
      <w:lvlText w:val="%1"/>
      <w:numFmt w:val="decimal"/>
      <w:start w:val="29"/>
    </w:lvl>
  </w:abstractNum>
  <w:abstractNum w:abstractNumId="14">
    <w:nsid w:val="3F2DBA31"/>
    <w:multiLevelType w:val="hybridMultilevel"/>
    <w:lvl w:ilvl="0">
      <w:lvlJc w:val="left"/>
      <w:lvlText w:val="%1."/>
      <w:numFmt w:val="decimal"/>
      <w:start w:val="15"/>
    </w:lvl>
  </w:abstractNum>
  <w:abstractNum w:abstractNumId="15">
    <w:nsid w:val="7C83E458"/>
    <w:multiLevelType w:val="hybridMultilevel"/>
    <w:lvl w:ilvl="0">
      <w:lvlJc w:val="left"/>
      <w:lvlText w:val="%1."/>
      <w:numFmt w:val="decimal"/>
      <w:start w:val="16"/>
    </w:lvl>
  </w:abstractNum>
  <w:abstractNum w:abstractNumId="16">
    <w:nsid w:val="257130A3"/>
    <w:multiLevelType w:val="hybridMultilevel"/>
    <w:lvl w:ilvl="0">
      <w:lvlJc w:val="left"/>
      <w:lvlText w:val="%1."/>
      <w:numFmt w:val="decimal"/>
      <w:start w:val="17"/>
    </w:lvl>
  </w:abstractNum>
  <w:abstractNum w:abstractNumId="17">
    <w:nsid w:val="62BBD95A"/>
    <w:multiLevelType w:val="hybridMultilevel"/>
    <w:lvl w:ilvl="0">
      <w:lvlJc w:val="left"/>
      <w:lvlText w:val="%1."/>
      <w:numFmt w:val="decimal"/>
      <w:start w:val="18"/>
    </w:lvl>
  </w:abstractNum>
  <w:abstractNum w:abstractNumId="18">
    <w:nsid w:val="436C6125"/>
    <w:multiLevelType w:val="hybridMultilevel"/>
    <w:lvl w:ilvl="0">
      <w:lvlJc w:val="left"/>
      <w:lvlText w:val="%1."/>
      <w:numFmt w:val="decimal"/>
      <w:start w:val="19"/>
    </w:lvl>
  </w:abstractNum>
  <w:abstractNum w:abstractNumId="19">
    <w:nsid w:val="628C895D"/>
    <w:multiLevelType w:val="hybridMultilevel"/>
    <w:lvl w:ilvl="0">
      <w:lvlJc w:val="left"/>
      <w:lvlText w:val="%1."/>
      <w:numFmt w:val="decimal"/>
      <w:start w:val="21"/>
    </w:lvl>
  </w:abstractNum>
  <w:abstractNum w:abstractNumId="20">
    <w:nsid w:val="333AB105"/>
    <w:multiLevelType w:val="hybridMultilevel"/>
    <w:lvl w:ilvl="0">
      <w:lvlJc w:val="left"/>
      <w:lvlText w:val="%1."/>
      <w:numFmt w:val="decimal"/>
      <w:start w:val="22"/>
    </w:lvl>
  </w:abstractNum>
  <w:abstractNum w:abstractNumId="21">
    <w:nsid w:val="721DA317"/>
    <w:multiLevelType w:val="hybridMultilevel"/>
    <w:lvl w:ilvl="0">
      <w:lvlJc w:val="left"/>
      <w:lvlText w:val="%1."/>
      <w:numFmt w:val="decimal"/>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2019-12-14T04:22:20Z</dcterms:created>
  <dcterms:modified xsi:type="dcterms:W3CDTF">2019-12-14T04:22:20Z</dcterms:modified>
</cp:coreProperties>
</file>