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891856908</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2000</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jc w:val="right"/>
        <w:ind w:right="2739"/>
        <w:spacing w:after="0"/>
        <w:rPr>
          <w:sz w:val="20"/>
          <w:szCs w:val="20"/>
          <w:color w:val="auto"/>
        </w:rPr>
      </w:pPr>
      <w:r>
        <w:rPr>
          <w:rFonts w:ascii="Courier New" w:cs="Courier New" w:eastAsia="Courier New" w:hAnsi="Courier New"/>
          <w:sz w:val="18"/>
          <w:szCs w:val="18"/>
          <w:color w:val="auto"/>
        </w:rPr>
        <w:t>(b)</w:t>
      </w:r>
    </w:p>
    <w:p>
      <w:pPr>
        <w:sectPr>
          <w:pgSz w:w="11900" w:h="16838" w:orient="portrait"/>
          <w:cols w:equalWidth="0" w:num="1">
            <w:col w:w="10219"/>
          </w:cols>
          <w:pgMar w:left="240" w:top="447" w:right="1440" w:bottom="0" w:gutter="0" w:footer="0" w:header="0"/>
        </w:sectPr>
      </w:pPr>
    </w:p>
    <w:bookmarkStart w:id="1" w:name="page2"/>
    <w:bookmarkEnd w:id="1"/>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1,409,200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1,409,200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779" w:hanging="417"/>
        <w:spacing w:after="0" w:line="470"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1,409,200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11.8%</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339" w:right="1440" w:bottom="1440" w:gutter="0" w:footer="0" w:header="0"/>
        </w:sectPr>
      </w:pPr>
    </w:p>
    <w:bookmarkStart w:id="2" w:name="page3"/>
    <w:bookmarkEnd w:id="2"/>
    <w:p>
      <w:pPr>
        <w:spacing w:after="0" w:line="290"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212,300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1,398,200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779" w:hanging="417"/>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1,398,200 Beneficial ownership disclaimed pursuant to Rule 13d-4</w:t>
      </w:r>
    </w:p>
    <w:p>
      <w:pPr>
        <w:spacing w:after="0" w:line="214" w:lineRule="exact"/>
        <w:rPr>
          <w:sz w:val="20"/>
          <w:szCs w:val="20"/>
          <w:color w:val="auto"/>
        </w:rPr>
      </w:pPr>
    </w:p>
    <w:p>
      <w:pPr>
        <w:ind w:left="540" w:right="2519" w:hanging="427"/>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3 of 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427"/>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Emerging Markets Growth Fund, Inc.</w:t>
      </w:r>
    </w:p>
    <w:p>
      <w:pPr>
        <w:sectPr>
          <w:pgSz w:w="11900" w:h="16838" w:orient="portrait"/>
          <w:cols w:equalWidth="0" w:num="1">
            <w:col w:w="10219"/>
          </w:cols>
          <w:pgMar w:left="240" w:top="1440"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95-4026510</w:t>
      </w:r>
    </w:p>
    <w:p>
      <w:pPr>
        <w:spacing w:after="0" w:line="201" w:lineRule="exact"/>
        <w:rPr>
          <w:sz w:val="20"/>
          <w:szCs w:val="20"/>
          <w:color w:val="auto"/>
        </w:rPr>
      </w:pPr>
    </w:p>
    <w:p>
      <w:pPr>
        <w:ind w:left="540" w:hanging="427"/>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1,185,900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779" w:hanging="417"/>
        <w:spacing w:after="0" w:line="470"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1,185,900</w:t>
      </w:r>
    </w:p>
    <w:p>
      <w:pPr>
        <w:spacing w:after="0" w:line="214" w:lineRule="exact"/>
        <w:rPr>
          <w:sz w:val="20"/>
          <w:szCs w:val="20"/>
          <w:color w:val="auto"/>
        </w:rPr>
      </w:pPr>
    </w:p>
    <w:p>
      <w:pPr>
        <w:ind w:left="540" w:right="2519" w:hanging="427"/>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w:t>
      </w:r>
    </w:p>
    <w:p>
      <w:pPr>
        <w:spacing w:after="0" w:line="214"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ectPr>
          <w:pgSz w:w="11900" w:h="16838" w:orient="portrait"/>
          <w:cols w:equalWidth="0" w:num="1">
            <w:col w:w="10219"/>
          </w:cols>
          <w:pgMar w:left="240" w:top="136" w:right="1440" w:bottom="1440" w:gutter="0" w:footer="0" w:header="0"/>
        </w:sectPr>
      </w:pPr>
    </w:p>
    <w:bookmarkStart w:id="4" w:name="page5"/>
    <w:bookmarkEnd w:id="4"/>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Tower Semiconductor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P.O. Box 619</w:t>
      </w:r>
    </w:p>
    <w:p>
      <w:pPr>
        <w:ind w:left="740"/>
        <w:spacing w:after="0"/>
        <w:tabs>
          <w:tab w:leader="none" w:pos="3140" w:val="left"/>
        </w:tabs>
        <w:rPr>
          <w:sz w:val="20"/>
          <w:szCs w:val="20"/>
          <w:color w:val="auto"/>
        </w:rPr>
      </w:pPr>
      <w:r>
        <w:rPr>
          <w:rFonts w:ascii="Courier New" w:cs="Courier New" w:eastAsia="Courier New" w:hAnsi="Courier New"/>
          <w:sz w:val="18"/>
          <w:szCs w:val="18"/>
          <w:color w:val="auto"/>
        </w:rPr>
        <w:t>Migdal Haemek, Israel</w:t>
        <w:tab/>
        <w:t>23105</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Capital Group International, Inc., Capital International, Inc.</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and Emerging Markets Growth Fund, Inc.</w:t>
      </w:r>
    </w:p>
    <w:p>
      <w:pPr>
        <w:spacing w:after="0" w:line="207" w:lineRule="exact"/>
        <w:rPr>
          <w:sz w:val="20"/>
          <w:szCs w:val="20"/>
          <w:color w:val="auto"/>
        </w:rPr>
      </w:pPr>
    </w:p>
    <w:p>
      <w:pPr>
        <w:ind w:left="740" w:right="3779" w:hanging="736"/>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or principal business office or, if none, 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891856908</w:t>
      </w:r>
    </w:p>
    <w:p>
      <w:pPr>
        <w:spacing w:after="0" w:line="207" w:lineRule="exact"/>
        <w:rPr>
          <w:sz w:val="20"/>
          <w:szCs w:val="20"/>
          <w:color w:val="auto"/>
        </w:rPr>
      </w:pPr>
    </w:p>
    <w:p>
      <w:pPr>
        <w:jc w:val="right"/>
        <w:ind w:right="29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filings is a:</w:t>
      </w:r>
    </w:p>
    <w:p>
      <w:pPr>
        <w:spacing w:after="0" w:line="6" w:lineRule="exact"/>
        <w:rPr>
          <w:sz w:val="20"/>
          <w:szCs w:val="20"/>
          <w:color w:val="auto"/>
        </w:rPr>
      </w:pPr>
    </w:p>
    <w:p>
      <w:pPr>
        <w:ind w:left="1280" w:right="3159" w:hanging="535"/>
        <w:spacing w:after="0" w:line="235" w:lineRule="auto"/>
        <w:tabs>
          <w:tab w:leader="none" w:pos="13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1280"/>
        <w:spacing w:after="0"/>
        <w:rPr>
          <w:sz w:val="20"/>
          <w:szCs w:val="20"/>
          <w:color w:val="auto"/>
        </w:rPr>
      </w:pPr>
      <w:r>
        <w:rPr>
          <w:rFonts w:ascii="Courier New" w:cs="Courier New" w:eastAsia="Courier New" w:hAnsi="Courier New"/>
          <w:sz w:val="18"/>
          <w:szCs w:val="18"/>
          <w:color w:val="auto"/>
        </w:rPr>
        <w:t>240.13d-1(b)(1)(ii)(E).</w:t>
      </w:r>
    </w:p>
    <w:p>
      <w:pPr>
        <w:spacing w:after="0" w:line="3" w:lineRule="exact"/>
        <w:rPr>
          <w:sz w:val="20"/>
          <w:szCs w:val="20"/>
          <w:color w:val="auto"/>
        </w:rPr>
      </w:pPr>
    </w:p>
    <w:p>
      <w:pPr>
        <w:ind w:left="1280" w:right="3479" w:hanging="535"/>
        <w:spacing w:after="0" w:line="235" w:lineRule="auto"/>
        <w:tabs>
          <w:tab w:leader="none" w:pos="13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to 4</w:t>
      </w:r>
    </w:p>
    <w:p>
      <w:pPr>
        <w:spacing w:after="0" w:line="201" w:lineRule="exact"/>
        <w:rPr>
          <w:sz w:val="20"/>
          <w:szCs w:val="20"/>
          <w:color w:val="auto"/>
        </w:rPr>
      </w:pPr>
    </w:p>
    <w:p>
      <w:pPr>
        <w:ind w:left="1480" w:hanging="735"/>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1480" w:hanging="735"/>
        <w:spacing w:after="0"/>
        <w:tabs>
          <w:tab w:leader="none" w:pos="1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ectPr>
          <w:pgSz w:w="11900" w:h="16838" w:orient="portrait"/>
          <w:cols w:equalWidth="0" w:num="1">
            <w:col w:w="10219"/>
          </w:cols>
          <w:pgMar w:left="240" w:top="919" w:right="1440" w:bottom="1440" w:gutter="0" w:footer="0" w:header="0"/>
        </w:sectPr>
      </w:pPr>
    </w:p>
    <w:bookmarkStart w:id="5" w:name="page6"/>
    <w:bookmarkEnd w:id="5"/>
    <w:p>
      <w:pPr>
        <w:ind w:left="740" w:right="283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7" w:lineRule="exact"/>
        <w:rPr>
          <w:sz w:val="20"/>
          <w:szCs w:val="20"/>
          <w:color w:val="auto"/>
        </w:rPr>
      </w:pPr>
    </w:p>
    <w:p>
      <w:pPr>
        <w:ind w:left="740" w:right="2939"/>
        <w:spacing w:after="0" w:line="272" w:lineRule="auto"/>
        <w:rPr>
          <w:sz w:val="20"/>
          <w:szCs w:val="20"/>
          <w:color w:val="auto"/>
        </w:rPr>
      </w:pPr>
      <w:r>
        <w:rPr>
          <w:rFonts w:ascii="Courier New" w:cs="Courier New" w:eastAsia="Courier New" w:hAnsi="Courier New"/>
          <w:sz w:val="16"/>
          <w:szCs w:val="16"/>
          <w:color w:val="auto"/>
        </w:rPr>
        <w:t>Capital International, Inc., an investment adviser registered under Section 203 of the Investment Advisers Act of 1940 is deemed to be the beneficial owner of 1,398,200 shares or 11.7% of the 11,964,000 shares of Ordinary Shares believed to be outstanding as a result of acting as investment adviser to various investment companies and institutional accounts.</w:t>
      </w:r>
    </w:p>
    <w:p>
      <w:pPr>
        <w:spacing w:after="0" w:line="186"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Emerging Markets Growth Fund, Inc. , an investment company registered under the Investment Company Act of 1940, which is advised by Capital International, Inc., is the beneficial owner of 1,185,900 shares or 9.9% of the 11,964,000 shares of Ordinary Shares believed to be outstanding.</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9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839"/>
        <w:spacing w:after="0" w:line="271" w:lineRule="auto"/>
        <w:rPr>
          <w:sz w:val="20"/>
          <w:szCs w:val="20"/>
          <w:color w:val="auto"/>
        </w:rPr>
      </w:pPr>
      <w:r>
        <w:rPr>
          <w:rFonts w:ascii="Courier New" w:cs="Courier New" w:eastAsia="Courier New" w:hAnsi="Courier New"/>
          <w:sz w:val="16"/>
          <w:szCs w:val="16"/>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w:t>
      </w:r>
    </w:p>
    <w:p>
      <w:pPr>
        <w:spacing w:after="0" w:line="1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93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an investment company registered under the Investment Company Act of 1940.</w:t>
      </w:r>
    </w:p>
    <w:p>
      <w:pPr>
        <w:spacing w:after="0" w:line="37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6 of 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93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w:t>
      </w:r>
    </w:p>
    <w:p>
      <w:pPr>
        <w:sectPr>
          <w:pgSz w:w="11900" w:h="16838" w:orient="portrait"/>
          <w:cols w:equalWidth="0" w:num="1">
            <w:col w:w="10219"/>
          </w:cols>
          <w:pgMar w:left="240" w:top="1128" w:right="1440" w:bottom="0" w:gutter="0" w:footer="0" w:header="0"/>
        </w:sectPr>
      </w:pPr>
    </w:p>
    <w:bookmarkStart w:id="6" w:name="page7"/>
    <w:bookmarkEnd w:id="6"/>
    <w:p>
      <w:pPr>
        <w:ind w:left="740" w:right="2839"/>
        <w:spacing w:after="0" w:line="237" w:lineRule="auto"/>
        <w:rPr>
          <w:sz w:val="20"/>
          <w:szCs w:val="20"/>
          <w:color w:val="auto"/>
        </w:rPr>
      </w:pPr>
      <w:r>
        <w:rPr>
          <w:rFonts w:ascii="Courier New" w:cs="Courier New" w:eastAsia="Courier New" w:hAnsi="Courier New"/>
          <w:sz w:val="18"/>
          <w:szCs w:val="18"/>
          <w:color w:val="auto"/>
        </w:rPr>
        <w:t>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Kenneth R. Gorvetzian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73"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891856908</w:t>
      </w:r>
      <w:r>
        <w:rPr>
          <w:sz w:val="20"/>
          <w:szCs w:val="20"/>
          <w:color w:val="auto"/>
        </w:rPr>
        <w:tab/>
      </w:r>
      <w:r>
        <w:rPr>
          <w:rFonts w:ascii="Courier New" w:cs="Courier New" w:eastAsia="Courier New" w:hAnsi="Courier New"/>
          <w:sz w:val="16"/>
          <w:szCs w:val="16"/>
          <w:color w:val="auto"/>
        </w:rPr>
        <w:t>Page 7 of 8</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2860"/>
        <w:spacing w:after="0" w:line="238" w:lineRule="auto"/>
        <w:rPr>
          <w:sz w:val="20"/>
          <w:szCs w:val="20"/>
          <w:color w:val="auto"/>
        </w:rPr>
      </w:pPr>
      <w:r>
        <w:rPr>
          <w:rFonts w:ascii="Courier New" w:cs="Courier New" w:eastAsia="Courier New" w:hAnsi="Courier New"/>
          <w:sz w:val="18"/>
          <w:szCs w:val="18"/>
          <w:color w:val="auto"/>
        </w:rPr>
        <w:t>February 9, 2001</w:t>
      </w:r>
    </w:p>
    <w:p>
      <w:pPr>
        <w:spacing w:after="0" w:line="207" w:lineRule="exact"/>
        <w:rPr>
          <w:sz w:val="20"/>
          <w:szCs w:val="20"/>
          <w:color w:val="auto"/>
        </w:rPr>
      </w:pPr>
    </w:p>
    <w:p>
      <w:pPr>
        <w:jc w:val="both"/>
        <w:ind w:right="3039" w:firstLine="211"/>
        <w:spacing w:after="0" w:line="273" w:lineRule="auto"/>
        <w:rPr>
          <w:sz w:val="20"/>
          <w:szCs w:val="20"/>
          <w:color w:val="auto"/>
        </w:rPr>
      </w:pPr>
      <w:r>
        <w:rPr>
          <w:rFonts w:ascii="Courier New" w:cs="Courier New" w:eastAsia="Courier New" w:hAnsi="Courier New"/>
          <w:sz w:val="16"/>
          <w:szCs w:val="16"/>
          <w:color w:val="auto"/>
        </w:rPr>
        <w:t>Capital Group International, Inc. ("CGII"), Capital International, Inc. ("CII") and Emerging Markets Growth Fund, Inc. ("EMGF") hereby agree to file a joint statement on Schedule 13G under the Securities Exchange Act of 1934 (the "Act") in connection with their beneficial ownership of Ordinary Shares issued by Tower Semiconductor LTD.</w:t>
      </w:r>
    </w:p>
    <w:p>
      <w:pPr>
        <w:spacing w:after="0" w:line="185"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CGII, CII and EMGF state that they are each entitled to individually use Schedule 13G pursuant to Rule 13d-1(c) of the Act.</w:t>
      </w:r>
    </w:p>
    <w:p>
      <w:pPr>
        <w:spacing w:after="0" w:line="208" w:lineRule="exact"/>
        <w:rPr>
          <w:sz w:val="20"/>
          <w:szCs w:val="20"/>
          <w:color w:val="auto"/>
        </w:rPr>
      </w:pPr>
    </w:p>
    <w:p>
      <w:pPr>
        <w:ind w:right="2839" w:firstLine="211"/>
        <w:spacing w:after="0" w:line="279" w:lineRule="auto"/>
        <w:rPr>
          <w:sz w:val="20"/>
          <w:szCs w:val="20"/>
          <w:color w:val="auto"/>
        </w:rPr>
      </w:pPr>
      <w:r>
        <w:rPr>
          <w:rFonts w:ascii="Courier New" w:cs="Courier New" w:eastAsia="Courier New" w:hAnsi="Courier New"/>
          <w:sz w:val="16"/>
          <w:szCs w:val="16"/>
          <w:color w:val="auto"/>
        </w:rPr>
        <w:t>CGII, CII and EMGF are each responsible for the timely filing of the statement and any amendments thereto, and for the completeness and accuracy of the information concerning each of them contained therein</w:t>
      </w:r>
    </w:p>
    <w:p>
      <w:pPr>
        <w:sectPr>
          <w:pgSz w:w="11900" w:h="16838" w:orient="portrait"/>
          <w:cols w:equalWidth="0" w:num="1">
            <w:col w:w="10219"/>
          </w:cols>
          <w:pgMar w:left="240" w:top="142" w:right="1440" w:bottom="0" w:gutter="0" w:footer="0" w:header="0"/>
        </w:sectPr>
      </w:pPr>
    </w:p>
    <w:bookmarkStart w:id="7" w:name="page8"/>
    <w:bookmarkEnd w:id="7"/>
    <w:p>
      <w:pPr>
        <w:ind w:right="3579"/>
        <w:spacing w:after="0" w:line="235" w:lineRule="auto"/>
        <w:rPr>
          <w:sz w:val="20"/>
          <w:szCs w:val="20"/>
          <w:color w:val="auto"/>
        </w:rPr>
      </w:pPr>
      <w:r>
        <w:rPr>
          <w:rFonts w:ascii="Courier New" w:cs="Courier New" w:eastAsia="Courier New" w:hAnsi="Courier New"/>
          <w:sz w:val="18"/>
          <w:szCs w:val="18"/>
          <w:color w:val="auto"/>
        </w:rPr>
        <w:t>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Chairman</w:t>
      </w:r>
    </w:p>
    <w:p>
      <w:pPr>
        <w:ind w:left="370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Kenneth R. Gorvetzian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2000 included as an Exhibit to Schedule 13G filed with the Securities and Exchange Commission by Capital Group International, Inc. on February 9, 2001 with respect to Abitibi-Consolidated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5"/>
      <w:numFmt w:val="bullet"/>
      <w:start w:val="1"/>
    </w:lvl>
  </w:abstractNum>
  <w:abstractNum w:abstractNumId="6">
    <w:nsid w:val="431BD7B7"/>
    <w:multiLevelType w:val="hybridMultilevel"/>
    <w:lvl w:ilvl="0">
      <w:lvlJc w:val="left"/>
      <w:lvlText w:val="8"/>
      <w:numFmt w:val="bullet"/>
      <w:start w:val="1"/>
    </w:lvl>
  </w:abstractNum>
  <w:abstractNum w:abstractNumId="7">
    <w:nsid w:val="3F2DBA31"/>
    <w:multiLevelType w:val="hybridMultilevel"/>
    <w:lvl w:ilvl="0">
      <w:lvlJc w:val="left"/>
      <w:lvlText w:val="9"/>
      <w:numFmt w:val="bullet"/>
      <w:start w:val="1"/>
    </w:lvl>
  </w:abstractNum>
  <w:abstractNum w:abstractNumId="8">
    <w:nsid w:val="7C83E458"/>
    <w:multiLevelType w:val="hybridMultilevel"/>
    <w:lvl w:ilvl="0">
      <w:lvlJc w:val="left"/>
      <w:lvlText w:val="%1"/>
      <w:numFmt w:val="decimal"/>
      <w:start w:val="10"/>
    </w:lvl>
  </w:abstractNum>
  <w:abstractNum w:abstractNumId="9">
    <w:nsid w:val="257130A3"/>
    <w:multiLevelType w:val="hybridMultilevel"/>
    <w:lvl w:ilvl="0">
      <w:lvlJc w:val="left"/>
      <w:lvlText w:val="1"/>
      <w:numFmt w:val="bullet"/>
      <w:start w:val="1"/>
    </w:lvl>
  </w:abstractNum>
  <w:abstractNum w:abstractNumId="10">
    <w:nsid w:val="62BBD95A"/>
    <w:multiLevelType w:val="hybridMultilevel"/>
    <w:lvl w:ilvl="0">
      <w:lvlJc w:val="left"/>
      <w:lvlText w:val="2"/>
      <w:numFmt w:val="bullet"/>
      <w:start w:val="1"/>
    </w:lvl>
  </w:abstractNum>
  <w:abstractNum w:abstractNumId="11">
    <w:nsid w:val="436C6125"/>
    <w:multiLevelType w:val="hybridMultilevel"/>
    <w:lvl w:ilvl="0">
      <w:lvlJc w:val="left"/>
      <w:lvlText w:val="3"/>
      <w:numFmt w:val="bullet"/>
      <w:start w:val="1"/>
    </w:lvl>
  </w:abstractNum>
  <w:abstractNum w:abstractNumId="12">
    <w:nsid w:val="628C895D"/>
    <w:multiLevelType w:val="hybridMultilevel"/>
    <w:lvl w:ilvl="0">
      <w:lvlJc w:val="left"/>
      <w:lvlText w:val="4"/>
      <w:numFmt w:val="bullet"/>
      <w:start w:val="1"/>
    </w:lvl>
  </w:abstractNum>
  <w:abstractNum w:abstractNumId="13">
    <w:nsid w:val="333AB105"/>
    <w:multiLevelType w:val="hybridMultilevel"/>
    <w:lvl w:ilvl="0">
      <w:lvlJc w:val="left"/>
      <w:lvlText w:val="5"/>
      <w:numFmt w:val="bullet"/>
      <w:start w:val="1"/>
    </w:lvl>
  </w:abstractNum>
  <w:abstractNum w:abstractNumId="14">
    <w:nsid w:val="721DA317"/>
    <w:multiLevelType w:val="hybridMultilevel"/>
    <w:lvl w:ilvl="0">
      <w:lvlJc w:val="left"/>
      <w:lvlText w:val="8"/>
      <w:numFmt w:val="bullet"/>
      <w:start w:val="1"/>
    </w:lvl>
  </w:abstractNum>
  <w:abstractNum w:abstractNumId="15">
    <w:nsid w:val="2443A858"/>
    <w:multiLevelType w:val="hybridMultilevel"/>
    <w:lvl w:ilvl="0">
      <w:lvlJc w:val="left"/>
      <w:lvlText w:val="9"/>
      <w:numFmt w:val="bullet"/>
      <w:start w:val="1"/>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2"/>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4"/>
      <w:numFmt w:val="bullet"/>
      <w:start w:val="1"/>
    </w:lvl>
  </w:abstractNum>
  <w:abstractNum w:abstractNumId="21">
    <w:nsid w:val="4353D0CD"/>
    <w:multiLevelType w:val="hybridMultilevel"/>
    <w:lvl w:ilvl="0">
      <w:lvlJc w:val="left"/>
      <w:lvlText w:val="5"/>
      <w:numFmt w:val="bullet"/>
      <w:start w:val="1"/>
    </w:lvl>
  </w:abstractNum>
  <w:abstractNum w:abstractNumId="22">
    <w:nsid w:val="B03E0C6"/>
    <w:multiLevelType w:val="hybridMultilevel"/>
    <w:lvl w:ilvl="0">
      <w:lvlJc w:val="left"/>
      <w:lvlText w:val="8"/>
      <w:numFmt w:val="bullet"/>
      <w:start w:val="1"/>
    </w:lvl>
  </w:abstractNum>
  <w:abstractNum w:abstractNumId="23">
    <w:nsid w:val="189A769B"/>
    <w:multiLevelType w:val="hybridMultilevel"/>
    <w:lvl w:ilvl="0">
      <w:lvlJc w:val="left"/>
      <w:lvlText w:val="9"/>
      <w:numFmt w:val="bullet"/>
      <w:start w:val="1"/>
    </w:lvl>
  </w:abstractNum>
  <w:abstractNum w:abstractNumId="24">
    <w:nsid w:val="54E49EB4"/>
    <w:multiLevelType w:val="hybridMultilevel"/>
    <w:lvl w:ilvl="0">
      <w:lvlJc w:val="left"/>
      <w:lvlText w:val="%1"/>
      <w:numFmt w:val="decimal"/>
      <w:start w:val="10"/>
    </w:lvl>
  </w:abstractNum>
  <w:abstractNum w:abstractNumId="25">
    <w:nsid w:val="71F32454"/>
    <w:multiLevelType w:val="hybridMultilevel"/>
    <w:lvl w:ilvl="0">
      <w:lvlJc w:val="left"/>
      <w:lvlText w:val="(%1)"/>
      <w:numFmt w:val="lowerLetter"/>
      <w:start w:val="4"/>
    </w:lvl>
  </w:abstractNum>
  <w:abstractNum w:abstractNumId="26">
    <w:nsid w:val="2CA88611"/>
    <w:multiLevelType w:val="hybridMultilevel"/>
    <w:lvl w:ilvl="0">
      <w:lvlJc w:val="left"/>
      <w:lvlText w:val="(%1)"/>
      <w:numFmt w:val="lowerLetter"/>
      <w:start w:val="7"/>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2019-12-14T03:28:40Z</dcterms:created>
  <dcterms:modified xsi:type="dcterms:W3CDTF">2019-12-14T03:28:40Z</dcterms:modified>
</cp:coreProperties>
</file>