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 the month of May 2021 No.4</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Commission File Number 0-24790</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59" w:lineRule="exact"/>
        <w:rPr>
          <w:sz w:val="24"/>
          <w:szCs w:val="24"/>
          <w:color w:val="auto"/>
        </w:rPr>
      </w:pPr>
    </w:p>
    <w:p>
      <w:pPr>
        <w:jc w:val="center"/>
        <w:ind w:right="-39"/>
        <w:spacing w:after="0" w:line="253" w:lineRule="exact"/>
        <w:tabs>
          <w:tab w:leader="none" w:pos="3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 ____</w:t>
      </w:r>
    </w:p>
    <w:p>
      <w:pPr>
        <w:spacing w:after="0" w:line="32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 w:name="page2"/>
    <w:bookmarkEnd w:id="1"/>
    <w:p>
      <w:pPr>
        <w:ind w:firstLine="639"/>
        <w:spacing w:after="0" w:line="276" w:lineRule="auto"/>
        <w:rPr>
          <w:sz w:val="20"/>
          <w:szCs w:val="20"/>
          <w:color w:val="auto"/>
        </w:rPr>
      </w:pPr>
      <w:r>
        <w:rPr>
          <w:rFonts w:ascii="Arial" w:cs="Arial" w:eastAsia="Arial" w:hAnsi="Arial"/>
          <w:sz w:val="22"/>
          <w:szCs w:val="22"/>
          <w:color w:val="auto"/>
        </w:rPr>
        <w:t>On May 12, 2021, the Registrant announced its financial results for the three months ended March 31, 2021. Attached hereto is the following exhibit.</w:t>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99.1Press release dated May 12,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right="580"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3"/>
          </w:tcPr>
          <w:p>
            <w:pPr>
              <w:ind w:left="2080"/>
              <w:spacing w:after="0"/>
              <w:rPr>
                <w:sz w:val="20"/>
                <w:szCs w:val="20"/>
                <w:color w:val="auto"/>
              </w:rPr>
            </w:pPr>
            <w:r>
              <w:rPr>
                <w:rFonts w:ascii="Arial" w:cs="Arial" w:eastAsia="Arial" w:hAnsi="Arial"/>
                <w:sz w:val="18"/>
                <w:szCs w:val="18"/>
                <w:b w:val="1"/>
                <w:bCs w:val="1"/>
                <w:color w:val="auto"/>
              </w:rPr>
              <w:t>TOWER SEMICONDUCTOR LTD.</w:t>
            </w:r>
          </w:p>
        </w:tc>
      </w:tr>
      <w:tr>
        <w:trPr>
          <w:trHeight w:val="391"/>
        </w:trPr>
        <w:tc>
          <w:tcPr>
            <w:tcW w:w="3540" w:type="dxa"/>
            <w:vAlign w:val="bottom"/>
          </w:tcPr>
          <w:p>
            <w:pPr>
              <w:spacing w:after="0"/>
              <w:rPr>
                <w:sz w:val="20"/>
                <w:szCs w:val="20"/>
                <w:color w:val="auto"/>
              </w:rPr>
            </w:pPr>
            <w:r>
              <w:rPr>
                <w:rFonts w:ascii="Arial" w:cs="Arial" w:eastAsia="Arial" w:hAnsi="Arial"/>
                <w:sz w:val="18"/>
                <w:szCs w:val="18"/>
                <w:color w:val="auto"/>
              </w:rPr>
              <w:t>Date: May 12, 2021</w:t>
            </w:r>
          </w:p>
        </w:tc>
        <w:tc>
          <w:tcPr>
            <w:tcW w:w="7700" w:type="dxa"/>
            <w:vAlign w:val="bottom"/>
            <w:gridSpan w:val="3"/>
          </w:tcPr>
          <w:p>
            <w:pPr>
              <w:ind w:left="2080"/>
              <w:spacing w:after="0"/>
              <w:rPr>
                <w:sz w:val="20"/>
                <w:szCs w:val="20"/>
                <w:color w:val="auto"/>
              </w:rPr>
            </w:pPr>
            <w:r>
              <w:rPr>
                <w:rFonts w:ascii="Arial" w:cs="Arial" w:eastAsia="Arial" w:hAnsi="Arial"/>
                <w:sz w:val="18"/>
                <w:szCs w:val="18"/>
                <w:color w:val="auto"/>
              </w:rPr>
              <w:t>By: /s/ Nati Somekh</w:t>
            </w:r>
          </w:p>
        </w:tc>
      </w:tr>
      <w:tr>
        <w:trPr>
          <w:trHeight w:val="20"/>
        </w:trPr>
        <w:tc>
          <w:tcPr>
            <w:tcW w:w="3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22"/>
        </w:trPr>
        <w:tc>
          <w:tcPr>
            <w:tcW w:w="3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Name: Nati Somekh</w:t>
            </w:r>
          </w:p>
        </w:tc>
      </w:tr>
      <w:tr>
        <w:trPr>
          <w:trHeight w:val="230"/>
        </w:trPr>
        <w:tc>
          <w:tcPr>
            <w:tcW w:w="3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Title: Corporate Secretary</w:t>
            </w:r>
          </w:p>
        </w:tc>
      </w:tr>
      <w:tr>
        <w:trPr>
          <w:trHeight w:val="378"/>
        </w:trPr>
        <w:tc>
          <w:tcPr>
            <w:tcW w:w="35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r>
        <w:trPr>
          <w:trHeight w:val="163"/>
        </w:trPr>
        <w:tc>
          <w:tcPr>
            <w:tcW w:w="35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560195" cy="908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019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Reports First Quarter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Double Digit Year over Year Revenue Growth</w:t>
      </w:r>
    </w:p>
    <w:p>
      <w:pPr>
        <w:spacing w:after="0" w:line="277" w:lineRule="exact"/>
        <w:rPr>
          <w:sz w:val="20"/>
          <w:szCs w:val="20"/>
          <w:color w:val="auto"/>
        </w:rPr>
      </w:pPr>
    </w:p>
    <w:p>
      <w:pPr>
        <w:ind w:left="2400" w:right="2460" w:firstLine="52"/>
        <w:spacing w:after="0" w:line="364" w:lineRule="auto"/>
        <w:rPr>
          <w:sz w:val="20"/>
          <w:szCs w:val="20"/>
          <w:color w:val="auto"/>
        </w:rPr>
      </w:pPr>
      <w:r>
        <w:rPr>
          <w:rFonts w:ascii="Arial" w:cs="Arial" w:eastAsia="Arial" w:hAnsi="Arial"/>
          <w:sz w:val="19"/>
          <w:szCs w:val="19"/>
          <w:b w:val="1"/>
          <w:bCs w:val="1"/>
          <w:color w:val="auto"/>
        </w:rPr>
        <w:t>Guides company record revenue for the second quarter of 2021 with mid-range guidance representing 26% year over year organic growth</w:t>
      </w:r>
    </w:p>
    <w:p>
      <w:pPr>
        <w:spacing w:after="0" w:line="147" w:lineRule="exact"/>
        <w:rPr>
          <w:sz w:val="20"/>
          <w:szCs w:val="20"/>
          <w:color w:val="auto"/>
        </w:rPr>
      </w:pPr>
    </w:p>
    <w:p>
      <w:pPr>
        <w:spacing w:after="0" w:line="282" w:lineRule="auto"/>
        <w:rPr>
          <w:sz w:val="20"/>
          <w:szCs w:val="20"/>
          <w:color w:val="auto"/>
        </w:rPr>
      </w:pPr>
      <w:r>
        <w:rPr>
          <w:rFonts w:ascii="Arial" w:cs="Arial" w:eastAsia="Arial" w:hAnsi="Arial"/>
          <w:sz w:val="22"/>
          <w:szCs w:val="22"/>
          <w:b w:val="1"/>
          <w:bCs w:val="1"/>
          <w:color w:val="auto"/>
        </w:rPr>
        <w:t xml:space="preserve">MIGDAL HAEMEK, ISRAEL – May 12, 2021 – </w:t>
      </w:r>
      <w:r>
        <w:rPr>
          <w:rFonts w:ascii="Arial" w:cs="Arial" w:eastAsia="Arial" w:hAnsi="Arial"/>
          <w:sz w:val="22"/>
          <w:szCs w:val="22"/>
          <w:color w:val="auto"/>
        </w:rPr>
        <w:t>Tower Semiconductor (NASDAQ: TSEM &amp; TASE: TSEM) reports today its</w:t>
      </w:r>
      <w:r>
        <w:rPr>
          <w:rFonts w:ascii="Arial" w:cs="Arial" w:eastAsia="Arial" w:hAnsi="Arial"/>
          <w:sz w:val="22"/>
          <w:szCs w:val="22"/>
          <w:b w:val="1"/>
          <w:bCs w:val="1"/>
          <w:color w:val="auto"/>
        </w:rPr>
        <w:t xml:space="preserve"> </w:t>
      </w:r>
      <w:r>
        <w:rPr>
          <w:rFonts w:ascii="Arial" w:cs="Arial" w:eastAsia="Arial" w:hAnsi="Arial"/>
          <w:sz w:val="22"/>
          <w:szCs w:val="22"/>
          <w:color w:val="auto"/>
        </w:rPr>
        <w:t>results for the first quarter ended March 31, 2021.</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of 2021 Highlights</w:t>
      </w:r>
    </w:p>
    <w:p>
      <w:pPr>
        <w:spacing w:after="0" w:line="28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of $347 million, reflecting year over year 21% organic growth and 16% total growth.</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year over year increases in gross profit, operating profit and net profit.</w:t>
      </w:r>
    </w:p>
    <w:p>
      <w:pPr>
        <w:spacing w:after="0" w:line="27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Guides mid-range revenue for the second quarter of 2021 of $360 million, which represents a company record quarterly revenue, demonstrating 26% year over year organic growth and 16% total growth.</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Standard &amp; Poor’s Ma’alot reaffirmed company’s rating of “ilAA-“, with a stable horizon.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previously announced, $150 million of purchase orders have been issued for 200mm and 300mm manufacturing tools and related facilities, spoken for by customer demand forecast. Capacity increase will begin in the second half of 2021, targeting full qualification within the first quarter of 2022.</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of 2021 Results Overview</w:t>
      </w:r>
    </w:p>
    <w:p>
      <w:pPr>
        <w:spacing w:after="0" w:line="287" w:lineRule="exact"/>
        <w:rPr>
          <w:sz w:val="20"/>
          <w:szCs w:val="20"/>
          <w:color w:val="auto"/>
        </w:rPr>
      </w:pPr>
    </w:p>
    <w:p>
      <w:pPr>
        <w:jc w:val="both"/>
        <w:spacing w:after="0" w:line="330" w:lineRule="auto"/>
        <w:rPr>
          <w:sz w:val="20"/>
          <w:szCs w:val="20"/>
          <w:color w:val="auto"/>
        </w:rPr>
      </w:pPr>
      <w:r>
        <w:rPr>
          <w:rFonts w:ascii="Arial" w:cs="Arial" w:eastAsia="Arial" w:hAnsi="Arial"/>
          <w:sz w:val="19"/>
          <w:szCs w:val="19"/>
          <w:b w:val="1"/>
          <w:bCs w:val="1"/>
          <w:color w:val="auto"/>
        </w:rPr>
        <w:t xml:space="preserve">Revenues </w:t>
      </w:r>
      <w:r>
        <w:rPr>
          <w:rFonts w:ascii="Arial" w:cs="Arial" w:eastAsia="Arial" w:hAnsi="Arial"/>
          <w:sz w:val="19"/>
          <w:szCs w:val="19"/>
          <w:color w:val="auto"/>
        </w:rPr>
        <w:t>for the first quarter of 2021 were $347 million, as compared to $300 million in the first quarter of 2020, reflecting 16%</w:t>
      </w:r>
      <w:r>
        <w:rPr>
          <w:rFonts w:ascii="Arial" w:cs="Arial" w:eastAsia="Arial" w:hAnsi="Arial"/>
          <w:sz w:val="19"/>
          <w:szCs w:val="19"/>
          <w:b w:val="1"/>
          <w:bCs w:val="1"/>
          <w:color w:val="auto"/>
        </w:rPr>
        <w:t xml:space="preserve"> </w:t>
      </w:r>
      <w:r>
        <w:rPr>
          <w:rFonts w:ascii="Arial" w:cs="Arial" w:eastAsia="Arial" w:hAnsi="Arial"/>
          <w:sz w:val="19"/>
          <w:szCs w:val="19"/>
          <w:color w:val="auto"/>
        </w:rPr>
        <w:t>year over year growth. Organic revenue, defined as total revenue excluding revenues from Nuvoton Japan (previously named Panasonic Semiconductor Solutions) and from Maxim in the San Antonio fab, grew by 21% year over year.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Gross profit </w:t>
      </w:r>
      <w:r>
        <w:rPr>
          <w:rFonts w:ascii="Arial" w:cs="Arial" w:eastAsia="Arial" w:hAnsi="Arial"/>
          <w:sz w:val="22"/>
          <w:szCs w:val="22"/>
          <w:color w:val="auto"/>
        </w:rPr>
        <w:t>for the first quarter of 2021 was $70 million, 33% higher than $53 million in the first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 xml:space="preserve">Operating profit </w:t>
      </w:r>
      <w:r>
        <w:rPr>
          <w:rFonts w:ascii="Arial" w:cs="Arial" w:eastAsia="Arial" w:hAnsi="Arial"/>
          <w:sz w:val="22"/>
          <w:szCs w:val="22"/>
          <w:color w:val="auto"/>
        </w:rPr>
        <w:t>for the first quarter of 2021 was $32 million, 2X of the $16 million in the first quarter of 2020.</w:t>
      </w:r>
    </w:p>
    <w:p>
      <w:pPr>
        <w:spacing w:after="0" w:line="287"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Net profit </w:t>
      </w:r>
      <w:r>
        <w:rPr>
          <w:rFonts w:ascii="Arial" w:cs="Arial" w:eastAsia="Arial" w:hAnsi="Arial"/>
          <w:sz w:val="22"/>
          <w:szCs w:val="22"/>
          <w:color w:val="auto"/>
        </w:rPr>
        <w:t>for the first quarter of 2021 was $28 million, or $0.26 basic and diluted earnings per share, as compared to net profit of</w:t>
      </w:r>
      <w:r>
        <w:rPr>
          <w:rFonts w:ascii="Arial" w:cs="Arial" w:eastAsia="Arial" w:hAnsi="Arial"/>
          <w:sz w:val="22"/>
          <w:szCs w:val="22"/>
          <w:b w:val="1"/>
          <w:bCs w:val="1"/>
          <w:color w:val="auto"/>
        </w:rPr>
        <w:t xml:space="preserve"> </w:t>
      </w:r>
      <w:r>
        <w:rPr>
          <w:rFonts w:ascii="Arial" w:cs="Arial" w:eastAsia="Arial" w:hAnsi="Arial"/>
          <w:sz w:val="22"/>
          <w:szCs w:val="22"/>
          <w:color w:val="auto"/>
        </w:rPr>
        <w:t>$17 million or $0.16 basic and diluted earnings per share in the first quarter of 2020.</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generated from operating activities in the first quarter of 2021 was $87 million with investment in fixed assets of $49</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net. In addition, in the first quarter of 2021, the company repaid $29 million of its debt.</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 Expansion and Capabilities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Company is continuing to execute its capacity expansion plan, as announced in February 2021, driven by very high confidence in customers’ demand which exceeds current 200mm and 300mm capacity. Company has issued purchase orders of $150 million in order to increase its wafer capacity. This equipment will begin to provide incremental capacity during the second half of 2021, targeted to be fully qualified during the first quarter of 2022.</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Credit Rating</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In May 2021, Standard &amp; Poor’s Ma’alot (an Israeli rating company that is fully owned by S&amp;P Global Ratings) completed its annual rating review for the Company and reaffirmed a corporate credit rating and bonds series G rating of “ilAA-“, with a stable horizon.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Tower Semiconductor guides revenue for the second quarter of 2021 to be $360 million, the highest quarterly revenue in the Company’s history, with an upward or downward range of 5%. Mid-range guidance represents year over year 26% organic revenue growth and 16% total growth.</w:t>
      </w: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Mr. Russell Ellwanger, Chief Executive Officer of Tower Semiconductor</w:t>
      </w:r>
      <w:r>
        <w:rPr>
          <w:rFonts w:ascii="Arial" w:cs="Arial" w:eastAsia="Arial" w:hAnsi="Arial"/>
          <w:sz w:val="22"/>
          <w:szCs w:val="22"/>
          <w:color w:val="auto"/>
        </w:rPr>
        <w:t>,</w:t>
      </w:r>
      <w:r>
        <w:rPr>
          <w:rFonts w:ascii="Arial" w:cs="Arial" w:eastAsia="Arial" w:hAnsi="Arial"/>
          <w:sz w:val="22"/>
          <w:szCs w:val="22"/>
          <w:b w:val="1"/>
          <w:bCs w:val="1"/>
          <w:color w:val="auto"/>
        </w:rPr>
        <w:t xml:space="preserve"> commented</w:t>
      </w:r>
      <w:r>
        <w:rPr>
          <w:rFonts w:ascii="Arial" w:cs="Arial" w:eastAsia="Arial" w:hAnsi="Arial"/>
          <w:sz w:val="22"/>
          <w:szCs w:val="22"/>
          <w:color w:val="auto"/>
        </w:rPr>
        <w:t>: “With remarkable first quarter 2021</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as a base, we are thrilled with the business and operational capabilities, enabling a second quarter mid-range record revenue guidance. Our comprehensive foundry platforms are replete with advanced analog technology differentiation, the source of our customer partnerships with analog industry leaders. We are excited with the prospect of continued leadership expansion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Teleconference and Webcast</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Tower Semiconductor will host an investor conference call today, Wednesday, May 12, 2021, at 10:00 a.m. Eastern time (9:00 a.m. Central time, 8:00 a.m. Mountain time, 7:00 a.m. Pacific time and 5:00 p.m. Israel time) to discuss the company’s financial results for the first quarter of 2021 and its outlook.</w:t>
      </w: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This call will be webcast and can be accessed via Tower Semiconductor’s website at </w:t>
      </w:r>
      <w:r>
        <w:rPr>
          <w:rFonts w:ascii="Arial" w:cs="Arial" w:eastAsia="Arial" w:hAnsi="Arial"/>
          <w:sz w:val="22"/>
          <w:szCs w:val="22"/>
          <w:u w:val="single" w:color="auto"/>
          <w:color w:val="auto"/>
        </w:rPr>
        <w:t>www.towersemi.com</w:t>
      </w:r>
      <w:r>
        <w:rPr>
          <w:rFonts w:ascii="Arial" w:cs="Arial" w:eastAsia="Arial" w:hAnsi="Arial"/>
          <w:sz w:val="22"/>
          <w:szCs w:val="22"/>
          <w:color w:val="auto"/>
        </w:rPr>
        <w:t xml:space="preserve"> or by calling 1-888-642-5032 (U.S. Toll-Free), 03-918-0609 (Israel), +972-3-918-0609 (International). For those who are not available to listen to the live broadcast, the call will be archived on Tower Semiconductor’s website for 90 days.</w:t>
      </w:r>
    </w:p>
    <w:p>
      <w:pPr>
        <w:spacing w:after="0" w:line="23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i w:val="1"/>
          <w:iCs w:val="1"/>
          <w:color w:val="auto"/>
        </w:rPr>
        <w:t>The Company presents its financial statements in accordance with U.S. GAAP. The financial information included in the tables below includes unaudited condensed financial data. Some of the financial information in this release and/ or in related public disclosures or filings with respect to the financial statements and/ or results of the Company, which we describe in this release as “adjusted” financial measures, are non-GAAP financial measures as defined in Regulation G and related reporting requirements promulgated by the Securities and Exchange Commission as they apply to our Company. These adjusted financial measures are calculated excluding one or both of the following: (1) amortization of acquired intangible assets and (2) 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and/ or in related public disclosures or filings with respect to the financial statements and/ or results of the Company, as well as calculated in the tables herein, the term Earnings Before Interest Tax Depreciation and Amortization (EBITDA) consists of net profit in accordance with GAAP, excluding financing and other income (expense),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 EBITDA and the adjusted financial information presented herein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used and/ or presented in this release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in related public disclosures or filings with respect to the financial statements and/ or results of the Company, is calculated to be net cash provided by operating activities (in the amounts of $87 million, $73 million and $68 million for the three months periods ended March 31, 2021, December 31, 2020 and March 31, 2020, respectively) less cash used for investments in property and equipment, net (in the amounts of $49 million, $64 million and $63 million for the three months periods ended March 31, 2021, December 31, 2020 and March 31, 2020,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 focuses on creating positive and sustainable impact globally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9"/>
          <w:szCs w:val="19"/>
          <w:u w:val="single" w:color="auto"/>
          <w:color w:val="auto"/>
        </w:rPr>
        <w:t>www.towersemi.com</w:t>
      </w: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Noit Levy | Investor Relations | +972 74 737 7556 |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494" w:gutter="0" w:footer="0" w:header="0"/>
        </w:sectPr>
      </w:pPr>
    </w:p>
    <w:bookmarkStart w:id="6" w:name="page7"/>
    <w:bookmarkEnd w:id="6"/>
    <w:p>
      <w:pPr>
        <w:jc w:val="both"/>
        <w:spacing w:after="0" w:line="297" w:lineRule="auto"/>
        <w:rPr>
          <w:sz w:val="20"/>
          <w:szCs w:val="20"/>
          <w:color w:val="auto"/>
        </w:rPr>
      </w:pPr>
      <w:r>
        <w:rPr>
          <w:rFonts w:ascii="Arial" w:cs="Arial" w:eastAsia="Arial" w:hAnsi="Arial"/>
          <w:sz w:val="19"/>
          <w:szCs w:val="19"/>
          <w:color w:val="auto"/>
        </w:rPr>
        <w:t>This press release, including our revenue guidance and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w:t>
      </w:r>
    </w:p>
    <w:p>
      <w:pPr>
        <w:spacing w:after="0" w:line="1" w:lineRule="exact"/>
        <w:rPr>
          <w:sz w:val="20"/>
          <w:szCs w:val="20"/>
          <w:color w:val="auto"/>
        </w:rPr>
      </w:pPr>
    </w:p>
    <w:p>
      <w:pPr>
        <w:jc w:val="both"/>
        <w:ind w:firstLine="8"/>
        <w:spacing w:after="0" w:line="296" w:lineRule="auto"/>
        <w:tabs>
          <w:tab w:leader="none" w:pos="505" w:val="left"/>
        </w:tabs>
        <w:numPr>
          <w:ilvl w:val="0"/>
          <w:numId w:val="2"/>
        </w:numPr>
        <w:rPr>
          <w:rFonts w:ascii="Arial" w:cs="Arial" w:eastAsia="Arial" w:hAnsi="Arial"/>
          <w:sz w:val="19"/>
          <w:szCs w:val="19"/>
          <w:color w:val="auto"/>
        </w:rPr>
      </w:pPr>
      <w:r>
        <w:rPr>
          <w:rFonts w:ascii="Arial" w:cs="Arial" w:eastAsia="Arial" w:hAnsi="Arial"/>
          <w:sz w:val="19"/>
          <w:szCs w:val="19"/>
          <w:color w:val="auto"/>
        </w:rPr>
        <w:t>fluctuations in cash flow, (ix) our ability to satisfy the covenants stipulated in our agreements with our lender banks and bondholders (as of March 31, 2021 we are in compliance with all such covenants included in our banks’ agreements, bond G indenture and others), (x) pending litigation, (xi) new customer engagements, qualification and production ramp-up at our facilities, including TPSCo and the San Antonio facility, (xii)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fundraising to enable the service of our debt and/or other liabilities and/or for strategic opportunities and the possible unavailability of such financing and/ or the availability of such financing on unfavorable terms ,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w:t>
      </w:r>
    </w:p>
    <w:p>
      <w:pPr>
        <w:spacing w:after="0" w:line="12" w:lineRule="exact"/>
        <w:rPr>
          <w:rFonts w:ascii="Arial" w:cs="Arial" w:eastAsia="Arial" w:hAnsi="Arial"/>
          <w:sz w:val="19"/>
          <w:szCs w:val="19"/>
          <w:color w:val="auto"/>
        </w:rPr>
      </w:pPr>
    </w:p>
    <w:p>
      <w:pPr>
        <w:jc w:val="both"/>
        <w:ind w:firstLine="8"/>
        <w:spacing w:after="0" w:line="301" w:lineRule="auto"/>
        <w:tabs>
          <w:tab w:leader="none" w:pos="612" w:val="left"/>
        </w:tabs>
        <w:numPr>
          <w:ilvl w:val="0"/>
          <w:numId w:val="3"/>
        </w:numPr>
        <w:rPr>
          <w:rFonts w:ascii="Arial" w:cs="Arial" w:eastAsia="Arial" w:hAnsi="Arial"/>
          <w:sz w:val="19"/>
          <w:szCs w:val="19"/>
          <w:color w:val="auto"/>
        </w:rPr>
      </w:pPr>
      <w:r>
        <w:rPr>
          <w:rFonts w:ascii="Arial" w:cs="Arial" w:eastAsia="Arial" w:hAnsi="Arial"/>
          <w:sz w:val="19"/>
          <w:szCs w:val="19"/>
          <w:color w:val="auto"/>
        </w:rPr>
        <w:t>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potential engagement for fab establishment, joint venture and/or capital lease transactions for capacity enhancement in advanced technologies, (xxxvi) potential impact on TPSCo and the Company due to the purchase of 49% of TPSCo by NTCJ (previously named PSCS) from Panasonic, (xxxvii) industry and market impact due to the coronavirus and its potential impact on our business, operational continuity, supply chain, revenue and profitability; (xxxviii) potential security, cyber and privacy breaches, and (xxxix) business interruption due to fire and other natural disasters, the security situation in Israel and other events beyond our control such as power interruptions.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311" w:lineRule="auto"/>
        <w:rPr>
          <w:sz w:val="20"/>
          <w:szCs w:val="20"/>
          <w:color w:val="auto"/>
        </w:rPr>
      </w:pPr>
      <w:r>
        <w:rPr>
          <w:rFonts w:ascii="Arial" w:cs="Arial" w:eastAsia="Arial" w:hAnsi="Arial"/>
          <w:sz w:val="19"/>
          <w:szCs w:val="19"/>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  #  #</w:t>
      </w:r>
    </w:p>
    <w:p>
      <w:pPr>
        <w:sectPr>
          <w:pgSz w:w="11900" w:h="16838" w:orient="portrait"/>
          <w:cols w:equalWidth="0" w:num="1">
            <w:col w:w="11240"/>
          </w:cols>
          <w:pgMar w:left="320" w:top="402" w:right="339" w:bottom="560" w:gutter="0" w:footer="0" w:header="0"/>
        </w:sect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9"/>
          <w:szCs w:val="19"/>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56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215,581</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211,683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Short-term deposits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307,386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310,230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Marketable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187,027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188,967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Trade accounts receivable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164,166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162,100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Inventories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197,189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199,126</w:t>
            </w: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Other current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27,854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30,810</w:t>
            </w:r>
          </w:p>
        </w:tc>
      </w:tr>
      <w:tr>
        <w:trPr>
          <w:trHeight w:val="216"/>
        </w:trPr>
        <w:tc>
          <w:tcPr>
            <w:tcW w:w="8680" w:type="dxa"/>
            <w:vAlign w:val="bottom"/>
            <w:tcBorders>
              <w:top w:val="single" w:sz="8" w:color="CCEEFF"/>
            </w:tcBorders>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1,099,203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1,102,916</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LONG-TERM INVESTMENTS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40,765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40,699</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827,230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839,171</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GOODWILL AND INTANGIBLE ASSETS,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17,471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17,962</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DEFERRED TAX AND OTHER LONG-TERM ASSETS, NET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92,980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93,401</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2,077,649</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2,094,149</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Short-term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101,295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106,513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Trade accounts payable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85,288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96,940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Deferred revenue and customers' advances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20,814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10,027</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Other current liabilities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66,160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59,432</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273,557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272,912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241,634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283,765</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CUSTOMERS' ADVANCES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33,971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25,451</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EMPLOYEE RELATED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15,833</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DEFERRED TAX AND OTHER LONG-TERM LIABILITIES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35,011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41,286</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599,620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639,247</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1,478,029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1,454,902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7"/>
        </w:trPr>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2,077,649</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2,094,149</w:t>
            </w:r>
          </w:p>
        </w:tc>
      </w:tr>
      <w:tr>
        <w:trPr>
          <w:trHeight w:val="446"/>
        </w:trPr>
        <w:tc>
          <w:tcPr>
            <w:tcW w:w="8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91" w:right="33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6"/>
              </w:rPr>
              <w:t>March 31,</w:t>
            </w:r>
          </w:p>
        </w:tc>
        <w:tc>
          <w:tcPr>
            <w:tcW w:w="13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347,214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345,211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300,171</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277,400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275,602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247,628</w:t>
            </w:r>
          </w:p>
        </w:tc>
      </w:tr>
      <w:tr>
        <w:trPr>
          <w:trHeight w:val="216"/>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69,814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69,609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52,543</w:t>
            </w:r>
          </w:p>
        </w:tc>
      </w:tr>
      <w:tr>
        <w:trPr>
          <w:trHeight w:val="216"/>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19,913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19,414</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16,991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16,317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16,691</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37,334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36,230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36,105</w:t>
            </w: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OPERATING PROFIT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32,480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33,379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16,438</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FINANCING AND OTHER EXPENSE, NET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(7,842)</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(1,498)</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(2,113)</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PROFIT BEFORE INCOME TAX</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24,638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31,881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14,325</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5,876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(1,823)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1,706</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NET PROFIT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30,514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30,058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16,031</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(2,192)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974</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989</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NET PROFIT ATTRIBUTABLE TO THE COMPANY</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28,322</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31,032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17,020</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0.26</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0.16</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107,940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107,762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106,814</w:t>
            </w: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0.26</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0.16</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109,462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108,985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108,149</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GAAP NET PROFIT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28,322</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31,032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17,020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5,190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4,543</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365</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310</w:t>
            </w:r>
          </w:p>
        </w:tc>
      </w:tr>
      <w:tr>
        <w:trPr>
          <w:trHeight w:val="257"/>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33,719</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36,587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EARNINGS PER SHARE: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0.20</w:t>
            </w:r>
          </w:p>
        </w:tc>
      </w:tr>
      <w:tr>
        <w:trPr>
          <w:trHeight w:val="210"/>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0.20</w:t>
            </w:r>
          </w:p>
        </w:tc>
      </w:tr>
      <w:tr>
        <w:trPr>
          <w:trHeight w:val="446"/>
        </w:trPr>
        <w:tc>
          <w:tcPr>
            <w:tcW w:w="73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jc w:val="center"/>
        <w:ind w:left="340" w:right="2160"/>
        <w:spacing w:after="0" w:line="275" w:lineRule="auto"/>
        <w:rPr>
          <w:sz w:val="20"/>
          <w:szCs w:val="20"/>
          <w:color w:val="auto"/>
        </w:rPr>
      </w:pPr>
      <w:r>
        <w:rPr>
          <w:rFonts w:ascii="Arial" w:cs="Arial" w:eastAsia="Arial" w:hAnsi="Arial"/>
          <w:sz w:val="18"/>
          <w:szCs w:val="18"/>
          <w:b w:val="1"/>
          <w:bCs w:val="1"/>
          <w:color w:val="auto"/>
        </w:rPr>
        <w:t>TOWER SEMICONDUCTOR LTD. AND SUBSIDIARIES RECONCILIATION FROM GAAP OPERATING PROFIT TO EBITDA (UNAUDITED) (dollars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8"/>
              </w:rPr>
              <w:t>T h r e e   m o n t h s   e n d e d</w:t>
            </w: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3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CALCULATION: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OPERATING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33,379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16,438</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Depreciation of fixed assets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56,624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56,956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51,484</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5,190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4,543</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365</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310</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EBITDA</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94,501</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95,890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72,775</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7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6"/>
              </w:rPr>
              <w:t>March 31,</w:t>
            </w:r>
          </w:p>
        </w:tc>
        <w:tc>
          <w:tcPr>
            <w:tcW w:w="13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211,683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207,704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355,561</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87,413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73,010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68,336</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(49,415)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(64,233)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(62,907)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1,026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(29,375)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(8,147)</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(24,197)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1,624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(176)</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(1,611)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699</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(85,356)</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215,581</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211,683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251,348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46"/>
        </w:trPr>
        <w:tc>
          <w:tcPr>
            <w:tcW w:w="7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jc w:val="center"/>
        <w:ind w:left="340" w:right="22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6"/>
              </w:rPr>
              <w:t>March 31,</w:t>
            </w:r>
          </w:p>
        </w:tc>
        <w:tc>
          <w:tcPr>
            <w:tcW w:w="13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 for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30,058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16,031</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Depreciation and amortization</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62,053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62,955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56,796</w:t>
            </w:r>
          </w:p>
        </w:tc>
      </w:tr>
      <w:tr>
        <w:trPr>
          <w:trHeight w:val="216"/>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Effect of exchange rate differences on debentures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6,727</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(4,069)</w:t>
            </w:r>
          </w:p>
        </w:tc>
      </w:tr>
      <w:tr>
        <w:trPr>
          <w:trHeight w:val="216"/>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Other expense (income),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(4,985)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5,547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Changes in assets and 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Trade accounts receivable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(6,274)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(43,347)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11,685</w:t>
            </w:r>
          </w:p>
        </w:tc>
      </w:tr>
      <w:tr>
        <w:trPr>
          <w:trHeight w:val="216"/>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(5,491)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7,355</w:t>
            </w:r>
          </w:p>
        </w:tc>
      </w:tr>
      <w:tr>
        <w:trPr>
          <w:trHeight w:val="216"/>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Inventories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(6,171)</w:t>
            </w:r>
          </w:p>
        </w:tc>
      </w:tr>
      <w:tr>
        <w:trPr>
          <w:trHeight w:val="216"/>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Trade accounts payable</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(9,266)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4,673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(6,199)</w:t>
            </w:r>
          </w:p>
        </w:tc>
      </w:tr>
      <w:tr>
        <w:trPr>
          <w:trHeight w:val="216"/>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Deferred revenue and customers' advances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(571)</w:t>
            </w:r>
          </w:p>
        </w:tc>
      </w:tr>
      <w:tr>
        <w:trPr>
          <w:trHeight w:val="216"/>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Other current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(3,248)</w:t>
            </w:r>
          </w:p>
        </w:tc>
      </w:tr>
      <w:tr>
        <w:trPr>
          <w:trHeight w:val="216"/>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Long-term employee related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w:t>
            </w:r>
          </w:p>
        </w:tc>
      </w:tr>
      <w:tr>
        <w:trPr>
          <w:trHeight w:val="223"/>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(10,829)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3,527</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(3,228)</w:t>
            </w:r>
          </w:p>
        </w:tc>
      </w:tr>
      <w:tr>
        <w:trPr>
          <w:trHeight w:val="223"/>
        </w:trPr>
        <w:tc>
          <w:tcPr>
            <w:tcW w:w="732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87,413</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73,010</w:t>
            </w: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68,336</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(49,415)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(64,233)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(62,907)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in deposits, marketable securities and other assets,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(85,356)</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82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(51,026)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(63,534)</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(148,263)</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(29,375)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(8,147)</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(24,197)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1,026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82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(29,011)</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(7,121)</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(24,110)</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(3,478)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1,624</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(176)</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3,979</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(104,213)</w:t>
            </w: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211,683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207,704</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355,561</w:t>
            </w:r>
          </w:p>
        </w:tc>
      </w:tr>
      <w:tr>
        <w:trPr>
          <w:trHeight w:val="216"/>
        </w:trPr>
        <w:tc>
          <w:tcPr>
            <w:tcW w:w="7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215,581</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211,683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251,348</w:t>
            </w:r>
          </w:p>
        </w:tc>
      </w:tr>
      <w:tr>
        <w:trPr>
          <w:trHeight w:val="371"/>
        </w:trPr>
        <w:tc>
          <w:tcPr>
            <w:tcW w:w="73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163"/>
        </w:trPr>
        <w:tc>
          <w:tcPr>
            <w:tcW w:w="7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8"/>
    </w:lvl>
  </w:abstractNum>
  <w:abstractNum w:abstractNumId="2">
    <w:nsid w:val="19495CFF"/>
    <w:multiLevelType w:val="hybridMultilevel"/>
    <w:lvl w:ilvl="0">
      <w:lvlJc w:val="left"/>
      <w:lvlText w:val="(%1)"/>
      <w:numFmt w:val="lowerRoman"/>
      <w:start w:val="3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2021-05-12T06:02:36Z</dcterms:created>
  <dcterms:modified xsi:type="dcterms:W3CDTF">2021-05-12T06:02:36Z</dcterms:modified>
</cp:coreProperties>
</file>