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w:t>
      </w:r>
    </w:p>
    <w:p>
      <w:pPr>
        <w:spacing w:after="0" w:line="27" w:lineRule="exact"/>
        <w:rPr>
          <w:sz w:val="24"/>
          <w:szCs w:val="24"/>
          <w:color w:val="auto"/>
        </w:rPr>
      </w:pPr>
    </w:p>
    <w:p>
      <w:pPr>
        <w:ind w:left="3040" w:hanging="248"/>
        <w:spacing w:after="0"/>
        <w:tabs>
          <w:tab w:leader="none" w:pos="3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13d-2(b)</w:t>
      </w:r>
    </w:p>
    <w:p>
      <w:pPr>
        <w:spacing w:after="0" w:line="233" w:lineRule="exact"/>
        <w:rPr>
          <w:rFonts w:ascii="Times New Roman" w:cs="Times New Roman" w:eastAsia="Times New Roman" w:hAnsi="Times New Roman"/>
          <w:sz w:val="18"/>
          <w:szCs w:val="18"/>
          <w:color w:val="auto"/>
        </w:rPr>
      </w:pPr>
    </w:p>
    <w:p>
      <w:pPr>
        <w:ind w:left="3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19685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following box to designate the rule pursuant to which the Schedule is filed:</w:t>
      </w:r>
    </w:p>
    <w:p>
      <w:pPr>
        <w:spacing w:after="0" w:line="252" w:lineRule="exact"/>
        <w:rPr>
          <w:sz w:val="24"/>
          <w:szCs w:val="24"/>
          <w:color w:val="auto"/>
        </w:rPr>
      </w:pPr>
    </w:p>
    <w:p>
      <w:pPr>
        <w:ind w:left="660" w:right="9540" w:hanging="4"/>
        <w:spacing w:after="0" w:line="563" w:lineRule="auto"/>
        <w:tabs>
          <w:tab w:leader="none" w:pos="867"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 x Rule 13d-1(c) o Rule 13d-1(d)</w:t>
      </w:r>
    </w:p>
    <w:p>
      <w:pPr>
        <w:spacing w:after="0" w:line="1" w:lineRule="exact"/>
        <w:rPr>
          <w:rFonts w:ascii="MS PGothic" w:cs="MS PGothic" w:eastAsia="MS PGothic" w:hAnsi="MS PGothic"/>
          <w:sz w:val="17"/>
          <w:szCs w:val="17"/>
          <w:color w:val="auto"/>
        </w:rPr>
      </w:pPr>
    </w:p>
    <w:p>
      <w:pPr>
        <w:ind w:left="340" w:hanging="324"/>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8" w:lineRule="exact"/>
        <w:rPr>
          <w:rFonts w:ascii="MS PGothic" w:cs="MS PGothic" w:eastAsia="MS PGothic" w:hAnsi="MS PGothic"/>
          <w:sz w:val="17"/>
          <w:szCs w:val="17"/>
          <w:color w:val="auto"/>
        </w:rPr>
      </w:pPr>
    </w:p>
    <w:p>
      <w:pPr>
        <w:jc w:val="both"/>
        <w:ind w:left="340"/>
        <w:spacing w:after="0" w:line="266"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67"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06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32" w:lineRule="exact"/>
        <w:rPr>
          <w:sz w:val="20"/>
          <w:szCs w:val="20"/>
          <w:color w:val="auto"/>
        </w:rPr>
      </w:pPr>
    </w:p>
    <w:p>
      <w:pPr>
        <w:ind w:left="1080" w:hanging="620"/>
        <w:spacing w:after="0"/>
        <w:tabs>
          <w:tab w:leader="none" w:pos="108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Name of Reporting Persons</w:t>
      </w:r>
    </w:p>
    <w:p>
      <w:pPr>
        <w:spacing w:after="0" w:line="197" w:lineRule="exact"/>
        <w:rPr>
          <w:rFonts w:ascii="Times New Roman" w:cs="Times New Roman" w:eastAsia="Times New Roman" w:hAnsi="Times New Roman"/>
          <w:sz w:val="29"/>
          <w:szCs w:val="29"/>
          <w:color w:val="auto"/>
          <w:vertAlign w:val="superscript"/>
        </w:rPr>
      </w:pPr>
    </w:p>
    <w:p>
      <w:pPr>
        <w:ind w:left="108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Harel Insurance Investments &amp; Financial Services Ltd.</w:t>
      </w:r>
    </w:p>
    <w:p>
      <w:pPr>
        <w:spacing w:after="0" w:line="72" w:lineRule="exact"/>
        <w:rPr>
          <w:rFonts w:ascii="Times New Roman" w:cs="Times New Roman" w:eastAsia="Times New Roman" w:hAnsi="Times New Roman"/>
          <w:sz w:val="29"/>
          <w:szCs w:val="29"/>
          <w:color w:val="auto"/>
          <w:vertAlign w:val="superscript"/>
        </w:rPr>
      </w:pPr>
    </w:p>
    <w:p>
      <w:pPr>
        <w:ind w:left="1080" w:hanging="620"/>
        <w:spacing w:after="0"/>
        <w:tabs>
          <w:tab w:leader="none" w:pos="108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Check the Appropriate Box if a Member of a Group</w:t>
      </w:r>
    </w:p>
    <w:p>
      <w:pPr>
        <w:spacing w:after="0" w:line="1" w:lineRule="exact"/>
        <w:rPr>
          <w:rFonts w:ascii="Times New Roman" w:cs="Times New Roman" w:eastAsia="Times New Roman" w:hAnsi="Times New Roman"/>
          <w:sz w:val="29"/>
          <w:szCs w:val="29"/>
          <w:color w:val="auto"/>
          <w:vertAlign w:val="superscript"/>
        </w:rPr>
      </w:pPr>
    </w:p>
    <w:p>
      <w:pPr>
        <w:ind w:left="1380" w:hanging="292"/>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7" w:lineRule="exact"/>
        <w:rPr>
          <w:rFonts w:ascii="Times New Roman" w:cs="Times New Roman" w:eastAsia="Times New Roman" w:hAnsi="Times New Roman"/>
          <w:sz w:val="18"/>
          <w:szCs w:val="18"/>
          <w:color w:val="auto"/>
        </w:rPr>
      </w:pPr>
    </w:p>
    <w:p>
      <w:pPr>
        <w:ind w:left="1380" w:hanging="292"/>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4"/>
              </w:rPr>
              <w:t>3.</w:t>
            </w:r>
          </w:p>
        </w:tc>
        <w:tc>
          <w:tcPr>
            <w:tcW w:w="13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60" w:type="dxa"/>
            <w:vAlign w:val="bottom"/>
            <w:tcBorders>
              <w:bottom w:val="single" w:sz="8" w:color="auto"/>
              <w:right w:val="single" w:sz="8" w:color="CCEEFF"/>
            </w:tcBorders>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spacing w:after="0"/>
              <w:rPr>
                <w:sz w:val="24"/>
                <w:szCs w:val="24"/>
                <w:color w:val="auto"/>
              </w:rPr>
            </w:pPr>
          </w:p>
        </w:tc>
        <w:tc>
          <w:tcPr>
            <w:tcW w:w="780" w:type="dxa"/>
            <w:vAlign w:val="bottom"/>
            <w:tcBorders>
              <w:bottom w:val="single" w:sz="8" w:color="auto"/>
              <w:right w:val="single" w:sz="8" w:color="CCEEFF"/>
            </w:tcBorders>
            <w:shd w:val="clear" w:color="auto" w:fill="CCEEFF"/>
          </w:tcPr>
          <w:p>
            <w:pPr>
              <w:spacing w:after="0"/>
              <w:rPr>
                <w:sz w:val="24"/>
                <w:szCs w:val="24"/>
                <w:color w:val="auto"/>
              </w:rPr>
            </w:pPr>
          </w:p>
        </w:tc>
        <w:tc>
          <w:tcPr>
            <w:tcW w:w="90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w:t>
            </w:r>
          </w:p>
        </w:tc>
        <w:tc>
          <w:tcPr>
            <w:tcW w:w="10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5.</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5"/>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6.</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5,511,931 Ordinary Shares*</w:t>
            </w:r>
          </w:p>
        </w:tc>
        <w:tc>
          <w:tcPr>
            <w:tcW w:w="0" w:type="dxa"/>
            <w:vAlign w:val="bottom"/>
          </w:tcPr>
          <w:p>
            <w:pPr>
              <w:spacing w:after="0"/>
              <w:rPr>
                <w:sz w:val="1"/>
                <w:szCs w:val="1"/>
                <w:color w:val="auto"/>
              </w:rPr>
            </w:pPr>
          </w:p>
        </w:tc>
      </w:tr>
      <w:tr>
        <w:trPr>
          <w:trHeight w:val="12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Borders>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7.</w:t>
            </w:r>
          </w:p>
        </w:tc>
        <w:tc>
          <w:tcPr>
            <w:tcW w:w="9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Person With:</w:t>
            </w:r>
          </w:p>
        </w:tc>
        <w:tc>
          <w:tcPr>
            <w:tcW w:w="5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9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8.</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5,611,683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9.</w:t>
            </w:r>
          </w:p>
        </w:tc>
        <w:tc>
          <w:tcPr>
            <w:tcW w:w="10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5,611,683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w:t>
      </w:r>
    </w:p>
    <w:p>
      <w:pPr>
        <w:spacing w:after="0" w:line="27"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received from the Issuer, there were 98,658,718 Ordinary Shares of the Issuer outstanding as of March 31, 2018.</w:t>
      </w:r>
    </w:p>
    <w:p>
      <w:pPr>
        <w:spacing w:after="0" w:line="378" w:lineRule="exact"/>
        <w:rPr>
          <w:rFonts w:ascii="Times New Roman" w:cs="Times New Roman" w:eastAsia="Times New Roman" w:hAnsi="Times New Roman"/>
          <w:sz w:val="18"/>
          <w:szCs w:val="18"/>
          <w:color w:val="auto"/>
        </w:rPr>
      </w:pPr>
    </w:p>
    <w:p>
      <w:pPr>
        <w:ind w:left="5680" w:hanging="86"/>
        <w:spacing w:after="0"/>
        <w:tabs>
          <w:tab w:leader="none" w:pos="56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Semiconductor Ltd. (the “Issuer”).</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Ramat Gavriel Industrial Park, P.O. Box 619, Migdal Haemek, 23105 Israel.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color w:val="auto"/>
        </w:rPr>
        <w:t>Name of Person Filing, address and citizenship:</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entity is referred to as the “Reporting Person” in this Statement:</w:t>
      </w:r>
    </w:p>
    <w:p>
      <w:pPr>
        <w:spacing w:after="0" w:line="252"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Harel Insurance Investments &amp; Financial Services Ltd., an Israeli public company (“HIIFS”), with a principal business address at Harel House; 3 Aba Hillel Street; Ramat Gan 52118, Israel.</w:t>
      </w:r>
    </w:p>
    <w:p>
      <w:pPr>
        <w:spacing w:after="0" w:line="18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 (the “Ordinary Shares”).</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M87915274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Of the 5,611,683 Ordinary Shares reported in this Statement as beneficially owned by the Reporting Person (i) 5,222,525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99,752 Ordinary Shares are held by third-party client accounts managed by subsidiaries of the Reporting Person as portfolio managers, each of which subsidiaries operates under independent management and makes independent investment decisions and has no voting power in the securities held in such client accounts, and (iii) 289,406 Ordinary Shares are beneficially held for its own account. Consequently, this Statement shall not be construed as an admission by the Reporting Person that it is the beneficial owner of more than 289,406 Ordinary Shares.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above, see items 5-11 of the cover pages hereto for beneficial ownership, percentage of class and dispositive power of the Reporting Person, which are incorporated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left="660"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HAREL INSURANCE INVESTMENTS AND FINANCIAL SERVICES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LTD.</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Nataly Mishan-Zakai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Title: Nataly Mishan-Zakai, General Counsel, authorized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signatory of HAREL INSURANCE INVESTMENTS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FINANCIAL SERVICES LTD.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1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2019-12-05T00:41:12Z</dcterms:created>
  <dcterms:modified xsi:type="dcterms:W3CDTF">2019-12-05T00:41:12Z</dcterms:modified>
</cp:coreProperties>
</file>