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August 2007 (No. 3)</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326" w:lineRule="exact"/>
        <w:rPr>
          <w:sz w:val="24"/>
          <w:szCs w:val="24"/>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On August 15, 2007, the Registrant announced its financial results for the six and three months ended June 30, 2007. Attached hereto are the following exhibits:</w:t>
      </w:r>
    </w:p>
    <w:p>
      <w:pPr>
        <w:spacing w:after="0" w:line="139" w:lineRule="exact"/>
        <w:rPr>
          <w:sz w:val="24"/>
          <w:szCs w:val="24"/>
          <w:color w:val="auto"/>
        </w:rPr>
      </w:pPr>
    </w:p>
    <w:p>
      <w:pPr>
        <w:ind w:left="1400" w:right="4619" w:hanging="1053"/>
        <w:spacing w:after="0" w:line="236" w:lineRule="auto"/>
        <w:tabs>
          <w:tab w:leader="none" w:pos="1380" w:val="left"/>
        </w:tabs>
        <w:rPr>
          <w:sz w:val="20"/>
          <w:szCs w:val="20"/>
          <w:color w:val="auto"/>
        </w:rPr>
      </w:pPr>
      <w:r>
        <w:rPr>
          <w:rFonts w:ascii="Courier New" w:cs="Courier New" w:eastAsia="Courier New" w:hAnsi="Courier New"/>
          <w:sz w:val="12"/>
          <w:szCs w:val="12"/>
          <w:color w:val="auto"/>
        </w:rPr>
        <w:t>Exhibit 99.1</w:t>
      </w:r>
      <w:r>
        <w:rPr>
          <w:sz w:val="20"/>
          <w:szCs w:val="20"/>
          <w:color w:val="auto"/>
        </w:rPr>
        <w:tab/>
      </w:r>
      <w:r>
        <w:rPr>
          <w:rFonts w:ascii="Courier New" w:cs="Courier New" w:eastAsia="Courier New" w:hAnsi="Courier New"/>
          <w:sz w:val="12"/>
          <w:szCs w:val="12"/>
          <w:color w:val="auto"/>
        </w:rPr>
        <w:t>Registrant's unaudited condensed interim consolidated financial statements as of June 30, 2007 and for the six and three months period then ended.</w:t>
      </w:r>
    </w:p>
    <w:p>
      <w:pPr>
        <w:spacing w:after="0" w:line="139" w:lineRule="exact"/>
        <w:rPr>
          <w:sz w:val="24"/>
          <w:szCs w:val="24"/>
          <w:color w:val="auto"/>
        </w:rPr>
      </w:pPr>
    </w:p>
    <w:p>
      <w:pPr>
        <w:ind w:left="1400" w:right="4699" w:hanging="1053"/>
        <w:spacing w:after="0" w:line="235" w:lineRule="auto"/>
        <w:tabs>
          <w:tab w:leader="none" w:pos="1380" w:val="left"/>
        </w:tabs>
        <w:rPr>
          <w:sz w:val="20"/>
          <w:szCs w:val="20"/>
          <w:color w:val="auto"/>
        </w:rPr>
      </w:pPr>
      <w:r>
        <w:rPr>
          <w:rFonts w:ascii="Courier New" w:cs="Courier New" w:eastAsia="Courier New" w:hAnsi="Courier New"/>
          <w:sz w:val="12"/>
          <w:szCs w:val="12"/>
          <w:color w:val="auto"/>
        </w:rPr>
        <w:t>Exhibit 99.2</w:t>
      </w:r>
      <w:r>
        <w:rPr>
          <w:sz w:val="20"/>
          <w:szCs w:val="20"/>
          <w:color w:val="auto"/>
        </w:rPr>
        <w:tab/>
      </w:r>
      <w:r>
        <w:rPr>
          <w:rFonts w:ascii="Courier New" w:cs="Courier New" w:eastAsia="Courier New" w:hAnsi="Courier New"/>
          <w:sz w:val="12"/>
          <w:szCs w:val="12"/>
          <w:color w:val="auto"/>
        </w:rPr>
        <w:t>Management's Discussion and Analysis of Financial Condition and Results of Operations</w:t>
      </w:r>
    </w:p>
    <w:p>
      <w:pPr>
        <w:spacing w:after="0" w:line="139" w:lineRule="exact"/>
        <w:rPr>
          <w:sz w:val="24"/>
          <w:szCs w:val="24"/>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This Form 6-K, including all exhibits hereto, is hereby incorporated by reference into (1) all effective registration statements filed by us under the Securities Act of 1933 and (2) Registration Statement No. 333-140174 on Form F-3.</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35" w:lineRule="exact"/>
        <w:rPr>
          <w:sz w:val="24"/>
          <w:szCs w:val="24"/>
          <w:color w:val="auto"/>
        </w:rPr>
      </w:pPr>
    </w:p>
    <w:p>
      <w:pPr>
        <w:ind w:left="372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614" w:right="1440" w:bottom="1440" w:gutter="0" w:footer="0" w:header="0"/>
        </w:sectPr>
      </w:pPr>
    </w:p>
    <w:p>
      <w:pPr>
        <w:spacing w:after="0" w:line="13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August 15, 2007</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3000" w:space="720"/>
            <w:col w:w="6519"/>
          </w:cols>
          <w:pgMar w:left="220" w:top="614" w:right="1440" w:bottom="144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EXHIBIT 99.1</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2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2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UNAUDITED CONDENSED INTERIM</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6"/>
              </w:rPr>
              <w:t>AS OF JUNE 30, 2007</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522"/>
        </w:trPr>
        <w:tc>
          <w:tcPr>
            <w:tcW w:w="462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4620" w:type="dxa"/>
            <w:vAlign w:val="bottom"/>
          </w:tcPr>
          <w:p>
            <w:pPr>
              <w:ind w:left="1540"/>
              <w:spacing w:after="0"/>
              <w:rPr>
                <w:sz w:val="20"/>
                <w:szCs w:val="20"/>
                <w:color w:val="auto"/>
              </w:rPr>
            </w:pPr>
            <w:r>
              <w:rPr>
                <w:rFonts w:ascii="Courier New" w:cs="Courier New" w:eastAsia="Courier New" w:hAnsi="Courier New"/>
                <w:sz w:val="12"/>
                <w:szCs w:val="12"/>
                <w:color w:val="auto"/>
              </w:rPr>
              <w:t>INDEX TO UNAUDITED CONDENSED INTERIM</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2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6"/>
              </w:rPr>
              <w:t>AS OF JUNE 30, 2007</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4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4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4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4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1300" w:type="dxa"/>
            <w:vAlign w:val="bottom"/>
            <w:gridSpan w:val="2"/>
          </w:tcPr>
          <w:p>
            <w:pPr>
              <w:jc w:val="right"/>
              <w:ind w:right="741"/>
              <w:spacing w:after="0"/>
              <w:rPr>
                <w:sz w:val="20"/>
                <w:szCs w:val="20"/>
                <w:color w:val="auto"/>
              </w:rPr>
            </w:pPr>
            <w:r>
              <w:rPr>
                <w:rFonts w:ascii="Courier New" w:cs="Courier New" w:eastAsia="Courier New" w:hAnsi="Courier New"/>
                <w:sz w:val="12"/>
                <w:szCs w:val="12"/>
                <w:color w:val="auto"/>
              </w:rPr>
              <w:t>5-22</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658"/>
        </w:trPr>
        <w:tc>
          <w:tcPr>
            <w:tcW w:w="462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462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CONSOLIDATED BALANCE SHEETS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060" w:type="dxa"/>
            <w:vAlign w:val="bottom"/>
            <w:gridSpan w:val="2"/>
          </w:tcPr>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0" w:type="dxa"/>
            <w:vAlign w:val="bottom"/>
            <w:gridSpan w:val="3"/>
          </w:tcPr>
          <w:p>
            <w:pPr>
              <w:jc w:val="right"/>
              <w:ind w:right="621"/>
              <w:spacing w:after="0"/>
              <w:rPr>
                <w:sz w:val="20"/>
                <w:szCs w:val="20"/>
                <w:color w:val="auto"/>
              </w:rPr>
            </w:pPr>
            <w:r>
              <w:rPr>
                <w:rFonts w:ascii="Courier New" w:cs="Courier New" w:eastAsia="Courier New" w:hAnsi="Courier New"/>
                <w:sz w:val="12"/>
                <w:szCs w:val="12"/>
                <w:color w:val="auto"/>
              </w:rPr>
              <w:t>AS OF JUNE 30,</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4620" w:type="dxa"/>
            <w:vAlign w:val="bottom"/>
          </w:tcPr>
          <w:p>
            <w:pPr>
              <w:spacing w:after="0"/>
              <w:rPr>
                <w:sz w:val="11"/>
                <w:szCs w:val="11"/>
                <w:color w:val="auto"/>
              </w:rPr>
            </w:pPr>
          </w:p>
        </w:tc>
        <w:tc>
          <w:tcPr>
            <w:tcW w:w="2440" w:type="dxa"/>
            <w:vAlign w:val="bottom"/>
            <w:gridSpan w:val="4"/>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2007</w:t>
            </w:r>
          </w:p>
        </w:tc>
        <w:tc>
          <w:tcPr>
            <w:tcW w:w="320" w:type="dxa"/>
            <w:vAlign w:val="bottom"/>
          </w:tcPr>
          <w:p>
            <w:pPr>
              <w:spacing w:after="0"/>
              <w:rPr>
                <w:sz w:val="11"/>
                <w:szCs w:val="11"/>
                <w:color w:val="auto"/>
              </w:rPr>
            </w:pPr>
          </w:p>
        </w:tc>
        <w:tc>
          <w:tcPr>
            <w:tcW w:w="8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2006</w:t>
            </w:r>
          </w:p>
        </w:tc>
        <w:tc>
          <w:tcPr>
            <w:tcW w:w="38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(UNAUDITED)</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spacing w:after="0"/>
              <w:rPr>
                <w:sz w:val="11"/>
                <w:szCs w:val="11"/>
                <w:color w:val="auto"/>
              </w:rPr>
            </w:pPr>
          </w:p>
        </w:tc>
        <w:tc>
          <w:tcPr>
            <w:tcW w:w="2440" w:type="dxa"/>
            <w:vAlign w:val="bottom"/>
            <w:gridSpan w:val="4"/>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20,723</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8,581</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39,710</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2,909</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PROCEEDS RECEIVABLES RELATING PUBLIC OFFERING</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31,479</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RELATED PARTIES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22,955</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8,538</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OTHERS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22,521</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13,088</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2,769</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7,131</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37,691</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29,623</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1,465</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1,616</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CURRENT ASSETS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108,124</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102,965</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507,414</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465,106</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539,292</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39,482</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54,508</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1,303</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1,371</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1,346</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ASSETS</w:t>
            </w: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$ 656,323</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$ 623,950</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$ 699,718</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6,611</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6,204</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6,632</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55,922</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50,410</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20,907</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11,517</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CURRENT LIABILITIES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83,440</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68,131</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83,856</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360,689</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515,811</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356,947</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58,609</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53,272</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62,175</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42,070</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52,528</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19,441</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10,104</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17,708</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564,249</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699,846</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566,728</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 (DEFICIT)</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800,000,000, 500,000,000 AND 800,000,000 SHARES,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RESPECTIVELY; ISSUED 123,495,958, 85,768,622</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AND 102,052,767 SHARES, RESPECTIVELY</w:t>
            </w:r>
          </w:p>
        </w:tc>
        <w:tc>
          <w:tcPr>
            <w:tcW w:w="44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29,283</w:t>
            </w:r>
          </w:p>
        </w:tc>
        <w:tc>
          <w:tcPr>
            <w:tcW w:w="3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20,366</w:t>
            </w:r>
          </w:p>
        </w:tc>
        <w:tc>
          <w:tcPr>
            <w:tcW w:w="3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24,187</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ADDITIONAL PAID-IN CAPITAL</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586,265</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540,885</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564,580</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CAPITAL NOTES</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176,401</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EQUITY COMPONENT OF CONVERTIBLE DEBENTURES AND CUMULATIVE</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20" w:type="dxa"/>
            <w:vAlign w:val="bottom"/>
          </w:tcPr>
          <w:p>
            <w:pPr>
              <w:ind w:left="700"/>
              <w:spacing w:after="0"/>
              <w:rPr>
                <w:sz w:val="20"/>
                <w:szCs w:val="20"/>
                <w:color w:val="auto"/>
              </w:rPr>
            </w:pPr>
            <w:r>
              <w:rPr>
                <w:rFonts w:ascii="Courier New" w:cs="Courier New" w:eastAsia="Courier New" w:hAnsi="Courier New"/>
                <w:sz w:val="12"/>
                <w:szCs w:val="12"/>
                <w:color w:val="auto"/>
              </w:rPr>
              <w:t>STOCK BASED COMPENSATION</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27,700</w:t>
            </w:r>
          </w:p>
        </w:tc>
        <w:tc>
          <w:tcPr>
            <w:tcW w:w="3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20,381</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23,576</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ACCUMULATED DEFICIT</w:t>
            </w:r>
          </w:p>
        </w:tc>
        <w:tc>
          <w:tcPr>
            <w:tcW w:w="44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(718,503)</w:t>
            </w:r>
          </w:p>
        </w:tc>
        <w:tc>
          <w:tcPr>
            <w:tcW w:w="3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(648,456)</w:t>
            </w:r>
          </w:p>
        </w:tc>
        <w:tc>
          <w:tcPr>
            <w:tcW w:w="3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(646,682)</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101,146</w:t>
            </w:r>
          </w:p>
        </w:tc>
        <w:tc>
          <w:tcPr>
            <w:tcW w:w="3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(66,824)</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142,062</w:t>
            </w:r>
          </w:p>
        </w:tc>
      </w:tr>
      <w:tr>
        <w:trPr>
          <w:trHeight w:val="135"/>
        </w:trPr>
        <w:tc>
          <w:tcPr>
            <w:tcW w:w="4620" w:type="dxa"/>
            <w:vAlign w:val="bottom"/>
          </w:tcPr>
          <w:p>
            <w:pPr>
              <w:ind w:left="480"/>
              <w:spacing w:after="0"/>
              <w:rPr>
                <w:sz w:val="20"/>
                <w:szCs w:val="20"/>
                <w:color w:val="auto"/>
              </w:rPr>
            </w:pPr>
            <w:r>
              <w:rPr>
                <w:rFonts w:ascii="Courier New" w:cs="Courier New" w:eastAsia="Courier New" w:hAnsi="Courier New"/>
                <w:sz w:val="12"/>
                <w:szCs w:val="12"/>
                <w:color w:val="auto"/>
              </w:rPr>
              <w:t>TREASURY STOCK, AT COST - 1,300,000 SHARES</w:t>
            </w:r>
          </w:p>
        </w:tc>
        <w:tc>
          <w:tcPr>
            <w:tcW w:w="44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3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(9,072)</w:t>
            </w:r>
          </w:p>
        </w:tc>
        <w:tc>
          <w:tcPr>
            <w:tcW w:w="3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SHAREHOLDERS' EQUITY (DEFICIT)</w:t>
            </w:r>
          </w:p>
        </w:tc>
        <w:tc>
          <w:tcPr>
            <w:tcW w:w="44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92,074</w:t>
            </w:r>
          </w:p>
        </w:tc>
        <w:tc>
          <w:tcPr>
            <w:tcW w:w="3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(75,896)</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132,990</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62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$ 656,323</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$ 623,950</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$ 699,718</w:t>
            </w:r>
          </w:p>
        </w:tc>
      </w:tr>
      <w:tr>
        <w:trPr>
          <w:trHeight w:val="135"/>
        </w:trPr>
        <w:tc>
          <w:tcPr>
            <w:tcW w:w="4620" w:type="dxa"/>
            <w:vAlign w:val="bottom"/>
          </w:tcPr>
          <w:p>
            <w:pPr>
              <w:spacing w:after="0"/>
              <w:rPr>
                <w:sz w:val="11"/>
                <w:szCs w:val="11"/>
                <w:color w:val="auto"/>
              </w:rPr>
            </w:pPr>
          </w:p>
        </w:tc>
        <w:tc>
          <w:tcPr>
            <w:tcW w:w="130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- 1 -</w:t>
      </w:r>
    </w:p>
    <w:p>
      <w:pPr>
        <w:spacing w:after="0" w:line="25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CONSOLIDATED STATEMENTS OF OPERATIONS</w:t>
      </w:r>
    </w:p>
    <w:p>
      <w:pPr>
        <w:jc w:val="center"/>
        <w:ind w:right="4619"/>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902" w:orient="portrait"/>
          <w:cols w:equalWidth="0" w:num="1">
            <w:col w:w="10239"/>
          </w:cols>
          <w:pgMar w:left="220" w:top="407"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194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rPr>
              <w:t>SIX MONTHS ENDED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THREE MONTHS ENDED</w:t>
            </w:r>
          </w:p>
        </w:tc>
        <w:tc>
          <w:tcPr>
            <w:tcW w:w="700" w:type="dxa"/>
            <w:vAlign w:val="bottom"/>
          </w:tcPr>
          <w:p>
            <w:pPr>
              <w:spacing w:after="0"/>
              <w:rPr>
                <w:sz w:val="11"/>
                <w:szCs w:val="11"/>
                <w:color w:val="auto"/>
              </w:rPr>
            </w:pPr>
          </w:p>
        </w:tc>
        <w:tc>
          <w:tcPr>
            <w:tcW w:w="13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YEAR ENDED</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ind w:left="640"/>
              <w:spacing w:after="0"/>
              <w:rPr>
                <w:sz w:val="20"/>
                <w:szCs w:val="20"/>
                <w:color w:val="auto"/>
              </w:rPr>
            </w:pPr>
            <w:r>
              <w:rPr>
                <w:rFonts w:ascii="Courier New" w:cs="Courier New" w:eastAsia="Courier New" w:hAnsi="Courier New"/>
                <w:sz w:val="12"/>
                <w:szCs w:val="12"/>
                <w:color w:val="auto"/>
              </w:rPr>
              <w:t>JUNE 30,</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JUNE 30,</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w w:val="99"/>
              </w:rPr>
              <w:t>DECEMDER 31,</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940" w:type="dxa"/>
            <w:vAlign w:val="bottom"/>
            <w:gridSpan w:val="3"/>
          </w:tcPr>
          <w:p>
            <w:pPr>
              <w:jc w:val="right"/>
              <w:ind w:right="41"/>
              <w:spacing w:after="0"/>
              <w:rPr>
                <w:sz w:val="20"/>
                <w:szCs w:val="20"/>
                <w:color w:val="auto"/>
              </w:rPr>
            </w:pPr>
            <w:r>
              <w:rPr>
                <w:rFonts w:ascii="Courier New" w:cs="Courier New" w:eastAsia="Courier New" w:hAnsi="Courier New"/>
                <w:sz w:val="12"/>
                <w:szCs w:val="12"/>
                <w:color w:val="auto"/>
                <w:w w:val="97"/>
              </w:rPr>
              <w:t>--------------------------</w:t>
            </w:r>
          </w:p>
        </w:tc>
        <w:tc>
          <w:tcPr>
            <w:tcW w:w="460" w:type="dxa"/>
            <w:vAlign w:val="bottom"/>
          </w:tcPr>
          <w:p>
            <w:pPr>
              <w:spacing w:after="0"/>
              <w:rPr>
                <w:sz w:val="11"/>
                <w:szCs w:val="11"/>
                <w:color w:val="auto"/>
              </w:rPr>
            </w:pPr>
          </w:p>
        </w:tc>
        <w:tc>
          <w:tcPr>
            <w:tcW w:w="2280" w:type="dxa"/>
            <w:vAlign w:val="bottom"/>
            <w:gridSpan w:val="6"/>
          </w:tcPr>
          <w:p>
            <w:pPr>
              <w:jc w:val="right"/>
              <w:ind w:right="401"/>
              <w:spacing w:after="0"/>
              <w:rPr>
                <w:sz w:val="20"/>
                <w:szCs w:val="20"/>
                <w:color w:val="auto"/>
              </w:rPr>
            </w:pPr>
            <w:r>
              <w:rPr>
                <w:rFonts w:ascii="Courier New" w:cs="Courier New" w:eastAsia="Courier New" w:hAnsi="Courier New"/>
                <w:sz w:val="12"/>
                <w:szCs w:val="12"/>
                <w:color w:val="auto"/>
                <w:w w:val="96"/>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2007</w:t>
            </w:r>
          </w:p>
        </w:tc>
        <w:tc>
          <w:tcPr>
            <w:tcW w:w="56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2006</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2006</w:t>
            </w:r>
          </w:p>
        </w:tc>
        <w:tc>
          <w:tcPr>
            <w:tcW w:w="1340" w:type="dxa"/>
            <w:vAlign w:val="bottom"/>
            <w:gridSpan w:val="2"/>
          </w:tcPr>
          <w:p>
            <w:pPr>
              <w:jc w:val="right"/>
              <w:ind w:right="761"/>
              <w:spacing w:after="0"/>
              <w:rPr>
                <w:sz w:val="20"/>
                <w:szCs w:val="20"/>
                <w:color w:val="auto"/>
              </w:rPr>
            </w:pPr>
            <w:r>
              <w:rPr>
                <w:rFonts w:ascii="Courier New" w:cs="Courier New" w:eastAsia="Courier New" w:hAnsi="Courier New"/>
                <w:sz w:val="12"/>
                <w:szCs w:val="12"/>
                <w:color w:val="auto"/>
              </w:rPr>
              <w:t>2006</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(UNAUDITED)</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(UNAUDITED)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940" w:type="dxa"/>
            <w:vAlign w:val="bottom"/>
            <w:gridSpan w:val="3"/>
          </w:tcPr>
          <w:p>
            <w:pPr>
              <w:jc w:val="right"/>
              <w:ind w:right="41"/>
              <w:spacing w:after="0"/>
              <w:rPr>
                <w:sz w:val="20"/>
                <w:szCs w:val="20"/>
                <w:color w:val="auto"/>
              </w:rPr>
            </w:pPr>
            <w:r>
              <w:rPr>
                <w:rFonts w:ascii="Courier New" w:cs="Courier New" w:eastAsia="Courier New" w:hAnsi="Courier New"/>
                <w:sz w:val="12"/>
                <w:szCs w:val="12"/>
                <w:color w:val="auto"/>
                <w:w w:val="97"/>
              </w:rPr>
              <w:t>--------------------------</w:t>
            </w:r>
          </w:p>
        </w:tc>
        <w:tc>
          <w:tcPr>
            <w:tcW w:w="460" w:type="dxa"/>
            <w:vAlign w:val="bottom"/>
          </w:tcPr>
          <w:p>
            <w:pPr>
              <w:spacing w:after="0"/>
              <w:rPr>
                <w:sz w:val="11"/>
                <w:szCs w:val="11"/>
                <w:color w:val="auto"/>
              </w:rPr>
            </w:pPr>
          </w:p>
        </w:tc>
        <w:tc>
          <w:tcPr>
            <w:tcW w:w="2280" w:type="dxa"/>
            <w:vAlign w:val="bottom"/>
            <w:gridSpan w:val="6"/>
          </w:tcPr>
          <w:p>
            <w:pPr>
              <w:jc w:val="right"/>
              <w:ind w:right="401"/>
              <w:spacing w:after="0"/>
              <w:rPr>
                <w:sz w:val="20"/>
                <w:szCs w:val="20"/>
                <w:color w:val="auto"/>
              </w:rPr>
            </w:pPr>
            <w:r>
              <w:rPr>
                <w:rFonts w:ascii="Courier New" w:cs="Courier New" w:eastAsia="Courier New" w:hAnsi="Courier New"/>
                <w:sz w:val="12"/>
                <w:szCs w:val="12"/>
                <w:color w:val="auto"/>
                <w:w w:val="96"/>
              </w:rPr>
              <w:t>--------------------------</w:t>
            </w: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$ 112,666</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80,430</w:t>
            </w:r>
          </w:p>
        </w:tc>
        <w:tc>
          <w:tcPr>
            <w:tcW w:w="4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57,062</w:t>
            </w:r>
          </w:p>
        </w:tc>
        <w:tc>
          <w:tcPr>
            <w:tcW w:w="560" w:type="dxa"/>
            <w:vAlign w:val="bottom"/>
          </w:tcPr>
          <w:p>
            <w:pPr>
              <w:spacing w:after="0"/>
              <w:rPr>
                <w:sz w:val="23"/>
                <w:szCs w:val="23"/>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44,555</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$ 187,438</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142,878</w:t>
            </w:r>
          </w:p>
        </w:tc>
        <w:tc>
          <w:tcPr>
            <w:tcW w:w="56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126,422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71,384</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65,142</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267,390</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ind w:left="480"/>
              <w:spacing w:after="0"/>
              <w:rPr>
                <w:sz w:val="20"/>
                <w:szCs w:val="20"/>
                <w:color w:val="auto"/>
              </w:rPr>
            </w:pPr>
            <w:r>
              <w:rPr>
                <w:rFonts w:ascii="Courier New" w:cs="Courier New" w:eastAsia="Courier New" w:hAnsi="Courier New"/>
                <w:sz w:val="12"/>
                <w:szCs w:val="12"/>
                <w:color w:val="auto"/>
              </w:rPr>
              <w:t>GROSS LOSS</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(30,212)</w:t>
            </w:r>
          </w:p>
        </w:tc>
        <w:tc>
          <w:tcPr>
            <w:tcW w:w="5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(45,992)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(14,322)</w:t>
            </w:r>
          </w:p>
        </w:tc>
        <w:tc>
          <w:tcPr>
            <w:tcW w:w="140" w:type="dxa"/>
            <w:vAlign w:val="bottom"/>
          </w:tcPr>
          <w:p>
            <w:pPr>
              <w:spacing w:after="0"/>
              <w:rPr>
                <w:sz w:val="23"/>
                <w:szCs w:val="23"/>
                <w:color w:val="auto"/>
              </w:rPr>
            </w:pPr>
          </w:p>
        </w:tc>
        <w:tc>
          <w:tcPr>
            <w:tcW w:w="96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3"/>
              </w:rPr>
              <w:t>(20,587)</w:t>
            </w:r>
          </w:p>
        </w:tc>
        <w:tc>
          <w:tcPr>
            <w:tcW w:w="13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(79,952)</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ind w:left="280"/>
              <w:spacing w:after="0"/>
              <w:rPr>
                <w:sz w:val="20"/>
                <w:szCs w:val="20"/>
                <w:color w:val="auto"/>
              </w:rPr>
            </w:pPr>
            <w:r>
              <w:rPr>
                <w:rFonts w:ascii="Courier New" w:cs="Courier New" w:eastAsia="Courier New" w:hAnsi="Courier New"/>
                <w:sz w:val="12"/>
                <w:szCs w:val="12"/>
                <w:color w:val="auto"/>
              </w:rPr>
              <w:t>RESEARCH AND DEVELOPMENT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6,952</w:t>
            </w:r>
          </w:p>
        </w:tc>
        <w:tc>
          <w:tcPr>
            <w:tcW w:w="56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6,928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3,355</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3,574</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14,984</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ind w:left="280"/>
              <w:spacing w:after="0"/>
              <w:rPr>
                <w:sz w:val="20"/>
                <w:szCs w:val="20"/>
                <w:color w:val="auto"/>
              </w:rPr>
            </w:pPr>
            <w:r>
              <w:rPr>
                <w:rFonts w:ascii="Courier New" w:cs="Courier New" w:eastAsia="Courier New" w:hAnsi="Courier New"/>
                <w:sz w:val="12"/>
                <w:szCs w:val="12"/>
                <w:color w:val="auto"/>
              </w:rPr>
              <w:t>MARKETING, GENERAL AND ADMINISTRATIVE</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15,176</w:t>
            </w:r>
          </w:p>
        </w:tc>
        <w:tc>
          <w:tcPr>
            <w:tcW w:w="56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10,798</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7,351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5,474</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24,512</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22,128</w:t>
            </w:r>
          </w:p>
        </w:tc>
        <w:tc>
          <w:tcPr>
            <w:tcW w:w="56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17,726</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10,706</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9,048</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39,496</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ind w:left="480"/>
              <w:spacing w:after="0"/>
              <w:rPr>
                <w:sz w:val="20"/>
                <w:szCs w:val="20"/>
                <w:color w:val="auto"/>
              </w:rPr>
            </w:pPr>
            <w:r>
              <w:rPr>
                <w:rFonts w:ascii="Courier New" w:cs="Courier New" w:eastAsia="Courier New" w:hAnsi="Courier New"/>
                <w:sz w:val="12"/>
                <w:szCs w:val="12"/>
                <w:color w:val="auto"/>
              </w:rPr>
              <w:t>OPERATING LOSS</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(52,340)</w:t>
            </w:r>
          </w:p>
        </w:tc>
        <w:tc>
          <w:tcPr>
            <w:tcW w:w="5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(63,718)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(25,028)</w:t>
            </w:r>
          </w:p>
        </w:tc>
        <w:tc>
          <w:tcPr>
            <w:tcW w:w="140" w:type="dxa"/>
            <w:vAlign w:val="bottom"/>
          </w:tcPr>
          <w:p>
            <w:pPr>
              <w:spacing w:after="0"/>
              <w:rPr>
                <w:sz w:val="23"/>
                <w:szCs w:val="23"/>
                <w:color w:val="auto"/>
              </w:rPr>
            </w:pPr>
          </w:p>
        </w:tc>
        <w:tc>
          <w:tcPr>
            <w:tcW w:w="96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3"/>
              </w:rPr>
              <w:t>(29,635)</w:t>
            </w:r>
          </w:p>
        </w:tc>
        <w:tc>
          <w:tcPr>
            <w:tcW w:w="13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(119,448)</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(19,554)</w:t>
            </w:r>
          </w:p>
        </w:tc>
        <w:tc>
          <w:tcPr>
            <w:tcW w:w="5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(25,575)</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(9,406)</w:t>
            </w:r>
          </w:p>
        </w:tc>
        <w:tc>
          <w:tcPr>
            <w:tcW w:w="140" w:type="dxa"/>
            <w:vAlign w:val="bottom"/>
          </w:tcPr>
          <w:p>
            <w:pPr>
              <w:spacing w:after="0"/>
              <w:rPr>
                <w:sz w:val="23"/>
                <w:szCs w:val="23"/>
                <w:color w:val="auto"/>
              </w:rPr>
            </w:pPr>
          </w:p>
        </w:tc>
        <w:tc>
          <w:tcPr>
            <w:tcW w:w="96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3"/>
              </w:rPr>
              <w:t>(14,051)</w:t>
            </w:r>
          </w:p>
        </w:tc>
        <w:tc>
          <w:tcPr>
            <w:tcW w:w="13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(48,148)</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80,071</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73</w:t>
            </w:r>
          </w:p>
        </w:tc>
        <w:tc>
          <w:tcPr>
            <w:tcW w:w="56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40</w:t>
            </w:r>
          </w:p>
        </w:tc>
        <w:tc>
          <w:tcPr>
            <w:tcW w:w="380" w:type="dxa"/>
            <w:vAlign w:val="bottom"/>
          </w:tcPr>
          <w:p>
            <w:pPr>
              <w:spacing w:after="0"/>
              <w:rPr>
                <w:sz w:val="23"/>
                <w:szCs w:val="23"/>
                <w:color w:val="auto"/>
              </w:rPr>
            </w:pPr>
          </w:p>
        </w:tc>
        <w:tc>
          <w:tcPr>
            <w:tcW w:w="96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597</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ind w:left="840"/>
              <w:spacing w:after="0"/>
              <w:rPr>
                <w:sz w:val="20"/>
                <w:szCs w:val="20"/>
                <w:color w:val="auto"/>
              </w:rPr>
            </w:pPr>
            <w:r>
              <w:rPr>
                <w:rFonts w:ascii="Courier New" w:cs="Courier New" w:eastAsia="Courier New" w:hAnsi="Courier New"/>
                <w:sz w:val="12"/>
                <w:szCs w:val="12"/>
                <w:color w:val="auto"/>
              </w:rPr>
              <w:t>LOSS FOR THE PERIOD</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4"/>
              </w:rPr>
              <w:t>$ (71,821)</w:t>
            </w: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(88,702)</w:t>
            </w:r>
          </w:p>
        </w:tc>
        <w:tc>
          <w:tcPr>
            <w:tcW w:w="460" w:type="dxa"/>
            <w:vAlign w:val="bottom"/>
          </w:tcPr>
          <w:p>
            <w:pPr>
              <w:spacing w:after="0"/>
              <w:rPr>
                <w:sz w:val="23"/>
                <w:szCs w:val="23"/>
                <w:color w:val="auto"/>
              </w:rPr>
            </w:pPr>
          </w:p>
        </w:tc>
        <w:tc>
          <w:tcPr>
            <w:tcW w:w="1180" w:type="dxa"/>
            <w:vAlign w:val="bottom"/>
            <w:gridSpan w:val="3"/>
          </w:tcPr>
          <w:p>
            <w:pPr>
              <w:jc w:val="right"/>
              <w:ind w:right="421"/>
              <w:spacing w:after="0"/>
              <w:rPr>
                <w:sz w:val="20"/>
                <w:szCs w:val="20"/>
                <w:color w:val="auto"/>
              </w:rPr>
            </w:pPr>
            <w:r>
              <w:rPr>
                <w:rFonts w:ascii="Courier New" w:cs="Courier New" w:eastAsia="Courier New" w:hAnsi="Courier New"/>
                <w:sz w:val="12"/>
                <w:szCs w:val="12"/>
                <w:color w:val="auto"/>
                <w:w w:val="94"/>
              </w:rPr>
              <w:t>$ (34,430)</w:t>
            </w:r>
          </w:p>
        </w:tc>
        <w:tc>
          <w:tcPr>
            <w:tcW w:w="110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4"/>
              </w:rPr>
              <w:t>$ (43,646)</w:t>
            </w:r>
          </w:p>
        </w:tc>
        <w:tc>
          <w:tcPr>
            <w:tcW w:w="13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 (86,928)</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PER ORDINARY SHARE</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ind w:left="280"/>
              <w:spacing w:after="0"/>
              <w:rPr>
                <w:sz w:val="20"/>
                <w:szCs w:val="20"/>
                <w:color w:val="auto"/>
              </w:rPr>
            </w:pPr>
            <w:r>
              <w:rPr>
                <w:rFonts w:ascii="Courier New" w:cs="Courier New" w:eastAsia="Courier New" w:hAnsi="Courier New"/>
                <w:sz w:val="12"/>
                <w:szCs w:val="12"/>
                <w:color w:val="auto"/>
              </w:rPr>
              <w:t>BASIC AND DILLUTED LOSS PER SHARE</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4"/>
              </w:rPr>
              <w:t>$   (0.63)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c>
          <w:tcPr>
            <w:tcW w:w="4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8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(0.28)</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96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(0.55)</w:t>
            </w:r>
          </w:p>
        </w:tc>
        <w:tc>
          <w:tcPr>
            <w:tcW w:w="38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481"/>
              <w:spacing w:after="0"/>
              <w:rPr>
                <w:sz w:val="20"/>
                <w:szCs w:val="20"/>
                <w:color w:val="auto"/>
              </w:rPr>
            </w:pPr>
            <w:r>
              <w:rPr>
                <w:rFonts w:ascii="Courier New" w:cs="Courier New" w:eastAsia="Courier New" w:hAnsi="Courier New"/>
                <w:sz w:val="12"/>
                <w:szCs w:val="12"/>
                <w:color w:val="auto"/>
                <w:w w:val="92"/>
              </w:rPr>
              <w:t>(1.05)</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ind w:left="280"/>
              <w:spacing w:after="0"/>
              <w:rPr>
                <w:sz w:val="20"/>
                <w:szCs w:val="20"/>
                <w:color w:val="auto"/>
              </w:rPr>
            </w:pPr>
            <w:r>
              <w:rPr>
                <w:rFonts w:ascii="Courier New" w:cs="Courier New" w:eastAsia="Courier New" w:hAnsi="Courier New"/>
                <w:sz w:val="12"/>
                <w:szCs w:val="12"/>
                <w:color w:val="auto"/>
              </w:rPr>
              <w:t>WEIGHTED AVERAGE NUMBER OF ORDINARY</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ind w:left="480"/>
              <w:spacing w:after="0"/>
              <w:rPr>
                <w:sz w:val="20"/>
                <w:szCs w:val="20"/>
                <w:color w:val="auto"/>
              </w:rPr>
            </w:pPr>
            <w:r>
              <w:rPr>
                <w:rFonts w:ascii="Courier New" w:cs="Courier New" w:eastAsia="Courier New" w:hAnsi="Courier New"/>
                <w:sz w:val="12"/>
                <w:szCs w:val="12"/>
                <w:color w:val="auto"/>
              </w:rPr>
              <w:t>SHARES OUTSTANDING - IN THOUSANDS</w:t>
            </w: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113,584</w:t>
            </w:r>
          </w:p>
        </w:tc>
        <w:tc>
          <w:tcPr>
            <w:tcW w:w="56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75,313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122,014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78,716</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82,581</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560" w:type="dxa"/>
            <w:vAlign w:val="bottom"/>
          </w:tcPr>
          <w:p>
            <w:pPr>
              <w:spacing w:after="0"/>
              <w:rPr>
                <w:sz w:val="11"/>
                <w:szCs w:val="11"/>
                <w:color w:val="auto"/>
              </w:rPr>
            </w:pPr>
          </w:p>
        </w:tc>
        <w:tc>
          <w:tcPr>
            <w:tcW w:w="1100" w:type="dxa"/>
            <w:vAlign w:val="bottom"/>
            <w:gridSpan w:val="3"/>
          </w:tcPr>
          <w:p>
            <w:pPr>
              <w:jc w:val="right"/>
              <w:ind w:right="401"/>
              <w:spacing w:after="0"/>
              <w:rPr>
                <w:sz w:val="20"/>
                <w:szCs w:val="20"/>
                <w:color w:val="auto"/>
              </w:rPr>
            </w:pPr>
            <w:r>
              <w:rPr>
                <w:rFonts w:ascii="Courier New" w:cs="Courier New" w:eastAsia="Courier New" w:hAnsi="Courier New"/>
                <w:sz w:val="12"/>
                <w:szCs w:val="12"/>
                <w:color w:val="auto"/>
                <w:w w:val="95"/>
              </w:rPr>
              <w:t>=========</w:t>
            </w:r>
          </w:p>
        </w:tc>
        <w:tc>
          <w:tcPr>
            <w:tcW w:w="134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w w:val="98"/>
              </w:rPr>
              <w:t>SEE NOTES TO CONSOLIDATED FINANCIAL STATEMENTS.</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05"/>
        </w:trPr>
        <w:tc>
          <w:tcPr>
            <w:tcW w:w="3360" w:type="dxa"/>
            <w:vAlign w:val="bottom"/>
          </w:tcPr>
          <w:p>
            <w:pPr>
              <w:ind w:left="2660"/>
              <w:spacing w:after="0"/>
              <w:rPr>
                <w:sz w:val="20"/>
                <w:szCs w:val="20"/>
                <w:color w:val="auto"/>
              </w:rPr>
            </w:pPr>
            <w:r>
              <w:rPr>
                <w:rFonts w:ascii="Courier New" w:cs="Courier New" w:eastAsia="Courier New" w:hAnsi="Courier New"/>
                <w:sz w:val="12"/>
                <w:szCs w:val="12"/>
                <w:color w:val="auto"/>
              </w:rPr>
              <w:t>- 2 -</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7"/>
        </w:trPr>
        <w:tc>
          <w:tcPr>
            <w:tcW w:w="4100" w:type="dxa"/>
            <w:vAlign w:val="bottom"/>
            <w:gridSpan w:val="2"/>
          </w:tcPr>
          <w:p>
            <w:pPr>
              <w:ind w:left="1960"/>
              <w:spacing w:after="0"/>
              <w:rPr>
                <w:sz w:val="20"/>
                <w:szCs w:val="20"/>
                <w:color w:val="auto"/>
              </w:rPr>
            </w:pPr>
            <w:r>
              <w:rPr>
                <w:rFonts w:ascii="Courier New" w:cs="Courier New" w:eastAsia="Courier New" w:hAnsi="Courier New"/>
                <w:sz w:val="12"/>
                <w:szCs w:val="12"/>
                <w:color w:val="auto"/>
              </w:rPr>
              <w:t>TOWER SEMICONDUCTOR LTD.</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5300" w:type="dxa"/>
            <w:vAlign w:val="bottom"/>
            <w:gridSpan w:val="4"/>
          </w:tcPr>
          <w:p>
            <w:pPr>
              <w:ind w:left="900"/>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5300" w:type="dxa"/>
            <w:vAlign w:val="bottom"/>
            <w:gridSpan w:val="4"/>
          </w:tcPr>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7"/>
              </w:rPr>
              <w:t>EQUITY</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COMPONENT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6"/>
              </w:rPr>
              <w:t>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CONVERTIBLE</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7"/>
              </w:rPr>
              <w:t>DEBENTURES</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481"/>
              <w:spacing w:after="0"/>
              <w:rPr>
                <w:sz w:val="20"/>
                <w:szCs w:val="20"/>
                <w:color w:val="auto"/>
              </w:rPr>
            </w:pPr>
            <w:r>
              <w:rPr>
                <w:rFonts w:ascii="Courier New" w:cs="Courier New" w:eastAsia="Courier New" w:hAnsi="Courier New"/>
                <w:sz w:val="12"/>
                <w:szCs w:val="12"/>
                <w:color w:val="auto"/>
              </w:rPr>
              <w:t>AND</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ORDINARY SHARES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ADDITIONAL</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7"/>
              </w:rPr>
              <w:t>CUMULATIVE</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PAID-IN</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9"/>
              </w:rPr>
              <w:t>CAPITAL</w:t>
            </w:r>
          </w:p>
        </w:tc>
        <w:tc>
          <w:tcPr>
            <w:tcW w:w="38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STOCK BASED</w:t>
            </w:r>
          </w:p>
        </w:tc>
        <w:tc>
          <w:tcPr>
            <w:tcW w:w="24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ACCUMULATED</w:t>
            </w:r>
          </w:p>
        </w:tc>
        <w:tc>
          <w:tcPr>
            <w:tcW w:w="8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TREASURY</w:t>
            </w:r>
          </w:p>
        </w:tc>
      </w:tr>
      <w:tr>
        <w:trPr>
          <w:trHeight w:val="135"/>
        </w:trPr>
        <w:tc>
          <w:tcPr>
            <w:tcW w:w="3360" w:type="dxa"/>
            <w:vAlign w:val="bottom"/>
          </w:tcPr>
          <w:p>
            <w:pPr>
              <w:spacing w:after="0"/>
              <w:rPr>
                <w:sz w:val="11"/>
                <w:szCs w:val="11"/>
                <w:color w:val="auto"/>
              </w:rPr>
            </w:pPr>
          </w:p>
        </w:tc>
        <w:tc>
          <w:tcPr>
            <w:tcW w:w="1300" w:type="dxa"/>
            <w:vAlign w:val="bottom"/>
            <w:gridSpan w:val="2"/>
          </w:tcPr>
          <w:p>
            <w:pPr>
              <w:ind w:left="640"/>
              <w:spacing w:after="0"/>
              <w:rPr>
                <w:sz w:val="20"/>
                <w:szCs w:val="20"/>
                <w:color w:val="auto"/>
              </w:rPr>
            </w:pPr>
            <w:r>
              <w:rPr>
                <w:rFonts w:ascii="Courier New" w:cs="Courier New" w:eastAsia="Courier New" w:hAnsi="Courier New"/>
                <w:sz w:val="12"/>
                <w:szCs w:val="12"/>
                <w:color w:val="auto"/>
              </w:rPr>
              <w:t>SHARES</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AMOUNT</w:t>
            </w:r>
          </w:p>
        </w:tc>
        <w:tc>
          <w:tcPr>
            <w:tcW w:w="100" w:type="dxa"/>
            <w:vAlign w:val="bottom"/>
          </w:tcPr>
          <w:p>
            <w:pPr>
              <w:spacing w:after="0"/>
              <w:rPr>
                <w:sz w:val="11"/>
                <w:szCs w:val="11"/>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CAPITAL</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NOTES</w:t>
            </w:r>
          </w:p>
        </w:tc>
        <w:tc>
          <w:tcPr>
            <w:tcW w:w="13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COMPENSATION</w:t>
            </w:r>
          </w:p>
        </w:tc>
        <w:tc>
          <w:tcPr>
            <w:tcW w:w="24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DEFICIT</w:t>
            </w:r>
          </w:p>
        </w:tc>
        <w:tc>
          <w:tcPr>
            <w:tcW w:w="280" w:type="dxa"/>
            <w:vAlign w:val="bottom"/>
          </w:tcPr>
          <w:p>
            <w:pPr>
              <w:spacing w:after="0"/>
              <w:rPr>
                <w:sz w:val="11"/>
                <w:szCs w:val="11"/>
                <w:color w:val="auto"/>
              </w:rPr>
            </w:pP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STOCK</w:t>
            </w: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2007</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102,052,767</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100" w:type="dxa"/>
            <w:vAlign w:val="bottom"/>
          </w:tcPr>
          <w:p>
            <w:pPr>
              <w:spacing w:after="0"/>
              <w:rPr>
                <w:sz w:val="23"/>
                <w:szCs w:val="23"/>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564,580</w:t>
            </w:r>
          </w:p>
        </w:tc>
        <w:tc>
          <w:tcPr>
            <w:tcW w:w="1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23,576</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(646,682)</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w w:val="96"/>
              </w:rPr>
              <w:t>CHANGES DURING THE SIX-MONTH PERIOD (UNAUDITED):</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20,922,988</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4,973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21,184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7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9"/>
              </w:rPr>
              <w:t>498,828</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475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(217)</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4,341</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7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21,375</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(71,821)</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JUNE 30, 2007 (UNAUDITED)</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123,495,958</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29,283</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586,265</w:t>
            </w:r>
          </w:p>
        </w:tc>
        <w:tc>
          <w:tcPr>
            <w:tcW w:w="1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27,700</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(718,503)</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2006</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68,232,056</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522,237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23"/>
                <w:szCs w:val="23"/>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40" w:type="dxa"/>
            <w:vAlign w:val="bottom"/>
          </w:tcPr>
          <w:p>
            <w:pPr>
              <w:spacing w:after="0"/>
              <w:rPr>
                <w:sz w:val="23"/>
                <w:szCs w:val="23"/>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(559,754)</w:t>
            </w: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w w:val="96"/>
              </w:rPr>
              <w:t>CHANGES DURING THE SIX-MONTH PERIOD (UNAUDITED):</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3,438,076</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737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6,353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26,361</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w w:val="96"/>
              </w:rPr>
              <w:t>CONVERSION OF CONVERTIBLE DEBENTURES INTO SHARES</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14,098,490</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3,081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12,295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(6,535)</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581</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(88,702)</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JUNE 30, 2006 (UNAUDITED)</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85,768,622</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20,366</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540,885</w:t>
            </w:r>
          </w:p>
        </w:tc>
        <w:tc>
          <w:tcPr>
            <w:tcW w:w="1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20,381</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(648,456)</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APRIL 1, 2007</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122,182,946</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28,965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584,400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c>
          <w:tcPr>
            <w:tcW w:w="380" w:type="dxa"/>
            <w:vAlign w:val="bottom"/>
          </w:tcPr>
          <w:p>
            <w:pPr>
              <w:spacing w:after="0"/>
              <w:rPr>
                <w:sz w:val="23"/>
                <w:szCs w:val="23"/>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25,218</w:t>
            </w:r>
          </w:p>
        </w:tc>
        <w:tc>
          <w:tcPr>
            <w:tcW w:w="240" w:type="dxa"/>
            <w:vAlign w:val="bottom"/>
          </w:tcPr>
          <w:p>
            <w:pPr>
              <w:spacing w:after="0"/>
              <w:rPr>
                <w:sz w:val="23"/>
                <w:szCs w:val="23"/>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(684,073)</w:t>
            </w: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270"/>
        </w:trPr>
        <w:tc>
          <w:tcPr>
            <w:tcW w:w="4100" w:type="dxa"/>
            <w:vAlign w:val="bottom"/>
            <w:gridSpan w:val="2"/>
          </w:tcPr>
          <w:p>
            <w:pPr>
              <w:spacing w:after="0"/>
              <w:rPr>
                <w:sz w:val="20"/>
                <w:szCs w:val="20"/>
                <w:color w:val="auto"/>
              </w:rPr>
            </w:pPr>
            <w:r>
              <w:rPr>
                <w:rFonts w:ascii="Courier New" w:cs="Courier New" w:eastAsia="Courier New" w:hAnsi="Courier New"/>
                <w:sz w:val="12"/>
                <w:szCs w:val="12"/>
                <w:color w:val="auto"/>
              </w:rPr>
              <w:t>CHANGES DURING THE THREE-MONTH PERIOD (UNAUDITED):</w:t>
            </w: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1,192,443</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289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1,746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7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9"/>
              </w:rPr>
              <w:t>100,694</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(47)</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2,529</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7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19,875</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(34,430)</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JUNE 30, 2007 (UNAUDITED)</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123,495,958</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29,283</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586,265</w:t>
            </w:r>
          </w:p>
        </w:tc>
        <w:tc>
          <w:tcPr>
            <w:tcW w:w="1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27,700</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(718,503)</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APRIL 1, 2006</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76,946,189</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18,403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531,123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23"/>
                <w:szCs w:val="23"/>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19,550</w:t>
            </w:r>
          </w:p>
        </w:tc>
        <w:tc>
          <w:tcPr>
            <w:tcW w:w="240" w:type="dxa"/>
            <w:vAlign w:val="bottom"/>
          </w:tcPr>
          <w:p>
            <w:pPr>
              <w:spacing w:after="0"/>
              <w:rPr>
                <w:sz w:val="23"/>
                <w:szCs w:val="23"/>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(604,810)</w:t>
            </w:r>
          </w:p>
        </w:tc>
        <w:tc>
          <w:tcPr>
            <w:tcW w:w="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270"/>
        </w:trPr>
        <w:tc>
          <w:tcPr>
            <w:tcW w:w="4100" w:type="dxa"/>
            <w:vAlign w:val="bottom"/>
            <w:gridSpan w:val="2"/>
          </w:tcPr>
          <w:p>
            <w:pPr>
              <w:spacing w:after="0"/>
              <w:rPr>
                <w:sz w:val="20"/>
                <w:szCs w:val="20"/>
                <w:color w:val="auto"/>
              </w:rPr>
            </w:pPr>
            <w:r>
              <w:rPr>
                <w:rFonts w:ascii="Courier New" w:cs="Courier New" w:eastAsia="Courier New" w:hAnsi="Courier New"/>
                <w:sz w:val="12"/>
                <w:szCs w:val="12"/>
                <w:color w:val="auto"/>
              </w:rPr>
              <w:t>CHANGES DURING THE THREE-MONTH PERIOD (UNAUDITED):</w:t>
            </w: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9"/>
              </w:rPr>
              <w:t>724,680</w:t>
            </w: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158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2,645</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4,382</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w w:val="96"/>
              </w:rPr>
              <w:t>CONVERSION OF CONVERTIBLE DEBENTURES INTO SHARES</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8,097,753</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1,805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7,117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(3,753)</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202</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(43,646)</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JUNE 30, 2006 (UNAUDITED)</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85,768,622</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20,366</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540,885</w:t>
            </w:r>
          </w:p>
        </w:tc>
        <w:tc>
          <w:tcPr>
            <w:tcW w:w="1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20,381</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(648,456)</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135"/>
        </w:trPr>
        <w:tc>
          <w:tcPr>
            <w:tcW w:w="33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2006</w:t>
            </w: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68,232,056</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100" w:type="dxa"/>
            <w:vAlign w:val="bottom"/>
          </w:tcPr>
          <w:p>
            <w:pPr>
              <w:spacing w:after="0"/>
              <w:rPr>
                <w:sz w:val="23"/>
                <w:szCs w:val="23"/>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522,237</w:t>
            </w:r>
          </w:p>
        </w:tc>
        <w:tc>
          <w:tcPr>
            <w:tcW w:w="1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ind w:left="320"/>
              <w:spacing w:after="0"/>
              <w:rPr>
                <w:sz w:val="20"/>
                <w:szCs w:val="20"/>
                <w:color w:val="auto"/>
              </w:rPr>
            </w:pPr>
            <w:r>
              <w:rPr>
                <w:rFonts w:ascii="Courier New" w:cs="Courier New" w:eastAsia="Courier New" w:hAnsi="Courier New"/>
                <w:sz w:val="9"/>
                <w:szCs w:val="9"/>
                <w:color w:val="auto"/>
                <w:w w:val="73"/>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(559,754)</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bl>
    <w:p>
      <w:pPr>
        <w:sectPr>
          <w:pgSz w:w="11900" w:h="16838" w:orient="portrait"/>
          <w:cols w:equalWidth="0" w:num="1">
            <w:col w:w="11520"/>
          </w:cols>
          <w:pgMar w:left="220" w:top="272" w:right="1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60" w:type="dxa"/>
            <w:vAlign w:val="bottom"/>
          </w:tcPr>
          <w:p>
            <w:pPr>
              <w:spacing w:after="0"/>
              <w:rPr>
                <w:sz w:val="20"/>
                <w:szCs w:val="20"/>
                <w:color w:val="auto"/>
              </w:rPr>
            </w:pPr>
            <w:r>
              <w:rPr>
                <w:rFonts w:ascii="Courier New" w:cs="Courier New" w:eastAsia="Courier New" w:hAnsi="Courier New"/>
                <w:sz w:val="12"/>
                <w:szCs w:val="12"/>
                <w:color w:val="auto"/>
              </w:rPr>
              <w:t>CHANGES DURING 2006 :</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16,729,145</w:t>
            </w:r>
          </w:p>
        </w:tc>
        <w:tc>
          <w:tcPr>
            <w:tcW w:w="280" w:type="dxa"/>
            <w:vAlign w:val="bottom"/>
          </w:tcPr>
          <w:p>
            <w:pPr>
              <w:spacing w:after="0"/>
              <w:rPr>
                <w:sz w:val="23"/>
                <w:szCs w:val="23"/>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3,860</w:t>
            </w:r>
          </w:p>
        </w:tc>
        <w:tc>
          <w:tcPr>
            <w:tcW w:w="56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23,038</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27,997</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16,734,316</w:t>
            </w: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3,696</w:t>
            </w:r>
          </w:p>
        </w:tc>
        <w:tc>
          <w:tcPr>
            <w:tcW w:w="5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14,681</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(7,758)</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88"/>
              </w:rPr>
              <w:t>3,363</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7,250</w:t>
            </w: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350,000</w:t>
            </w: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w w:val="92"/>
              </w:rPr>
              <w:t>469</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THE FACILITY AGREEMENT WITH THE BANKS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4,146</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176,401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(86,928)</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3"/>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148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3"/>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2006</w:t>
            </w: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3"/>
              </w:rPr>
              <w:t>102,052,767</w:t>
            </w:r>
          </w:p>
        </w:tc>
        <w:tc>
          <w:tcPr>
            <w:tcW w:w="28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gridSpan w:val="2"/>
          </w:tcPr>
          <w:p>
            <w:pPr>
              <w:jc w:val="center"/>
              <w:ind w:left="1"/>
              <w:spacing w:after="0"/>
              <w:rPr>
                <w:sz w:val="20"/>
                <w:szCs w:val="20"/>
                <w:color w:val="auto"/>
              </w:rPr>
            </w:pPr>
            <w:r>
              <w:rPr>
                <w:rFonts w:ascii="Courier New" w:cs="Courier New" w:eastAsia="Courier New" w:hAnsi="Courier New"/>
                <w:sz w:val="12"/>
                <w:szCs w:val="12"/>
                <w:color w:val="auto"/>
                <w:w w:val="99"/>
              </w:rPr>
              <w:t>564,580</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176,401</w:t>
            </w:r>
          </w:p>
        </w:tc>
        <w:tc>
          <w:tcPr>
            <w:tcW w:w="200" w:type="dxa"/>
            <w:vAlign w:val="bottom"/>
          </w:tcPr>
          <w:p>
            <w:pPr>
              <w:jc w:val="right"/>
              <w:ind w:right="85"/>
              <w:spacing w:after="0"/>
              <w:rPr>
                <w:sz w:val="20"/>
                <w:szCs w:val="20"/>
                <w:color w:val="auto"/>
              </w:rPr>
            </w:pPr>
            <w:r>
              <w:rPr>
                <w:rFonts w:ascii="Courier New" w:cs="Courier New" w:eastAsia="Courier New" w:hAnsi="Courier New"/>
                <w:sz w:val="9"/>
                <w:szCs w:val="9"/>
                <w:color w:val="auto"/>
                <w:w w:val="73"/>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23,576</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(646,682)</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   (9,07</w:t>
            </w:r>
          </w:p>
        </w:tc>
      </w:tr>
      <w:tr>
        <w:trPr>
          <w:trHeight w:val="135"/>
        </w:trPr>
        <w:tc>
          <w:tcPr>
            <w:tcW w:w="3860" w:type="dxa"/>
            <w:vAlign w:val="bottom"/>
          </w:tcPr>
          <w:p>
            <w:pPr>
              <w:spacing w:after="0"/>
              <w:rPr>
                <w:sz w:val="11"/>
                <w:szCs w:val="11"/>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3"/>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148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3"/>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w w:val="96"/>
              </w:rPr>
              <w:t>SEE NOTES TO CONSOLIDATED INTERIM FINANCIAL STATEMENTS.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05"/>
        </w:trPr>
        <w:tc>
          <w:tcPr>
            <w:tcW w:w="3860" w:type="dxa"/>
            <w:vAlign w:val="bottom"/>
          </w:tcPr>
          <w:p>
            <w:pPr>
              <w:ind w:left="2600"/>
              <w:spacing w:after="0"/>
              <w:rPr>
                <w:sz w:val="20"/>
                <w:szCs w:val="20"/>
                <w:color w:val="auto"/>
              </w:rPr>
            </w:pPr>
            <w:r>
              <w:rPr>
                <w:rFonts w:ascii="Courier New" w:cs="Courier New" w:eastAsia="Courier New" w:hAnsi="Courier New"/>
                <w:sz w:val="12"/>
                <w:szCs w:val="12"/>
                <w:color w:val="auto"/>
              </w:rPr>
              <w:t>- 3 -</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2"/>
        </w:trPr>
        <w:tc>
          <w:tcPr>
            <w:tcW w:w="4980" w:type="dxa"/>
            <w:vAlign w:val="bottom"/>
            <w:gridSpan w:val="2"/>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5"/>
        </w:trPr>
        <w:tc>
          <w:tcPr>
            <w:tcW w:w="498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CONSOLIDATED STATEMENTS OF CASH FLOWS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4980" w:type="dxa"/>
            <w:vAlign w:val="bottom"/>
            <w:gridSpan w:val="2"/>
          </w:tcPr>
          <w:p>
            <w:pPr>
              <w:ind w:left="700"/>
              <w:spacing w:after="0"/>
              <w:rPr>
                <w:sz w:val="20"/>
                <w:szCs w:val="20"/>
                <w:color w:val="auto"/>
              </w:rPr>
            </w:pPr>
            <w:r>
              <w:rPr>
                <w:rFonts w:ascii="Courier New" w:cs="Courier New" w:eastAsia="Courier New" w:hAnsi="Courier New"/>
                <w:sz w:val="12"/>
                <w:szCs w:val="12"/>
                <w:color w:val="auto"/>
                <w:w w:val="98"/>
              </w:rPr>
              <w:t>(dollars in thousands, except share data and per share data)</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gridSpan w:val="3"/>
          </w:tcPr>
          <w:p>
            <w:pPr>
              <w:spacing w:after="0"/>
              <w:rPr>
                <w:sz w:val="20"/>
                <w:szCs w:val="20"/>
                <w:color w:val="auto"/>
              </w:rPr>
            </w:pPr>
            <w:r>
              <w:rPr>
                <w:rFonts w:ascii="Courier New" w:cs="Courier New" w:eastAsia="Courier New" w:hAnsi="Courier New"/>
                <w:sz w:val="12"/>
                <w:szCs w:val="12"/>
                <w:color w:val="auto"/>
                <w:w w:val="95"/>
              </w:rPr>
              <w:t>SIX MONTHS ENDED</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gridSpan w:val="4"/>
          </w:tcPr>
          <w:p>
            <w:pPr>
              <w:jc w:val="center"/>
              <w:ind w:right="201"/>
              <w:spacing w:after="0"/>
              <w:rPr>
                <w:sz w:val="20"/>
                <w:szCs w:val="20"/>
                <w:color w:val="auto"/>
              </w:rPr>
            </w:pPr>
            <w:r>
              <w:rPr>
                <w:rFonts w:ascii="Courier New" w:cs="Courier New" w:eastAsia="Courier New" w:hAnsi="Courier New"/>
                <w:sz w:val="12"/>
                <w:szCs w:val="12"/>
                <w:color w:val="auto"/>
                <w:w w:val="97"/>
              </w:rPr>
              <w:t>THREE MONTHS ENDED</w:t>
            </w:r>
          </w:p>
        </w:tc>
        <w:tc>
          <w:tcPr>
            <w:tcW w:w="12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YEAR ENDED</w:t>
            </w:r>
          </w:p>
        </w:tc>
        <w:tc>
          <w:tcPr>
            <w:tcW w:w="82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93"/>
              </w:rPr>
              <w:t>JUNE 30,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jc w:val="center"/>
              <w:ind w:left="401"/>
              <w:spacing w:after="0"/>
              <w:rPr>
                <w:sz w:val="20"/>
                <w:szCs w:val="20"/>
                <w:color w:val="auto"/>
              </w:rPr>
            </w:pPr>
            <w:r>
              <w:rPr>
                <w:rFonts w:ascii="Courier New" w:cs="Courier New" w:eastAsia="Courier New" w:hAnsi="Courier New"/>
                <w:sz w:val="12"/>
                <w:szCs w:val="12"/>
                <w:color w:val="auto"/>
                <w:w w:val="97"/>
              </w:rPr>
              <w:t>JUNE 30,</w:t>
            </w:r>
          </w:p>
        </w:tc>
        <w:tc>
          <w:tcPr>
            <w:tcW w:w="700" w:type="dxa"/>
            <w:vAlign w:val="bottom"/>
          </w:tcPr>
          <w:p>
            <w:pPr>
              <w:spacing w:after="0"/>
              <w:rPr>
                <w:sz w:val="11"/>
                <w:szCs w:val="11"/>
                <w:color w:val="auto"/>
              </w:rPr>
            </w:pPr>
          </w:p>
        </w:tc>
        <w:tc>
          <w:tcPr>
            <w:tcW w:w="12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DECEMBER 31,</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5"/>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080" w:type="dxa"/>
            <w:vAlign w:val="bottom"/>
            <w:gridSpan w:val="5"/>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Courier New" w:cs="Courier New" w:eastAsia="Courier New" w:hAnsi="Courier New"/>
                <w:sz w:val="12"/>
                <w:szCs w:val="12"/>
                <w:color w:val="auto"/>
              </w:rPr>
              <w:t>2007</w:t>
            </w:r>
          </w:p>
        </w:tc>
        <w:tc>
          <w:tcPr>
            <w:tcW w:w="340" w:type="dxa"/>
            <w:vAlign w:val="bottom"/>
          </w:tcPr>
          <w:p>
            <w:pPr>
              <w:spacing w:after="0"/>
              <w:rPr>
                <w:sz w:val="11"/>
                <w:szCs w:val="11"/>
                <w:color w:val="auto"/>
              </w:rPr>
            </w:pPr>
          </w:p>
        </w:tc>
        <w:tc>
          <w:tcPr>
            <w:tcW w:w="74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2006</w:t>
            </w:r>
          </w:p>
        </w:tc>
        <w:tc>
          <w:tcPr>
            <w:tcW w:w="360" w:type="dxa"/>
            <w:vAlign w:val="bottom"/>
          </w:tcPr>
          <w:p>
            <w:pPr>
              <w:spacing w:after="0"/>
              <w:rPr>
                <w:sz w:val="11"/>
                <w:szCs w:val="11"/>
                <w:color w:val="auto"/>
              </w:rPr>
            </w:pPr>
          </w:p>
        </w:tc>
        <w:tc>
          <w:tcPr>
            <w:tcW w:w="6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340" w:type="dxa"/>
            <w:vAlign w:val="bottom"/>
          </w:tcPr>
          <w:p>
            <w:pPr>
              <w:spacing w:after="0"/>
              <w:rPr>
                <w:sz w:val="11"/>
                <w:szCs w:val="11"/>
                <w:color w:val="auto"/>
              </w:rPr>
            </w:pPr>
          </w:p>
        </w:tc>
        <w:tc>
          <w:tcPr>
            <w:tcW w:w="8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2006</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(UNAUDITED)</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4"/>
          </w:tcPr>
          <w:p>
            <w:pPr>
              <w:jc w:val="right"/>
              <w:ind w:right="501"/>
              <w:spacing w:after="0"/>
              <w:rPr>
                <w:sz w:val="20"/>
                <w:szCs w:val="20"/>
                <w:color w:val="auto"/>
              </w:rPr>
            </w:pPr>
            <w:r>
              <w:rPr>
                <w:rFonts w:ascii="Courier New" w:cs="Courier New" w:eastAsia="Courier New" w:hAnsi="Courier New"/>
                <w:sz w:val="12"/>
                <w:szCs w:val="12"/>
                <w:color w:val="auto"/>
              </w:rPr>
              <w:t>(UNAUDITED)</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5"/>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080" w:type="dxa"/>
            <w:vAlign w:val="bottom"/>
            <w:gridSpan w:val="5"/>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LOSS FOR THE PERIOD</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(71,821)</w:t>
            </w:r>
          </w:p>
        </w:tc>
        <w:tc>
          <w:tcPr>
            <w:tcW w:w="1080" w:type="dxa"/>
            <w:vAlign w:val="bottom"/>
            <w:gridSpan w:val="3"/>
          </w:tcPr>
          <w:p>
            <w:pPr>
              <w:jc w:val="right"/>
              <w:ind w:right="41"/>
              <w:spacing w:after="0"/>
              <w:rPr>
                <w:sz w:val="20"/>
                <w:szCs w:val="20"/>
                <w:color w:val="auto"/>
              </w:rPr>
            </w:pPr>
            <w:r>
              <w:rPr>
                <w:rFonts w:ascii="Courier New" w:cs="Courier New" w:eastAsia="Courier New" w:hAnsi="Courier New"/>
                <w:sz w:val="12"/>
                <w:szCs w:val="12"/>
                <w:color w:val="auto"/>
              </w:rPr>
              <w:t>$ (88,702)</w:t>
            </w: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(34,430)</w:t>
            </w:r>
          </w:p>
        </w:tc>
        <w:tc>
          <w:tcPr>
            <w:tcW w:w="200" w:type="dxa"/>
            <w:vAlign w:val="bottom"/>
          </w:tcPr>
          <w:p>
            <w:pPr>
              <w:spacing w:after="0"/>
              <w:rPr>
                <w:sz w:val="11"/>
                <w:szCs w:val="11"/>
                <w:color w:val="auto"/>
              </w:rPr>
            </w:pP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(43,646)</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(86,928)</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period</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49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TO NET CASH PROVIDED BY (USED IN) OPERATING ACTIVITIES: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498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82,330</w:t>
            </w:r>
          </w:p>
        </w:tc>
        <w:tc>
          <w:tcPr>
            <w:tcW w:w="340" w:type="dxa"/>
            <w:vAlign w:val="bottom"/>
          </w:tcPr>
          <w:p>
            <w:pPr>
              <w:spacing w:after="0"/>
              <w:rPr>
                <w:sz w:val="11"/>
                <w:szCs w:val="11"/>
                <w:color w:val="auto"/>
              </w:rPr>
            </w:pP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82,591</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39,468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41,253</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170,816</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97"/>
              </w:rPr>
              <w:t>EFFECT OF INDEXATION AND TRANSLATION ON CONVERTIBLE DEBENTURES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178</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1,096</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(1,003)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1,353</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2,569</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(591)</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(40)</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(597)</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GAIN ON DEBT RESTRUCTURING</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(80,071)</w:t>
            </w:r>
          </w:p>
        </w:tc>
        <w:tc>
          <w:tcPr>
            <w:tcW w:w="820" w:type="dxa"/>
            <w:vAlign w:val="bottom"/>
          </w:tcPr>
          <w:p>
            <w:pPr>
              <w:spacing w:after="0"/>
              <w:rPr>
                <w:sz w:val="11"/>
                <w:szCs w:val="11"/>
                <w:color w:val="auto"/>
              </w:rPr>
            </w:pPr>
          </w:p>
        </w:tc>
      </w:tr>
      <w:tr>
        <w:trPr>
          <w:trHeight w:val="135"/>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INCREASE IN TRADE ACCOUNTS RECEIVABLE</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(13,978)</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(4,850)</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(9,349)</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(2,744)</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(14,722)</w:t>
            </w:r>
          </w:p>
        </w:tc>
        <w:tc>
          <w:tcPr>
            <w:tcW w:w="820" w:type="dxa"/>
            <w:vAlign w:val="bottom"/>
          </w:tcPr>
          <w:p>
            <w:pPr>
              <w:spacing w:after="0"/>
              <w:rPr>
                <w:sz w:val="11"/>
                <w:szCs w:val="11"/>
                <w:color w:val="auto"/>
              </w:rPr>
            </w:pPr>
          </w:p>
        </w:tc>
      </w:tr>
      <w:tr>
        <w:trPr>
          <w:trHeight w:val="135"/>
        </w:trPr>
        <w:tc>
          <w:tcPr>
            <w:tcW w:w="5260" w:type="dxa"/>
            <w:vAlign w:val="bottom"/>
            <w:gridSpan w:val="3"/>
          </w:tcPr>
          <w:p>
            <w:pPr>
              <w:ind w:left="620"/>
              <w:spacing w:after="0"/>
              <w:rPr>
                <w:sz w:val="20"/>
                <w:szCs w:val="20"/>
                <w:color w:val="auto"/>
              </w:rPr>
            </w:pPr>
            <w:r>
              <w:rPr>
                <w:rFonts w:ascii="Courier New" w:cs="Courier New" w:eastAsia="Courier New" w:hAnsi="Courier New"/>
                <w:sz w:val="12"/>
                <w:szCs w:val="12"/>
                <w:color w:val="auto"/>
                <w:w w:val="98"/>
              </w:rPr>
              <w:t>DECREASE (INCREASE) IN OTHER RECEIVABLES AND OTHER CURRENT ASSETS</w:t>
            </w: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1,376</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(1,856)</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1,252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(1,379)</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(2,662)</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(2,928)</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(8,923)</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(5,155)</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(14,064)</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w w:val="99"/>
              </w:rPr>
              <w:t>INCREASE (DECREASE) IN TRADE ACCOUNTS PAYABLE</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17,119</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2,481</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7,719</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1,673</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(4,734)</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(1,093)</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2,113</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305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2,292</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6,551</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DECREASE IN OTHER LONG-TERM LIABILITIES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(778)</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(1,679)</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(257)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(473)</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(3,285)</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10,332</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(18,320)</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4,255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(6,866)</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(27,127)</w:t>
            </w:r>
          </w:p>
        </w:tc>
        <w:tc>
          <w:tcPr>
            <w:tcW w:w="82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w w:val="97"/>
              </w:rPr>
              <w:t>DECREASE IN LONG-TERM CUSTOMERS' ADVANCES, NET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(922)</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(814)</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(394)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(399)</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(2,306)</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760"/>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9,410</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(19,134)</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3,861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(7,265)</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(29,433)</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 DESIGNATED CASH, SHORT-TERM AND LONG-TERM</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28,752</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12,217</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31,661</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(49,788)</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(32,687)</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(25,952)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(16,021)</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(161,187)</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1,437</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3,298</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1,437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2,426</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5,219</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591</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40</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600</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(911)</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(3,619)</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(112)</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(5,074)</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(INCREASE) IN SHORT-TERM INTEREST-BEARING DEPOSITS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1,230</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(1,230)</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(47,943)</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(3,665)</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(19,495)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(1,450)</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(130,011)</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CONVERTIBLE DEBENTURES, NET</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21,929</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(274)</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58,766</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8,590</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18,295</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ORDINARY SHARES AND WARRANTS, NET</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26,604</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(2,263)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20,673</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A WARRANT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550</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SHARE CAPITAL</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100,000</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REPAYMENT OF CONVERTIBLE DEBEBNTURE</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(7,088)</w:t>
            </w:r>
          </w:p>
        </w:tc>
        <w:tc>
          <w:tcPr>
            <w:tcW w:w="34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(6,476)</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(6,476)</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30</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760"/>
              <w:spacing w:after="0"/>
              <w:rPr>
                <w:sz w:val="20"/>
                <w:szCs w:val="20"/>
                <w:color w:val="auto"/>
              </w:rPr>
            </w:pPr>
            <w:r>
              <w:rPr>
                <w:rFonts w:ascii="Courier New" w:cs="Courier New" w:eastAsia="Courier New" w:hAnsi="Courier New"/>
                <w:sz w:val="12"/>
                <w:szCs w:val="12"/>
                <w:color w:val="auto"/>
              </w:rPr>
              <w:t>NET CASH PROVIDED BY (USED IN) FINANCING ACTIVITIES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19,546</w:t>
            </w:r>
          </w:p>
        </w:tc>
        <w:tc>
          <w:tcPr>
            <w:tcW w:w="340" w:type="dxa"/>
            <w:vAlign w:val="bottom"/>
          </w:tcPr>
          <w:p>
            <w:pPr>
              <w:spacing w:after="0"/>
              <w:rPr>
                <w:sz w:val="11"/>
                <w:szCs w:val="11"/>
                <w:color w:val="auto"/>
              </w:rPr>
            </w:pP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24,043</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(2,235)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(274)</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191,817</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w w:val="97"/>
              </w:rPr>
              <w:t>INCREASE (DECREASE) IN CASH AND CASH EQUIVALENTS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(18,987)</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1,244</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(17,869)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(8,989)</w:t>
            </w:r>
          </w:p>
        </w:tc>
        <w:tc>
          <w:tcPr>
            <w:tcW w:w="3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32,373</w:t>
            </w:r>
          </w:p>
        </w:tc>
        <w:tc>
          <w:tcPr>
            <w:tcW w:w="82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PERIOD</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39,710</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7,337</w:t>
            </w:r>
          </w:p>
        </w:tc>
        <w:tc>
          <w:tcPr>
            <w:tcW w:w="3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38,592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17,570</w:t>
            </w:r>
          </w:p>
        </w:tc>
        <w:tc>
          <w:tcPr>
            <w:tcW w:w="3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7,337</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PERIOD</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20,723</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23"/>
                <w:szCs w:val="23"/>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8,581</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20,723</w:t>
            </w:r>
          </w:p>
        </w:tc>
        <w:tc>
          <w:tcPr>
            <w:tcW w:w="200" w:type="dxa"/>
            <w:vAlign w:val="bottom"/>
          </w:tcPr>
          <w:p>
            <w:pPr>
              <w:spacing w:after="0"/>
              <w:rPr>
                <w:sz w:val="23"/>
                <w:szCs w:val="23"/>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8,581</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39,710</w:t>
            </w:r>
          </w:p>
        </w:tc>
        <w:tc>
          <w:tcPr>
            <w:tcW w:w="82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9,943</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6,390</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7,600</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3,949</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42,575</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4,146</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433</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3,705</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5,287</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2,039</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1,000</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7,621</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RECEIVABLES RELATED PUBLIC OFFERING</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31,479</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31,479</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498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 CAPITAL</w:t>
            </w: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377</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8"/>
              </w:rPr>
              <w:t>8,841</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5,169</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10,619</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76,401</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PERIOD FOR INTEREST</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13,376</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20,792</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6,155</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10,246</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35,008</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PERIOD FOR INCOME TAXES</w:t>
            </w: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ind w:lef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w:t>
            </w: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22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56</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w:t>
            </w:r>
          </w:p>
        </w:tc>
        <w:tc>
          <w:tcPr>
            <w:tcW w:w="200" w:type="dxa"/>
            <w:vAlign w:val="bottom"/>
          </w:tcPr>
          <w:p>
            <w:pPr>
              <w:spacing w:after="0"/>
              <w:rPr>
                <w:sz w:val="11"/>
                <w:szCs w:val="11"/>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134</w:t>
            </w:r>
          </w:p>
        </w:tc>
        <w:tc>
          <w:tcPr>
            <w:tcW w:w="82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- 4 -</w:t>
      </w:r>
    </w:p>
    <w:p>
      <w:pPr>
        <w:spacing w:after="0" w:line="386" w:lineRule="exact"/>
        <w:rPr>
          <w:sz w:val="20"/>
          <w:szCs w:val="20"/>
          <w:color w:val="auto"/>
        </w:rPr>
      </w:pPr>
    </w:p>
    <w:p>
      <w:pPr>
        <w:jc w:val="center"/>
        <w:ind w:right="5840"/>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5840"/>
        <w:spacing w:after="0"/>
        <w:rPr>
          <w:sz w:val="20"/>
          <w:szCs w:val="20"/>
          <w:color w:val="auto"/>
        </w:rPr>
      </w:pPr>
      <w:r>
        <w:rPr>
          <w:rFonts w:ascii="Courier New" w:cs="Courier New" w:eastAsia="Courier New" w:hAnsi="Courier New"/>
          <w:sz w:val="12"/>
          <w:szCs w:val="12"/>
          <w:color w:val="auto"/>
        </w:rPr>
        <w:t>NOTES TO UNAUDITED CONDENSED INTERIM CONSOLIDATED</w:t>
      </w:r>
    </w:p>
    <w:p>
      <w:pPr>
        <w:sectPr>
          <w:pgSz w:w="11900" w:h="16838" w:orient="portrait"/>
          <w:cols w:equalWidth="0" w:num="1">
            <w:col w:w="11520"/>
          </w:cols>
          <w:pgMar w:left="220" w:top="137" w:right="159" w:bottom="0" w:gutter="0" w:footer="0" w:header="0"/>
        </w:sectPr>
      </w:pPr>
    </w:p>
    <w:bookmarkStart w:id="4" w:name="page5"/>
    <w:bookmarkEnd w:id="4"/>
    <w:p>
      <w:pPr>
        <w:jc w:val="center"/>
        <w:ind w:right="4619"/>
        <w:spacing w:after="0"/>
        <w:rPr>
          <w:sz w:val="20"/>
          <w:szCs w:val="20"/>
          <w:color w:val="auto"/>
        </w:rPr>
      </w:pPr>
      <w:r>
        <w:rPr>
          <w:rFonts w:ascii="Courier New" w:cs="Courier New" w:eastAsia="Courier New" w:hAnsi="Courier New"/>
          <w:sz w:val="12"/>
          <w:szCs w:val="12"/>
          <w:color w:val="auto"/>
        </w:rPr>
        <w:t>FINANCIAL STATEMENTS AS OF JUNE 30, 2007</w:t>
      </w:r>
    </w:p>
    <w:p>
      <w:pPr>
        <w:jc w:val="center"/>
        <w:ind w:right="4619"/>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w:t>
      </w:r>
    </w:p>
    <w:p>
      <w:pPr>
        <w:spacing w:after="0" w:line="134" w:lineRule="exact"/>
        <w:rPr>
          <w:sz w:val="20"/>
          <w:szCs w:val="20"/>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unaudited condensed interim consolidated financial statements as of June 30, 2007 and for the six months and three months then ended ("interim financial statements") of Tower Semiconductor Ltd. and subsidiary ("the Company") should be read in conjunction with the audited consolidated financial statements of the Company as of December 31, 2006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30" w:lineRule="exact"/>
        <w:rPr>
          <w:rFonts w:ascii="Courier New" w:cs="Courier New" w:eastAsia="Courier New" w:hAnsi="Courier New"/>
          <w:sz w:val="11"/>
          <w:szCs w:val="11"/>
          <w:color w:val="auto"/>
        </w:rPr>
      </w:pPr>
    </w:p>
    <w:p>
      <w:pPr>
        <w:ind w:left="1040" w:right="4619" w:hanging="345"/>
        <w:spacing w:after="0" w:line="261" w:lineRule="auto"/>
        <w:tabs>
          <w:tab w:leader="none" w:pos="1040" w:val="left"/>
        </w:tabs>
        <w:numPr>
          <w:ilvl w:val="1"/>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interim financial statements have been prepared in conformity with generally accepted accounting principles ("GAAP") in Israel ("Israeli GAAP"). The interim financial statements differ in certain respects from GAAP in the United States of America ("U.S. GAAP"), as indicated in Note 4. 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31" w:lineRule="exact"/>
        <w:rPr>
          <w:rFonts w:ascii="Courier New" w:cs="Courier New" w:eastAsia="Courier New" w:hAnsi="Courier New"/>
          <w:sz w:val="11"/>
          <w:szCs w:val="11"/>
          <w:color w:val="auto"/>
        </w:rPr>
      </w:pPr>
    </w:p>
    <w:p>
      <w:pPr>
        <w:ind w:left="1040" w:right="5119" w:hanging="345"/>
        <w:spacing w:after="0" w:line="235" w:lineRule="auto"/>
        <w:tabs>
          <w:tab w:leader="none" w:pos="104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9" w:lineRule="exact"/>
        <w:rPr>
          <w:rFonts w:ascii="Courier New" w:cs="Courier New" w:eastAsia="Courier New" w:hAnsi="Courier New"/>
          <w:sz w:val="12"/>
          <w:szCs w:val="12"/>
          <w:color w:val="auto"/>
        </w:rPr>
      </w:pPr>
    </w:p>
    <w:p>
      <w:pPr>
        <w:ind w:left="1400" w:right="5119" w:hanging="354"/>
        <w:spacing w:after="0" w:line="235" w:lineRule="auto"/>
        <w:tabs>
          <w:tab w:leader="none" w:pos="1400" w:val="left"/>
        </w:tabs>
        <w:numPr>
          <w:ilvl w:val="2"/>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9"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the Standard, an entity subject to the Israeli Securities Law and authoritative regulations thereunder (including dual listed companies), excluding foreign corporations, that do not prepare their financial statements in accordance with Israeli GAAP, as defined by the Israeli Securities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5119" w:hanging="354"/>
        <w:spacing w:after="0" w:line="273" w:lineRule="auto"/>
        <w:tabs>
          <w:tab w:leader="none" w:pos="1400" w:val="left"/>
        </w:tabs>
        <w:numPr>
          <w:ilvl w:val="2"/>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29 "ADOPTION OF INTERNATIONAL FINANCIAL REPORTING STANDARDS" (CONT.)</w:t>
      </w:r>
    </w:p>
    <w:p>
      <w:pPr>
        <w:spacing w:after="0" w:line="121" w:lineRule="exact"/>
        <w:rPr>
          <w:rFonts w:ascii="Courier New" w:cs="Courier New" w:eastAsia="Courier New" w:hAnsi="Courier New"/>
          <w:sz w:val="11"/>
          <w:szCs w:val="11"/>
          <w:color w:val="auto"/>
        </w:rPr>
      </w:pPr>
    </w:p>
    <w:p>
      <w:pPr>
        <w:ind w:left="1400" w:right="4619"/>
        <w:spacing w:after="0" w:line="261"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An entity adopting IFRS as of January 1, 2008 and electing to report comparative figures in accordance with the IFRS for only 2007, will be required, commencing in 2008, to prepare opening balance-sheet amounts as of January 1, 2007 based on the IFRS. 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 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263" w:lineRule="exact"/>
        <w:rPr>
          <w:rFonts w:ascii="Courier New" w:cs="Courier New" w:eastAsia="Courier New" w:hAnsi="Courier New"/>
          <w:sz w:val="11"/>
          <w:szCs w:val="11"/>
          <w:color w:val="auto"/>
        </w:rPr>
      </w:pPr>
    </w:p>
    <w:p>
      <w:pPr>
        <w:ind w:left="14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Company is in the process of examining the effect of the transition to IFRS on the Company's financial position and results of operations.</w:t>
      </w:r>
    </w:p>
    <w:p>
      <w:pPr>
        <w:spacing w:after="0" w:line="135" w:lineRule="exact"/>
        <w:rPr>
          <w:rFonts w:ascii="Courier New" w:cs="Courier New" w:eastAsia="Courier New" w:hAnsi="Courier New"/>
          <w:sz w:val="11"/>
          <w:szCs w:val="11"/>
          <w:color w:val="auto"/>
        </w:rPr>
      </w:pPr>
    </w:p>
    <w:p>
      <w:pPr>
        <w:ind w:left="1400" w:hanging="354"/>
        <w:spacing w:after="0"/>
        <w:tabs>
          <w:tab w:leader="none" w:pos="140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138"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Israeli Accounting Standards Board published Accounting Standard No. 26 - "Inventory" ("the Standard"), which outlines the accounting treatment for inventory. The Standard applies to all types of inventory, other than buildings earmarked for sale and addressed by Accounting Standard No.2 ("Construction of Buildings for Sale"), inventory of work in progress stemming from performance contracts, addressed by Accounting Standard No.4 ("Work Based on Performance Contract"), financial instruments and biological assets relating to agricultural activity and agricultural production during harvest.</w:t>
      </w:r>
    </w:p>
    <w:p>
      <w:pPr>
        <w:spacing w:after="0" w:line="144"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applies to financial statements covering periods beginning January 1, 2007 and onwards and should be implemented retroactively. The Standard did not affect the Company's financial position, results of operations and cash flows.</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38" w:orient="portrait"/>
          <w:cols w:equalWidth="0" w:num="1">
            <w:col w:w="10239"/>
          </w:cols>
          <w:pgMar w:left="220" w:top="137"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September 2006 the Israeli Accounting Standards Board published Accounting Standard No. 27 ("the Standard"), which establishes the accounting treatment for fixed assets, including recognition of assets, determination of their book value, related depreciation, losses from impairment as well as the disclosure required in the financial statements. The Standard states that a fixed-asset item will be measured at the initial recognition date at cost. The cost should also include the initial estimate of costs required to dismantle and remove the item.</w:t>
      </w:r>
    </w:p>
    <w:p>
      <w:pPr>
        <w:spacing w:after="0" w:line="131"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initial recognition, the Standard permits the entity to implement in its accounting policy the measurement of the fixed assets by the cost method or by revaluation so long as this policy is implemented in regard to all the items in that group.</w:t>
      </w:r>
    </w:p>
    <w:p>
      <w:pPr>
        <w:spacing w:after="0" w:line="139" w:lineRule="exact"/>
        <w:rPr>
          <w:rFonts w:ascii="Courier New" w:cs="Courier New" w:eastAsia="Courier New" w:hAnsi="Courier New"/>
          <w:sz w:val="12"/>
          <w:szCs w:val="12"/>
          <w:color w:val="auto"/>
        </w:rPr>
      </w:pPr>
    </w:p>
    <w:p>
      <w:pPr>
        <w:ind w:left="14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the cost method, an item will be presented at cost less accumulated depreciation net book value, less accumulated impairment losses.</w:t>
      </w:r>
    </w:p>
    <w:p>
      <w:pPr>
        <w:spacing w:after="0" w:line="139" w:lineRule="exact"/>
        <w:rPr>
          <w:rFonts w:ascii="Courier New" w:cs="Courier New" w:eastAsia="Courier New" w:hAnsi="Courier New"/>
          <w:sz w:val="12"/>
          <w:szCs w:val="12"/>
          <w:color w:val="auto"/>
        </w:rPr>
      </w:pPr>
    </w:p>
    <w:p>
      <w:pPr>
        <w:ind w:left="14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the revaluation method, an item whose fair value can be measured reliably will be presented at its estimated amount, which equals its fair value at the revaluation date, net of depreciation accumulated subsequently and less accumulated impairment losses. A resulting increase in an asset's value due to the revaluation should be allocated directly to shareholders' equity ("revaluation reserve").</w:t>
      </w:r>
    </w:p>
    <w:p>
      <w:pPr>
        <w:spacing w:after="0" w:line="128" w:lineRule="exact"/>
        <w:rPr>
          <w:rFonts w:ascii="Courier New" w:cs="Courier New" w:eastAsia="Courier New" w:hAnsi="Courier New"/>
          <w:sz w:val="12"/>
          <w:szCs w:val="12"/>
          <w:color w:val="auto"/>
        </w:rPr>
      </w:pPr>
    </w:p>
    <w:p>
      <w:pPr>
        <w:ind w:left="14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applies to financial statements covering periods beginning January 1, 2007 and onwards and is implemented retroactively. The Standard did not affect the Company's financial position or results of operations, except for reclassification in the balance sheet and cash flows report of spare parts from inventory to fixed assets.</w:t>
      </w:r>
    </w:p>
    <w:p>
      <w:pPr>
        <w:spacing w:after="0" w:line="129" w:lineRule="exact"/>
        <w:rPr>
          <w:rFonts w:ascii="Courier New" w:cs="Courier New" w:eastAsia="Courier New" w:hAnsi="Courier New"/>
          <w:sz w:val="12"/>
          <w:szCs w:val="12"/>
          <w:color w:val="auto"/>
        </w:rPr>
      </w:pPr>
    </w:p>
    <w:p>
      <w:pPr>
        <w:ind w:left="14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April 2007 the Israeli Accounting Standard Board published Standard No. 28 that amends Standard No. 27 to allow, at transition, the exemptions allowed under IFRS 1 regarding fixed assets.</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4899" w:hanging="354"/>
        <w:spacing w:after="0" w:line="273" w:lineRule="auto"/>
        <w:tabs>
          <w:tab w:leader="none" w:pos="1400" w:val="left"/>
        </w:tabs>
        <w:numPr>
          <w:ilvl w:val="2"/>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23, "ACCOUNTING FOR TRANSACTIONS BETWEEN AN ENTITY AND A CONTROLLING PARTY"</w:t>
      </w:r>
    </w:p>
    <w:p>
      <w:pPr>
        <w:spacing w:after="0" w:line="121" w:lineRule="exact"/>
        <w:rPr>
          <w:rFonts w:ascii="Courier New" w:cs="Courier New" w:eastAsia="Courier New" w:hAnsi="Courier New"/>
          <w:sz w:val="11"/>
          <w:szCs w:val="11"/>
          <w:color w:val="auto"/>
        </w:rPr>
      </w:pPr>
    </w:p>
    <w:p>
      <w:pPr>
        <w:ind w:left="140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December 2006 the Israeli Accounting Standards Board published Accounting Standard No. 23, "Accounting for Transactions between an Entity and a controlling party" ("the Standard"). The Standard applies to entities subject to the Israeli Securities Law-1968. The Standard establishes the requirements for accounting for transactions between an entity and its controlling party which involve the disposition of an asset, the taking on of a liability, reimbursement or debt concession, and the receiving of loans. The Standard does not apply to business combinations under common control. The Standard stipulates that transactions between an entity and a controlling party will be measured based on fair value; transactions which in nature are owner investments should be reported directly in equity and not be recognized in the controlled entity's profit and loss; the differences between the consideration set in transactions between an entity and a controlling party and their fair value will be allocated directly to equity; and current and deferred taxes pertaining to the items allocated to equity due to transactions with controlling parties will be allocated directly to equity as well.</w:t>
      </w:r>
    </w:p>
    <w:p>
      <w:pPr>
        <w:spacing w:after="0" w:line="141" w:lineRule="exact"/>
        <w:rPr>
          <w:rFonts w:ascii="Courier New" w:cs="Courier New" w:eastAsia="Courier New" w:hAnsi="Courier New"/>
          <w:sz w:val="11"/>
          <w:szCs w:val="11"/>
          <w:color w:val="auto"/>
        </w:rPr>
      </w:pPr>
    </w:p>
    <w:p>
      <w:pPr>
        <w:ind w:left="140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Standard applies to transactions between an entity and a controlling party taking place subsequent to January 1, 2007 and for loans granted from or given to a controlling party prior to the Standard's coming into effect, starting on the Standard's effective date. The Standard did not affect the Company's financial position, results of operations and cash flows.</w:t>
      </w:r>
    </w:p>
    <w:p>
      <w:pPr>
        <w:spacing w:after="0" w:line="136" w:lineRule="exact"/>
        <w:rPr>
          <w:rFonts w:ascii="Courier New" w:cs="Courier New" w:eastAsia="Courier New" w:hAnsi="Courier New"/>
          <w:sz w:val="11"/>
          <w:szCs w:val="11"/>
          <w:color w:val="auto"/>
        </w:rPr>
      </w:pPr>
    </w:p>
    <w:p>
      <w:pPr>
        <w:ind w:left="1400" w:hanging="354"/>
        <w:spacing w:after="0"/>
        <w:tabs>
          <w:tab w:leader="none" w:pos="1400" w:val="left"/>
        </w:tabs>
        <w:numPr>
          <w:ilvl w:val="2"/>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w:t>
      </w:r>
    </w:p>
    <w:p>
      <w:pPr>
        <w:spacing w:after="0" w:line="138" w:lineRule="exact"/>
        <w:rPr>
          <w:rFonts w:ascii="Courier New" w:cs="Courier New" w:eastAsia="Courier New" w:hAnsi="Courier New"/>
          <w:sz w:val="12"/>
          <w:szCs w:val="12"/>
          <w:color w:val="auto"/>
        </w:rPr>
      </w:pPr>
    </w:p>
    <w:p>
      <w:pPr>
        <w:ind w:left="14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March 2007, the Israeli Accounting Standards Board published Accounting Standard No. 30, "Intangible Assets" ("the Standard"), which sets the accounting treatment for intangible assets that are not covered by any other standard, as well as the disclosure requirements in the financial statements for the entity's intangible assets.</w:t>
      </w:r>
    </w:p>
    <w:p>
      <w:pPr>
        <w:spacing w:after="0" w:line="260"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ectPr>
          <w:pgSz w:w="11900" w:h="16838" w:orient="portrait"/>
          <w:cols w:equalWidth="0" w:num="1">
            <w:col w:w="10239"/>
          </w:cols>
          <w:pgMar w:left="220" w:top="137" w:right="1440" w:bottom="0" w:gutter="0" w:footer="0" w:header="0"/>
        </w:sectPr>
      </w:pPr>
    </w:p>
    <w:bookmarkStart w:id="6" w:name="page7"/>
    <w:bookmarkEnd w:id="6"/>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4899" w:hanging="354"/>
        <w:spacing w:after="0" w:line="469" w:lineRule="auto"/>
        <w:tabs>
          <w:tab w:leader="none" w:pos="1400" w:val="left"/>
        </w:tabs>
        <w:numPr>
          <w:ilvl w:val="2"/>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 (CONT.) According to the Standard:</w:t>
      </w:r>
    </w:p>
    <w:p>
      <w:pPr>
        <w:spacing w:after="0" w:line="4" w:lineRule="exact"/>
        <w:rPr>
          <w:rFonts w:ascii="Courier New" w:cs="Courier New" w:eastAsia="Courier New" w:hAnsi="Courier New"/>
          <w:sz w:val="12"/>
          <w:szCs w:val="12"/>
          <w:color w:val="auto"/>
        </w:rPr>
      </w:pPr>
    </w:p>
    <w:p>
      <w:pPr>
        <w:ind w:left="14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 intangible asset shall be measured initially at cost.</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Expenditures arising from research (or from the research phase of an internal project) shall not be recognized as an asset and should be expensed when incurred. An intangible asset arising from development (or from the development phase of an internal project) shall be recognized if, and only if, the criteria for recognition as an intangible asset in the Standard are met. Expenditure on an intangible item that was not recognized initially, shall not be recognized as part of the cost of an intangible asset at a later date.</w:t>
      </w:r>
    </w:p>
    <w:p>
      <w:pPr>
        <w:spacing w:after="0" w:line="131"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After initial recognition, an entity may choose to measure an intangible asset at its cost less any accumulated amortization and any accumulated impairment losses, or for an intangible asset that has an active market, as defined in the Standard, the intangible asset may be carried at a revalued amount, being its fair value at the date of the revaluation less any subsequent accumulated amortization and any subsequent accumulated impairment losses. An entity shall assess whether the useful life of an intangible asset is finite or indefinite. The amortization of an intangible asset with a finite useful life shall be over its useful life using a systematic basis. An intangible asset with an indefinite useful life shall not be amortized. Instead, an entity is required to test an intangible asset with an indefinite useful life for impairment by comparing its recoverable amount with its carrying amount annually, or whenever there is an indication that the intangible asset may be impaired.</w:t>
      </w:r>
    </w:p>
    <w:p>
      <w:pPr>
        <w:spacing w:after="0" w:line="140" w:lineRule="exact"/>
        <w:rPr>
          <w:rFonts w:ascii="Courier New" w:cs="Courier New" w:eastAsia="Courier New" w:hAnsi="Courier New"/>
          <w:sz w:val="12"/>
          <w:szCs w:val="12"/>
          <w:color w:val="auto"/>
        </w:rPr>
      </w:pPr>
    </w:p>
    <w:p>
      <w:pPr>
        <w:ind w:left="14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Standard shall apply to financial statements for annual periods beginning on or after January 1, 2007. The Standard did not affect the Company's financial position, results of operations and cash flows.</w:t>
      </w:r>
    </w:p>
    <w:p>
      <w:pPr>
        <w:spacing w:after="0" w:line="140" w:lineRule="exact"/>
        <w:rPr>
          <w:rFonts w:ascii="Courier New" w:cs="Courier New" w:eastAsia="Courier New" w:hAnsi="Courier New"/>
          <w:sz w:val="12"/>
          <w:szCs w:val="12"/>
          <w:color w:val="auto"/>
        </w:rPr>
      </w:pPr>
    </w:p>
    <w:p>
      <w:pPr>
        <w:ind w:left="1040" w:right="4839" w:hanging="345"/>
        <w:spacing w:after="0" w:line="235" w:lineRule="auto"/>
        <w:tabs>
          <w:tab w:leader="none" w:pos="1040"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amounts in prior years' financial statements have been reclassified in order to conform to 2007 presentation.</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4619" w:hanging="345"/>
        <w:spacing w:after="0" w:line="237" w:lineRule="auto"/>
        <w:tabs>
          <w:tab w:leader="none" w:pos="104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second quarter of 2007, the Company reassessed the estimated useful lives of its machinery and equipment and as a result, with effect from April 1, 2007, machinery and equipment is to be depreciated over estimated useful lives of 7 years rather than 5 years prior to such date. The change reflects the Company's best estimate of the useful lives of it equipment and was also based on experience accumulated from Fab 1 and on recent trends in industry practices. The Company believes that the change better reflects the economics associated with the ownership of the equipment. This change has been accounted for as a change in estimate and was applied prospectively.</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NEW FABRICATION FACILITY ("FAB 2")</w:t>
      </w:r>
    </w:p>
    <w:p>
      <w:pPr>
        <w:spacing w:after="0" w:line="138" w:lineRule="exact"/>
        <w:rPr>
          <w:rFonts w:ascii="Courier New" w:cs="Courier New" w:eastAsia="Courier New" w:hAnsi="Courier New"/>
          <w:sz w:val="12"/>
          <w:szCs w:val="12"/>
          <w:color w:val="auto"/>
        </w:rPr>
      </w:pPr>
    </w:p>
    <w:p>
      <w:pPr>
        <w:ind w:left="700" w:right="4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200-millimeter wafers. In connection with the establishment, equipping and financing of Fab 2, the Company has entered into several related agreements and other arrangements and since 2001 has completed public and private financing transactions. For additional information, see Note 11A to the 2006 audited consolidated financial statements.</w:t>
      </w:r>
    </w:p>
    <w:p>
      <w:pPr>
        <w:spacing w:after="0" w:line="127"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Fab 2 project is a complex undertaking, which entails substantial risks and uncertainties.</w:t>
      </w:r>
    </w:p>
    <w:p>
      <w:pPr>
        <w:spacing w:after="0" w:line="139"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further details concerning the Fab 2 project and related agreements, some of which were amended several times, see Note 11A to the 2006 audited consolidated financial statements.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and among them are the following:</w:t>
      </w:r>
    </w:p>
    <w:p>
      <w:pPr>
        <w:spacing w:after="0" w:line="139"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Since the second half of 2005, the Company increased its customer base, mainly in Fab 2, modified its organizational structure to better address its customers and its market positioning, increased its sales and its EBITDA, reduced its losses, increased its capacity level and utilization rates, raised funds totaling approximately $238,000 in gross proceeds, excluding the amounts described in Note 3B below (see Note 3 below and Notes 12C(2), 12I, 12J, and 12K to the 2006 audited consolidated financial statements) and restructured its bank debt (see Note 11A(6) to the 2006 audited consolidated financial statements).</w:t>
      </w:r>
    </w:p>
    <w:p>
      <w:pPr>
        <w:spacing w:after="0" w:line="262" w:lineRule="exact"/>
        <w:rPr>
          <w:rFonts w:ascii="Courier New" w:cs="Courier New" w:eastAsia="Courier New" w:hAnsi="Courier New"/>
          <w:sz w:val="12"/>
          <w:szCs w:val="12"/>
          <w:color w:val="auto"/>
        </w:rPr>
      </w:pPr>
    </w:p>
    <w:p>
      <w:pPr>
        <w:ind w:left="2740" w:hanging="149"/>
        <w:spacing w:after="0"/>
        <w:tabs>
          <w:tab w:leader="none" w:pos="2740" w:val="left"/>
        </w:tabs>
        <w:numPr>
          <w:ilvl w:val="2"/>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ectPr>
          <w:pgSz w:w="11900" w:h="16838" w:orient="portrait"/>
          <w:cols w:equalWidth="0" w:num="1">
            <w:col w:w="10239"/>
          </w:cols>
          <w:pgMar w:left="220" w:top="137" w:right="1440" w:bottom="0" w:gutter="0" w:footer="0" w:header="0"/>
        </w:sectPr>
      </w:pPr>
    </w:p>
    <w:bookmarkStart w:id="7" w:name="page8"/>
    <w:bookmarkEnd w:id="7"/>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 (CONT.)</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a plan to ramp up Fab 2's capacity to approximately 24,000 wafers per month in order to help meet customer needs and product qualification needs, based on the Company's customer pipeline and reinforced by forecasted market conditions. As of June 30, 2007, the Company is in advanced stages of the Fab 2 ramp-up plan.</w:t>
      </w:r>
    </w:p>
    <w:p>
      <w:pPr>
        <w:spacing w:after="0" w:line="140"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details regarding the financing efforts of the ramp-up plan, including the definitive amendment to the Company's facility agreement with two leading Israeli banks ("Banks") for the restructuring of its debt and the securities purchase agreement with Israel Corporation Ltd. ("TIC") according to which TIC invested $100,000 in the Company, which both closed in September 2006, see Notes 11A(6) and 11A(4) to the 2006 audited consolidated financial statements.</w:t>
      </w:r>
    </w:p>
    <w:p>
      <w:pPr>
        <w:spacing w:after="0" w:line="12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Further, the Company continues to examine alternatives for additional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funding sources in order to further ramp-up the equipping of Fab2,</w:t>
      </w:r>
    </w:p>
    <w:p>
      <w:pPr>
        <w:ind w:left="700"/>
        <w:spacing w:after="0"/>
        <w:rPr>
          <w:sz w:val="20"/>
          <w:szCs w:val="20"/>
          <w:color w:val="auto"/>
        </w:rPr>
      </w:pPr>
      <w:r>
        <w:rPr>
          <w:rFonts w:ascii="Courier New" w:cs="Courier New" w:eastAsia="Courier New" w:hAnsi="Courier New"/>
          <w:sz w:val="12"/>
          <w:szCs w:val="12"/>
          <w:color w:val="auto"/>
        </w:rPr>
        <w:t>including those described in Notes 3B and 3C below.</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INVENTORIES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3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rPr>
              <w:t>June 30,</w:t>
            </w:r>
          </w:p>
        </w:tc>
        <w:tc>
          <w:tcPr>
            <w:tcW w:w="6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1300" w:type="dxa"/>
            <w:vAlign w:val="bottom"/>
          </w:tcPr>
          <w:p>
            <w:pPr>
              <w:spacing w:after="0"/>
              <w:rPr>
                <w:sz w:val="11"/>
                <w:szCs w:val="11"/>
                <w:color w:val="auto"/>
              </w:rPr>
            </w:pPr>
          </w:p>
        </w:tc>
        <w:tc>
          <w:tcPr>
            <w:tcW w:w="18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135"/>
        </w:trPr>
        <w:tc>
          <w:tcPr>
            <w:tcW w:w="1300" w:type="dxa"/>
            <w:vAlign w:val="bottom"/>
          </w:tcPr>
          <w:p>
            <w:pPr>
              <w:spacing w:after="0"/>
              <w:rPr>
                <w:sz w:val="11"/>
                <w:szCs w:val="11"/>
                <w:color w:val="auto"/>
              </w:rPr>
            </w:pPr>
          </w:p>
        </w:tc>
        <w:tc>
          <w:tcPr>
            <w:tcW w:w="12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2007</w:t>
            </w: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2006</w:t>
            </w: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30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135"/>
        </w:trPr>
        <w:tc>
          <w:tcPr>
            <w:tcW w:w="1300" w:type="dxa"/>
            <w:vAlign w:val="bottom"/>
          </w:tcPr>
          <w:p>
            <w:pPr>
              <w:spacing w:after="0"/>
              <w:rPr>
                <w:sz w:val="11"/>
                <w:szCs w:val="11"/>
                <w:color w:val="auto"/>
              </w:rPr>
            </w:pPr>
          </w:p>
        </w:tc>
        <w:tc>
          <w:tcPr>
            <w:tcW w:w="1880" w:type="dxa"/>
            <w:vAlign w:val="bottom"/>
            <w:gridSpan w:val="2"/>
          </w:tcPr>
          <w:p>
            <w:pPr>
              <w:jc w:val="right"/>
              <w:ind w:right="461"/>
              <w:spacing w:after="0"/>
              <w:rPr>
                <w:sz w:val="20"/>
                <w:szCs w:val="20"/>
                <w:color w:val="auto"/>
              </w:rPr>
            </w:pPr>
            <w:r>
              <w:rPr>
                <w:rFonts w:ascii="Courier New" w:cs="Courier New" w:eastAsia="Courier New" w:hAnsi="Courier New"/>
                <w:sz w:val="12"/>
                <w:szCs w:val="12"/>
                <w:color w:val="auto"/>
              </w:rPr>
              <w:t>(unaudited)</w:t>
            </w:r>
          </w:p>
        </w:tc>
        <w:tc>
          <w:tcPr>
            <w:tcW w:w="1020" w:type="dxa"/>
            <w:vAlign w:val="bottom"/>
          </w:tcPr>
          <w:p>
            <w:pPr>
              <w:spacing w:after="0"/>
              <w:rPr>
                <w:sz w:val="11"/>
                <w:szCs w:val="11"/>
                <w:color w:val="auto"/>
              </w:rPr>
            </w:pPr>
          </w:p>
        </w:tc>
      </w:tr>
      <w:tr>
        <w:trPr>
          <w:trHeight w:val="270"/>
        </w:trPr>
        <w:tc>
          <w:tcPr>
            <w:tcW w:w="130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$12,461</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$ 8,287</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$11,234</w:t>
            </w:r>
          </w:p>
        </w:tc>
      </w:tr>
      <w:tr>
        <w:trPr>
          <w:trHeight w:val="135"/>
        </w:trPr>
        <w:tc>
          <w:tcPr>
            <w:tcW w:w="130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24,573</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19,956</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22,884</w:t>
            </w:r>
          </w:p>
        </w:tc>
      </w:tr>
      <w:tr>
        <w:trPr>
          <w:trHeight w:val="135"/>
        </w:trPr>
        <w:tc>
          <w:tcPr>
            <w:tcW w:w="130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657</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1,380</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645</w:t>
            </w:r>
          </w:p>
        </w:tc>
      </w:tr>
      <w:tr>
        <w:trPr>
          <w:trHeight w:val="135"/>
        </w:trPr>
        <w:tc>
          <w:tcPr>
            <w:tcW w:w="130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135"/>
        </w:trPr>
        <w:tc>
          <w:tcPr>
            <w:tcW w:w="130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$37,691</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$29,623</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130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19" w:hanging="357"/>
        <w:spacing w:after="0" w:line="236"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 downs to net realizable value of $1,989, $3,183 and $6,707 as of June 30, 2007, June 30, 2006 and December 31, 2006, respectively.</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w:t>
      </w:r>
    </w:p>
    <w:p>
      <w:pPr>
        <w:spacing w:after="0" w:line="139" w:lineRule="exact"/>
        <w:rPr>
          <w:sz w:val="20"/>
          <w:szCs w:val="20"/>
          <w:color w:val="auto"/>
        </w:rPr>
      </w:pPr>
    </w:p>
    <w:p>
      <w:pPr>
        <w:ind w:left="700" w:right="4699" w:hanging="357"/>
        <w:spacing w:after="0" w:line="260" w:lineRule="auto"/>
        <w:tabs>
          <w:tab w:leader="none" w:pos="700"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MARCH 2007 PRIVATE PLACEMENT IN THE US - 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warrants exercisable into approximately 9.4 million shares at an exercise price of $2.04 (subject to possible adjustments under certain circumstances), exercisable until March 15, 2012 ("Series I Warrants"), and short-term warrants exercisable into approximately</w:t>
      </w:r>
    </w:p>
    <w:p>
      <w:pPr>
        <w:spacing w:after="0" w:line="1" w:lineRule="exact"/>
        <w:rPr>
          <w:rFonts w:ascii="Courier New" w:cs="Courier New" w:eastAsia="Courier New" w:hAnsi="Courier New"/>
          <w:sz w:val="11"/>
          <w:szCs w:val="11"/>
          <w:color w:val="auto"/>
        </w:rPr>
      </w:pPr>
    </w:p>
    <w:p>
      <w:pPr>
        <w:ind w:left="70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18.8 million shares at an exercise price of $1.70, which was identical to the closing price of the Company's Ordinary Shares on the NASDAQ on the trading day immediately prior to the closing of the private placement ("Series II Warrants"), exercisable until December 31, 2007. Subject to certain conditions, the Company can compel the exercise of the Series II Warrants if during any 20 out of 30 consecutive trading days the closing price of the Company's shares on NASDAQ exceeds $2.12.</w:t>
      </w:r>
    </w:p>
    <w:p>
      <w:pPr>
        <w:spacing w:after="0" w:line="142" w:lineRule="exact"/>
        <w:rPr>
          <w:rFonts w:ascii="Courier New" w:cs="Courier New" w:eastAsia="Courier New" w:hAnsi="Courier New"/>
          <w:sz w:val="11"/>
          <w:szCs w:val="11"/>
          <w:color w:val="auto"/>
        </w:rPr>
      </w:pPr>
    </w:p>
    <w:p>
      <w:pPr>
        <w:jc w:val="both"/>
        <w:ind w:left="700" w:right="469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accordance with Standard No. 22 of Israeli GAAP, Series I Warrants have been initially classified as a liability and subsequently marked to market through profit and loss.</w:t>
      </w:r>
    </w:p>
    <w:p>
      <w:pPr>
        <w:spacing w:after="0" w:line="139" w:lineRule="exact"/>
        <w:rPr>
          <w:rFonts w:ascii="Courier New" w:cs="Courier New" w:eastAsia="Courier New" w:hAnsi="Courier New"/>
          <w:sz w:val="11"/>
          <w:szCs w:val="11"/>
          <w:color w:val="auto"/>
        </w:rPr>
      </w:pPr>
    </w:p>
    <w:p>
      <w:pPr>
        <w:ind w:left="700" w:right="475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See Note 4F for disclosure of the accounting treatment in accordance with U.S. GAAP.</w:t>
      </w:r>
    </w:p>
    <w:p>
      <w:pPr>
        <w:spacing w:after="0" w:line="139" w:lineRule="exact"/>
        <w:rPr>
          <w:rFonts w:ascii="Courier New" w:cs="Courier New" w:eastAsia="Courier New" w:hAnsi="Courier New"/>
          <w:sz w:val="11"/>
          <w:szCs w:val="11"/>
          <w:color w:val="auto"/>
        </w:rPr>
      </w:pPr>
    </w:p>
    <w:p>
      <w:pPr>
        <w:ind w:left="700" w:right="4619" w:hanging="357"/>
        <w:spacing w:after="0" w:line="238" w:lineRule="auto"/>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JUNE 2007 LONG-TERM BONDS FUND-RAISING IN ISRAEL - In June 2007, in a private placement with Israeli institutions of long-term convertible and non-convertible bonds and warrants, the Company received orders totaling a gross amount of approximately $40,000. In the funding, 342 units were sold, each comprised of: (i) long-term non-convertible-bonds, repayable in six equal annual installments between the dates of December 2011 and December 2016, with a face amount of NIS 250,000 (approximately $59.7) and carrying an annual interest rate of 8 percent; (ii) long-term convertible-bonds repayable in December 2012 with a 17.2 NIS conversion price (approximately $4.11) with a face amount of NIS 262,500 (approximately $62.7), carrying an annual interest of 8 percent, and (iii) 5,800 warrants, each exercisable for four years, for one Tower ordinary share at a price of $2.04 (approximately 8.54 NIS). The bonds are linked to the Israeli Consumer Price Index (CPI) and were issued at 95.5% of par value. The conversion and exercise prices are subject to reduction in certain limited circumstances. All figures in dollars are presented herein for convenience only, based on the exchange rate prevailing at the time of the private placement. Under Israeli securities laws, the securities were subject to a statutory lock-up. The Company undertook to file a prospectus with the Israel Securities Authority to allow for the unrestricted trade of the securities. The funds raised were held in escrow to be released to the Company if the prospectus is declared effective by the Israel Securities Authority within 90 days from the date of the offering.</w:t>
      </w:r>
    </w:p>
    <w:p>
      <w:pPr>
        <w:spacing w:after="0" w:line="273"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(CONT.)</w:t>
      </w:r>
    </w:p>
    <w:p>
      <w:pPr>
        <w:spacing w:after="0" w:line="134" w:lineRule="exact"/>
        <w:rPr>
          <w:sz w:val="20"/>
          <w:szCs w:val="20"/>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JUNE 2007 LONG-TERM BONDS FUND-RAISING IN ISRAEL (CONT.)</w:t>
      </w:r>
    </w:p>
    <w:p>
      <w:pPr>
        <w:spacing w:after="0" w:line="138" w:lineRule="exact"/>
        <w:rPr>
          <w:rFonts w:ascii="Courier New" w:cs="Courier New" w:eastAsia="Courier New" w:hAnsi="Courier New"/>
          <w:sz w:val="12"/>
          <w:szCs w:val="12"/>
          <w:color w:val="auto"/>
        </w:rPr>
      </w:pPr>
    </w:p>
    <w:p>
      <w:pPr>
        <w:ind w:left="7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event the prospectus was not declared effective by the Israel Securities Authority within such period, the investors would have had</w:t>
      </w:r>
    </w:p>
    <w:p>
      <w:pPr>
        <w:sectPr>
          <w:pgSz w:w="11900" w:h="16838" w:orient="portrait"/>
          <w:cols w:equalWidth="0" w:num="1">
            <w:col w:w="10239"/>
          </w:cols>
          <w:pgMar w:left="220" w:top="272" w:right="1440" w:bottom="0" w:gutter="0" w:footer="0" w:header="0"/>
        </w:sectPr>
      </w:pPr>
    </w:p>
    <w:bookmarkStart w:id="8" w:name="page9"/>
    <w:bookmarkEnd w:id="8"/>
    <w:p>
      <w:pPr>
        <w:ind w:left="700"/>
        <w:spacing w:after="0"/>
        <w:rPr>
          <w:sz w:val="20"/>
          <w:szCs w:val="20"/>
          <w:color w:val="auto"/>
        </w:rPr>
      </w:pPr>
      <w:r>
        <w:rPr>
          <w:rFonts w:ascii="Courier New" w:cs="Courier New" w:eastAsia="Courier New" w:hAnsi="Courier New"/>
          <w:sz w:val="12"/>
          <w:szCs w:val="12"/>
          <w:color w:val="auto"/>
        </w:rPr>
        <w:t>the option to receive back their investment.</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As of June 30, 2007, the proceeds were in escrow, and the Company was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not entitled to receive them, and as such, the proceeds are not</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recorded in the Company's balance sheet as cash or deposit or accounts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receivable balances as of June 30, 2007, and likewise, no obligation</w:t>
      </w:r>
    </w:p>
    <w:p>
      <w:pPr>
        <w:ind w:left="700"/>
        <w:spacing w:after="0"/>
        <w:rPr>
          <w:sz w:val="20"/>
          <w:szCs w:val="20"/>
          <w:color w:val="auto"/>
        </w:rPr>
      </w:pPr>
      <w:r>
        <w:rPr>
          <w:rFonts w:ascii="Courier New" w:cs="Courier New" w:eastAsia="Courier New" w:hAnsi="Courier New"/>
          <w:sz w:val="12"/>
          <w:szCs w:val="12"/>
          <w:color w:val="auto"/>
        </w:rPr>
        <w:t>to make repayment on account of the convertible and non-convertible</w:t>
      </w:r>
    </w:p>
    <w:p>
      <w:pPr>
        <w:ind w:left="700"/>
        <w:spacing w:after="0" w:line="237" w:lineRule="auto"/>
        <w:rPr>
          <w:sz w:val="20"/>
          <w:szCs w:val="20"/>
          <w:color w:val="auto"/>
        </w:rPr>
      </w:pPr>
      <w:r>
        <w:rPr>
          <w:rFonts w:ascii="Courier New" w:cs="Courier New" w:eastAsia="Courier New" w:hAnsi="Courier New"/>
          <w:sz w:val="12"/>
          <w:szCs w:val="12"/>
          <w:color w:val="auto"/>
        </w:rPr>
        <w:t>bonds was recorded by the Company in its balance sheet as long-term</w:t>
      </w:r>
    </w:p>
    <w:p>
      <w:pPr>
        <w:ind w:left="700"/>
        <w:spacing w:after="0"/>
        <w:rPr>
          <w:sz w:val="20"/>
          <w:szCs w:val="20"/>
          <w:color w:val="auto"/>
        </w:rPr>
      </w:pPr>
      <w:r>
        <w:rPr>
          <w:rFonts w:ascii="Courier New" w:cs="Courier New" w:eastAsia="Courier New" w:hAnsi="Courier New"/>
          <w:sz w:val="12"/>
          <w:szCs w:val="12"/>
          <w:color w:val="auto"/>
        </w:rPr>
        <w:t>liabilities as of June 30, 2007. In July 2007, the Company's</w:t>
      </w:r>
    </w:p>
    <w:p>
      <w:pPr>
        <w:ind w:left="700"/>
        <w:spacing w:after="0" w:line="237" w:lineRule="auto"/>
        <w:rPr>
          <w:sz w:val="20"/>
          <w:szCs w:val="20"/>
          <w:color w:val="auto"/>
        </w:rPr>
      </w:pPr>
      <w:r>
        <w:rPr>
          <w:rFonts w:ascii="Courier New" w:cs="Courier New" w:eastAsia="Courier New" w:hAnsi="Courier New"/>
          <w:sz w:val="12"/>
          <w:szCs w:val="12"/>
          <w:color w:val="auto"/>
        </w:rPr>
        <w:t>prospectus was declared effective by the Israel Securities Authority</w:t>
      </w:r>
    </w:p>
    <w:p>
      <w:pPr>
        <w:ind w:left="700"/>
        <w:spacing w:after="0"/>
        <w:rPr>
          <w:sz w:val="20"/>
          <w:szCs w:val="20"/>
          <w:color w:val="auto"/>
        </w:rPr>
      </w:pPr>
      <w:r>
        <w:rPr>
          <w:rFonts w:ascii="Courier New" w:cs="Courier New" w:eastAsia="Courier New" w:hAnsi="Courier New"/>
          <w:sz w:val="12"/>
          <w:szCs w:val="12"/>
          <w:color w:val="auto"/>
        </w:rPr>
        <w:t>and as such the securities issued in the private placement are no</w:t>
      </w:r>
    </w:p>
    <w:p>
      <w:pPr>
        <w:ind w:left="700"/>
        <w:spacing w:after="0" w:line="237" w:lineRule="auto"/>
        <w:rPr>
          <w:sz w:val="20"/>
          <w:szCs w:val="20"/>
          <w:color w:val="auto"/>
        </w:rPr>
      </w:pPr>
      <w:r>
        <w:rPr>
          <w:rFonts w:ascii="Courier New" w:cs="Courier New" w:eastAsia="Courier New" w:hAnsi="Courier New"/>
          <w:sz w:val="12"/>
          <w:szCs w:val="12"/>
          <w:color w:val="auto"/>
        </w:rPr>
        <w:t>longer subject to the statutory lock-up and in August 2007 the</w:t>
      </w:r>
    </w:p>
    <w:p>
      <w:pPr>
        <w:ind w:left="700"/>
        <w:spacing w:after="0"/>
        <w:rPr>
          <w:sz w:val="20"/>
          <w:szCs w:val="20"/>
          <w:color w:val="auto"/>
        </w:rPr>
      </w:pPr>
      <w:r>
        <w:rPr>
          <w:rFonts w:ascii="Courier New" w:cs="Courier New" w:eastAsia="Courier New" w:hAnsi="Courier New"/>
          <w:sz w:val="12"/>
          <w:szCs w:val="12"/>
          <w:color w:val="auto"/>
        </w:rPr>
        <w:t>proceeds raised were released to the Company. The prospectus also</w:t>
      </w:r>
    </w:p>
    <w:p>
      <w:pPr>
        <w:ind w:left="700"/>
        <w:spacing w:after="0" w:line="237" w:lineRule="auto"/>
        <w:rPr>
          <w:sz w:val="20"/>
          <w:szCs w:val="20"/>
          <w:color w:val="auto"/>
        </w:rPr>
      </w:pPr>
      <w:r>
        <w:rPr>
          <w:rFonts w:ascii="Courier New" w:cs="Courier New" w:eastAsia="Courier New" w:hAnsi="Courier New"/>
          <w:sz w:val="12"/>
          <w:szCs w:val="12"/>
          <w:color w:val="auto"/>
        </w:rPr>
        <w:t>contemplated a public offering of the same securities issued in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June 2007 private placement. The timing of and the amount and offering</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prices of such securities has yet to be determined.</w:t>
      </w:r>
    </w:p>
    <w:p>
      <w:pPr>
        <w:spacing w:after="0" w:line="139" w:lineRule="exact"/>
        <w:rPr>
          <w:sz w:val="20"/>
          <w:szCs w:val="20"/>
          <w:color w:val="auto"/>
        </w:rPr>
      </w:pPr>
    </w:p>
    <w:p>
      <w:pPr>
        <w:ind w:left="700" w:right="4619" w:hanging="357"/>
        <w:spacing w:after="0" w:line="261" w:lineRule="auto"/>
        <w:tabs>
          <w:tab w:leader="none" w:pos="700"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JULY 2007 LETTERS OF INTENT ("LOIS") - In July 2007, the Company concluded the signatures of LOIs with its lender banks, Bank Leumi and Bank Hapoalim, and with Israel Corporation, a major shareholder, to provide credit lines totaling up to $60,000, in order to secure the funding of equipment required for a ramp up plan the Company is considering to execute for Fab 2. Loans to be borrowed, if at all, under the credit lines will bear interest at an annual rate of LIBOR plus 3% and will be repayable by no later than March 2010. The LOIs are subject to the signing and closing of definitive agreements and the receipt of corporate approvals. They also contemplate that the Company will pay the banks and TIC customary fees, including issuing warrants for an aggregate amount of approximately 1.5% of the Company's fully diluted share capital with an exercise price of $2.04.</w:t>
      </w:r>
    </w:p>
    <w:p>
      <w:pPr>
        <w:spacing w:after="0" w:line="260" w:lineRule="exact"/>
        <w:rPr>
          <w:rFonts w:ascii="Courier New" w:cs="Courier New" w:eastAsia="Courier New" w:hAnsi="Courier New"/>
          <w:sz w:val="11"/>
          <w:szCs w:val="11"/>
          <w:color w:val="auto"/>
        </w:rPr>
      </w:pPr>
    </w:p>
    <w:p>
      <w:pPr>
        <w:ind w:left="2740" w:hanging="149"/>
        <w:spacing w:after="0"/>
        <w:tabs>
          <w:tab w:leader="none" w:pos="2740"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With regard to the Company's interim financial statements, the material differences between GAAP in Israel and in the U.S. relate to the following. See Note 4(I) below for the presentation of the Company's unaudited balance sheet as of June 30, 2007 in accordance with U.S. GAAP.</w:t>
      </w:r>
    </w:p>
    <w:p>
      <w:pPr>
        <w:spacing w:after="0" w:line="141" w:lineRule="exact"/>
        <w:rPr>
          <w:sz w:val="20"/>
          <w:szCs w:val="20"/>
          <w:color w:val="auto"/>
        </w:rPr>
      </w:pPr>
    </w:p>
    <w:p>
      <w:pPr>
        <w:ind w:left="700" w:right="6459" w:hanging="357"/>
        <w:spacing w:after="0" w:line="520" w:lineRule="auto"/>
        <w:tabs>
          <w:tab w:leader="none" w:pos="700"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RECENT ACCOUNTING PRONOUNCEMENTS BY THE FASB SFAS NO. 157, "FAIR VALUE MEASUREMENTS"</w:t>
      </w:r>
    </w:p>
    <w:p>
      <w:pPr>
        <w:ind w:left="7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September 2006, the FASB issued SFAS No. 157, "Fair Value Measurements" (SFAS No. 157). The purpose of SFAS No. 157 is to define fair value, establish a framework for measuring fair value, and enhance disclosures about fair value measurements.</w:t>
      </w:r>
    </w:p>
    <w:p>
      <w:pPr>
        <w:spacing w:after="0" w:line="140" w:lineRule="exact"/>
        <w:rPr>
          <w:rFonts w:ascii="Courier New" w:cs="Courier New" w:eastAsia="Courier New" w:hAnsi="Courier New"/>
          <w:sz w:val="11"/>
          <w:szCs w:val="11"/>
          <w:color w:val="auto"/>
        </w:rPr>
      </w:pPr>
    </w:p>
    <w:p>
      <w:pPr>
        <w:ind w:left="7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Company decided to early adopt the provisions of SFAS No. 157 effective January 1, 2007, concurrent with the adoption of FASB 159 "The Fair Value Option for Financial Assets and Financial Liabilities" (SFAS No. 159) see H below.</w:t>
      </w:r>
    </w:p>
    <w:p>
      <w:pPr>
        <w:spacing w:after="0" w:line="136" w:lineRule="exact"/>
        <w:rPr>
          <w:rFonts w:ascii="Courier New" w:cs="Courier New" w:eastAsia="Courier New" w:hAnsi="Courier New"/>
          <w:sz w:val="11"/>
          <w:szCs w:val="11"/>
          <w:color w:val="auto"/>
        </w:rPr>
      </w:pPr>
    </w:p>
    <w:p>
      <w:pPr>
        <w:ind w:left="700"/>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Fair Value Measurements on earnings as of June 30, 2007:</w:t>
      </w:r>
    </w:p>
    <w:p>
      <w:pPr>
        <w:spacing w:after="0" w:line="134" w:lineRule="exact"/>
        <w:rPr>
          <w:sz w:val="20"/>
          <w:szCs w:val="20"/>
          <w:color w:val="auto"/>
        </w:rPr>
      </w:pPr>
    </w:p>
    <w:p>
      <w:pPr>
        <w:ind w:left="1600"/>
        <w:spacing w:after="0"/>
        <w:rPr>
          <w:sz w:val="20"/>
          <w:szCs w:val="20"/>
          <w:color w:val="auto"/>
        </w:rPr>
      </w:pPr>
      <w:r>
        <w:rPr>
          <w:rFonts w:ascii="Courier New" w:cs="Courier New" w:eastAsia="Courier New" w:hAnsi="Courier New"/>
          <w:sz w:val="12"/>
          <w:szCs w:val="12"/>
          <w:color w:val="auto"/>
        </w:rPr>
        <w:t>Significant</w:t>
      </w:r>
    </w:p>
    <w:p>
      <w:pPr>
        <w:ind w:left="1600"/>
        <w:spacing w:after="0"/>
        <w:rPr>
          <w:sz w:val="20"/>
          <w:szCs w:val="20"/>
          <w:color w:val="auto"/>
        </w:rPr>
      </w:pPr>
      <w:r>
        <w:rPr>
          <w:rFonts w:ascii="Courier New" w:cs="Courier New" w:eastAsia="Courier New" w:hAnsi="Courier New"/>
          <w:sz w:val="12"/>
          <w:szCs w:val="12"/>
          <w:color w:val="auto"/>
        </w:rPr>
        <w:t>Unobservable</w:t>
      </w:r>
    </w:p>
    <w:p>
      <w:pPr>
        <w:ind w:left="1820"/>
        <w:spacing w:after="0" w:line="237" w:lineRule="auto"/>
        <w:rPr>
          <w:sz w:val="20"/>
          <w:szCs w:val="20"/>
          <w:color w:val="auto"/>
        </w:rPr>
      </w:pPr>
      <w:r>
        <w:rPr>
          <w:rFonts w:ascii="Courier New" w:cs="Courier New" w:eastAsia="Courier New" w:hAnsi="Courier New"/>
          <w:sz w:val="12"/>
          <w:szCs w:val="12"/>
          <w:color w:val="auto"/>
        </w:rPr>
        <w:t>Inputs</w:t>
      </w:r>
    </w:p>
    <w:p>
      <w:pPr>
        <w:ind w:left="174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39"/>
          </w:cols>
          <w:pgMar w:left="220" w:top="137" w:right="1440" w:bottom="0" w:gutter="0" w:footer="0" w:header="0"/>
        </w:sectPr>
      </w:pPr>
    </w:p>
    <w:p>
      <w:pPr>
        <w:spacing w:after="0" w:line="138" w:lineRule="exact"/>
        <w:rPr>
          <w:sz w:val="20"/>
          <w:szCs w:val="20"/>
          <w:color w:val="auto"/>
        </w:rPr>
      </w:pPr>
    </w:p>
    <w:p>
      <w:pPr>
        <w:spacing w:after="0" w:line="273" w:lineRule="auto"/>
        <w:rPr>
          <w:sz w:val="20"/>
          <w:szCs w:val="20"/>
          <w:color w:val="auto"/>
        </w:rPr>
      </w:pPr>
      <w:r>
        <w:rPr>
          <w:rFonts w:ascii="Courier New" w:cs="Courier New" w:eastAsia="Courier New" w:hAnsi="Courier New"/>
          <w:sz w:val="11"/>
          <w:szCs w:val="11"/>
          <w:color w:val="auto"/>
        </w:rPr>
        <w:t>Derivatives Facility Agreement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ind w:right="7919"/>
        <w:spacing w:after="0"/>
        <w:rPr>
          <w:sz w:val="20"/>
          <w:szCs w:val="20"/>
          <w:color w:val="auto"/>
        </w:rPr>
      </w:pPr>
      <w:r>
        <w:rPr>
          <w:rFonts w:ascii="Courier New" w:cs="Courier New" w:eastAsia="Courier New" w:hAnsi="Courier New"/>
          <w:sz w:val="12"/>
          <w:szCs w:val="12"/>
          <w:color w:val="auto"/>
        </w:rPr>
        <w:t>$ 20,342</w:t>
      </w:r>
    </w:p>
    <w:p>
      <w:pPr>
        <w:jc w:val="right"/>
        <w:ind w:right="7919"/>
        <w:spacing w:after="0"/>
        <w:rPr>
          <w:sz w:val="20"/>
          <w:szCs w:val="20"/>
          <w:color w:val="auto"/>
        </w:rPr>
      </w:pPr>
      <w:r>
        <w:rPr>
          <w:rFonts w:ascii="Courier New" w:cs="Courier New" w:eastAsia="Courier New" w:hAnsi="Courier New"/>
          <w:sz w:val="12"/>
          <w:szCs w:val="12"/>
          <w:color w:val="auto"/>
        </w:rPr>
        <w:t>358,904</w:t>
      </w:r>
    </w:p>
    <w:p>
      <w:pPr>
        <w:jc w:val="right"/>
        <w:ind w:right="7919"/>
        <w:spacing w:after="0" w:line="237" w:lineRule="auto"/>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sectPr>
          <w:pgSz w:w="11900" w:h="16838" w:orient="portrait"/>
          <w:cols w:equalWidth="0" w:num="2">
            <w:col w:w="1260" w:space="480"/>
            <w:col w:w="8499"/>
          </w:cols>
          <w:pgMar w:left="220" w:top="137"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$379,246</w:t>
      </w:r>
    </w:p>
    <w:p>
      <w:pPr>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sectPr>
          <w:pgSz w:w="11900" w:h="16838" w:orient="portrait"/>
          <w:cols w:equalWidth="0" w:num="2">
            <w:col w:w="1020" w:space="720"/>
            <w:col w:w="8499"/>
          </w:cols>
          <w:pgMar w:left="220" w:top="137" w:right="1440" w:bottom="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Fair Value Measurements Using Significant Unobservable Inputs:</w:t>
      </w:r>
    </w:p>
    <w:p>
      <w:pPr>
        <w:sectPr>
          <w:pgSz w:w="11900" w:h="16838" w:orient="portrait"/>
          <w:cols w:equalWidth="0" w:num="1">
            <w:col w:w="10239"/>
          </w:cols>
          <w:pgMar w:left="220" w:top="137" w:right="1440" w:bottom="0" w:gutter="0" w:footer="0" w:header="0"/>
          <w:type w:val="continuous"/>
        </w:sectPr>
      </w:pPr>
    </w:p>
    <w:p>
      <w:pPr>
        <w:spacing w:after="0" w:line="281" w:lineRule="exact"/>
        <w:rPr>
          <w:sz w:val="20"/>
          <w:szCs w:val="20"/>
          <w:color w:val="auto"/>
        </w:rPr>
      </w:pPr>
    </w:p>
    <w:p>
      <w:pPr>
        <w:ind w:left="2240"/>
        <w:spacing w:after="0"/>
        <w:rPr>
          <w:sz w:val="20"/>
          <w:szCs w:val="20"/>
          <w:color w:val="auto"/>
        </w:rPr>
      </w:pPr>
      <w:r>
        <w:rPr>
          <w:rFonts w:ascii="Courier New" w:cs="Courier New" w:eastAsia="Courier New" w:hAnsi="Courier New"/>
          <w:sz w:val="11"/>
          <w:szCs w:val="11"/>
          <w:color w:val="auto"/>
        </w:rPr>
        <w:t>Derivatives</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5" w:lineRule="exact"/>
        <w:rPr>
          <w:sz w:val="20"/>
          <w:szCs w:val="20"/>
          <w:color w:val="auto"/>
        </w:rPr>
      </w:pPr>
    </w:p>
    <w:p>
      <w:pPr>
        <w:sectPr>
          <w:pgSz w:w="11900" w:h="16838" w:orient="portrait"/>
          <w:cols w:equalWidth="0" w:num="3">
            <w:col w:w="3020" w:space="340"/>
            <w:col w:w="640" w:space="420"/>
            <w:col w:w="581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Beginning balance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$ 11,264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1"/>
          <w:szCs w:val="11"/>
          <w:color w:val="auto"/>
        </w:rPr>
        <w:t>357,108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368,372</w:t>
      </w:r>
    </w:p>
    <w:p>
      <w:pPr>
        <w:spacing w:after="0" w:line="10" w:lineRule="exact"/>
        <w:rPr>
          <w:sz w:val="20"/>
          <w:szCs w:val="20"/>
          <w:color w:val="auto"/>
        </w:rPr>
      </w:pPr>
    </w:p>
    <w:p>
      <w:pPr>
        <w:sectPr>
          <w:pgSz w:w="11900" w:h="16838" w:orient="portrait"/>
          <w:cols w:equalWidth="0" w:num="4">
            <w:col w:w="1600" w:space="720"/>
            <w:col w:w="560" w:space="560"/>
            <w:col w:w="480" w:space="560"/>
            <w:col w:w="575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Unrealized gains or losses</w:t>
      </w:r>
    </w:p>
    <w:p>
      <w:pPr>
        <w:sectPr>
          <w:pgSz w:w="11900" w:h="16838" w:orient="portrait"/>
          <w:cols w:equalWidth="0" w:num="1">
            <w:col w:w="10239"/>
          </w:cols>
          <w:pgMar w:left="220" w:top="137" w:right="1440" w:bottom="0" w:gutter="0" w:footer="0" w:header="0"/>
          <w:type w:val="continuous"/>
        </w:sectPr>
      </w:pPr>
    </w:p>
    <w:p>
      <w:pPr>
        <w:spacing w:after="0" w:line="10" w:lineRule="exact"/>
        <w:rPr>
          <w:sz w:val="20"/>
          <w:szCs w:val="20"/>
          <w:color w:val="auto"/>
        </w:rPr>
      </w:pPr>
    </w:p>
    <w:p>
      <w:pPr>
        <w:ind w:right="200"/>
        <w:spacing w:after="0" w:line="533" w:lineRule="auto"/>
        <w:rPr>
          <w:sz w:val="20"/>
          <w:szCs w:val="20"/>
          <w:color w:val="auto"/>
        </w:rPr>
      </w:pPr>
      <w:r>
        <w:rPr>
          <w:rFonts w:ascii="Courier New" w:cs="Courier New" w:eastAsia="Courier New" w:hAnsi="Courier New"/>
          <w:sz w:val="11"/>
          <w:szCs w:val="11"/>
          <w:color w:val="auto"/>
        </w:rPr>
        <w:t>included in earnings Ending balance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1"/>
          <w:szCs w:val="11"/>
          <w:color w:val="auto"/>
        </w:rPr>
        <w:t>9,078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$ 20,342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1"/>
          <w:szCs w:val="11"/>
          <w:color w:val="auto"/>
        </w:rPr>
        <w:t>1,796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$358,904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1"/>
          <w:szCs w:val="11"/>
          <w:color w:val="auto"/>
        </w:rPr>
        <w:t>10,874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$379,246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23" w:lineRule="exact"/>
        <w:rPr>
          <w:sz w:val="20"/>
          <w:szCs w:val="20"/>
          <w:color w:val="auto"/>
        </w:rPr>
      </w:pPr>
    </w:p>
    <w:p>
      <w:pPr>
        <w:sectPr>
          <w:pgSz w:w="11900" w:h="16838" w:orient="portrait"/>
          <w:cols w:equalWidth="0" w:num="4">
            <w:col w:w="1600" w:space="720"/>
            <w:col w:w="560" w:space="480"/>
            <w:col w:w="560" w:space="500"/>
            <w:col w:w="5819"/>
          </w:cols>
          <w:pgMar w:left="220" w:top="137" w:right="1440" w:bottom="0" w:gutter="0" w:footer="0" w:header="0"/>
          <w:type w:val="continuous"/>
        </w:sectPr>
      </w:pPr>
    </w:p>
    <w:p>
      <w:pPr>
        <w:spacing w:after="0" w:line="57"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- 14 -</w:t>
      </w:r>
    </w:p>
    <w:p>
      <w:pPr>
        <w:sectPr>
          <w:pgSz w:w="11900" w:h="16838" w:orient="portrait"/>
          <w:cols w:equalWidth="0" w:num="1">
            <w:col w:w="10239"/>
          </w:cols>
          <w:pgMar w:left="220" w:top="137" w:right="1440" w:bottom="0" w:gutter="0" w:footer="0" w:header="0"/>
          <w:type w:val="continuous"/>
        </w:sectPr>
      </w:pPr>
    </w:p>
    <w:p>
      <w:pPr>
        <w:spacing w:after="0" w:line="393"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159, "THE FAIR VALUE OPTION FOR FINANCIAL ASSETS AND FINANCIAL LIABILITIES"</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February 2007, the FASB issued SFAS No. 159, "The Fair Value Option for Financial Assets and Financial Liabilities" (SFAS No. 159). SFAS No. 159 permits companies to choose to measure certain financial instruments and certain other items at fair value. The standard requires that unrealized gains and losses on items for which the fair value option has been elected be reported in earnings. SFAS No. 159 is effective for the Company beginning in the first quarter of fiscal year 2008, although earlier adoption is permitted. The Company decided to early adopt the provisions of SFAS No. 159 effective January 1, 2007, and elected to carry at fair value the Facility agreement, see H below.</w:t>
      </w:r>
    </w:p>
    <w:p>
      <w:pPr>
        <w:spacing w:after="0" w:line="14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FIN NO. 48. ACCOUNTING FOR UNCERTAINTY IN INCOME TAXES</w:t>
      </w:r>
    </w:p>
    <w:p>
      <w:pPr>
        <w:spacing w:after="0" w:line="138" w:lineRule="exact"/>
        <w:rPr>
          <w:rFonts w:ascii="Courier New" w:cs="Courier New" w:eastAsia="Courier New" w:hAnsi="Courier New"/>
          <w:sz w:val="12"/>
          <w:szCs w:val="12"/>
          <w:color w:val="auto"/>
        </w:rPr>
      </w:pPr>
    </w:p>
    <w:p>
      <w:pPr>
        <w:ind w:left="7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On July 13, 2006, the FASB issued Interpretation No. 48, "Accounting for Uncertainty in Income Taxes - an interpretation of FASB Statement</w:t>
      </w:r>
    </w:p>
    <w:p>
      <w:pPr>
        <w:sectPr>
          <w:pgSz w:w="11900" w:h="16838" w:orient="portrait"/>
          <w:cols w:equalWidth="0" w:num="1">
            <w:col w:w="10239"/>
          </w:cols>
          <w:pgMar w:left="220" w:top="137" w:right="1440" w:bottom="0" w:gutter="0" w:footer="0" w:header="0"/>
          <w:type w:val="continuous"/>
        </w:sectPr>
      </w:pPr>
    </w:p>
    <w:bookmarkStart w:id="9" w:name="page10"/>
    <w:bookmarkEnd w:id="9"/>
    <w:p>
      <w:pPr>
        <w:ind w:left="700"/>
        <w:spacing w:after="0"/>
        <w:rPr>
          <w:sz w:val="20"/>
          <w:szCs w:val="20"/>
          <w:color w:val="auto"/>
        </w:rPr>
      </w:pPr>
      <w:r>
        <w:rPr>
          <w:rFonts w:ascii="Courier New" w:cs="Courier New" w:eastAsia="Courier New" w:hAnsi="Courier New"/>
          <w:sz w:val="11"/>
          <w:szCs w:val="11"/>
          <w:color w:val="auto"/>
        </w:rPr>
        <w:t>No. 109" ("FIN 48"), which clarifies the accounting for uncertainty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tax positions. This Interpretation requires recognition in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financial statements of the impact of a tax position, if that position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is more likely than not of being sustained on audit, based on the</w:t>
      </w:r>
    </w:p>
    <w:p>
      <w:pPr>
        <w:ind w:left="700"/>
        <w:spacing w:after="0"/>
        <w:rPr>
          <w:sz w:val="20"/>
          <w:szCs w:val="20"/>
          <w:color w:val="auto"/>
        </w:rPr>
      </w:pPr>
      <w:r>
        <w:rPr>
          <w:rFonts w:ascii="Courier New" w:cs="Courier New" w:eastAsia="Courier New" w:hAnsi="Courier New"/>
          <w:sz w:val="12"/>
          <w:szCs w:val="12"/>
          <w:color w:val="auto"/>
        </w:rPr>
        <w:t>technical merits of the position. A tax position that meets the</w:t>
      </w:r>
    </w:p>
    <w:p>
      <w:pPr>
        <w:ind w:left="700"/>
        <w:spacing w:after="0" w:line="237" w:lineRule="auto"/>
        <w:rPr>
          <w:sz w:val="20"/>
          <w:szCs w:val="20"/>
          <w:color w:val="auto"/>
        </w:rPr>
      </w:pPr>
      <w:r>
        <w:rPr>
          <w:rFonts w:ascii="Courier New" w:cs="Courier New" w:eastAsia="Courier New" w:hAnsi="Courier New"/>
          <w:sz w:val="12"/>
          <w:szCs w:val="12"/>
          <w:color w:val="auto"/>
        </w:rPr>
        <w:t>more-likely-than-not recognition threshold shall initially and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subsequently be measured as the largest amount of tax benefit that is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greater than 50 percent likely of being realized upon ultimate</w:t>
      </w:r>
    </w:p>
    <w:p>
      <w:pPr>
        <w:ind w:left="700"/>
        <w:spacing w:after="0"/>
        <w:rPr>
          <w:sz w:val="20"/>
          <w:szCs w:val="20"/>
          <w:color w:val="auto"/>
        </w:rPr>
      </w:pPr>
      <w:r>
        <w:rPr>
          <w:rFonts w:ascii="Courier New" w:cs="Courier New" w:eastAsia="Courier New" w:hAnsi="Courier New"/>
          <w:sz w:val="12"/>
          <w:szCs w:val="12"/>
          <w:color w:val="auto"/>
        </w:rPr>
        <w:t>settlement with a taxing authority that has full knowledge of all</w:t>
      </w:r>
    </w:p>
    <w:p>
      <w:pPr>
        <w:ind w:left="700"/>
        <w:spacing w:after="0" w:line="237" w:lineRule="auto"/>
        <w:rPr>
          <w:sz w:val="20"/>
          <w:szCs w:val="20"/>
          <w:color w:val="auto"/>
        </w:rPr>
      </w:pPr>
      <w:r>
        <w:rPr>
          <w:rFonts w:ascii="Courier New" w:cs="Courier New" w:eastAsia="Courier New" w:hAnsi="Courier New"/>
          <w:sz w:val="12"/>
          <w:szCs w:val="12"/>
          <w:color w:val="auto"/>
        </w:rPr>
        <w:t>relevant information. Measurement of a tax position that meets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more-likely-than-not recognition threshold shall consider the amounts</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and probabilities of the outcomes that could be realized upon ultimate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settlement using the facts, circumstances, and information available</w:t>
      </w:r>
    </w:p>
    <w:p>
      <w:pPr>
        <w:ind w:left="700"/>
        <w:spacing w:after="0"/>
        <w:rPr>
          <w:sz w:val="20"/>
          <w:szCs w:val="20"/>
          <w:color w:val="auto"/>
        </w:rPr>
      </w:pPr>
      <w:r>
        <w:rPr>
          <w:rFonts w:ascii="Courier New" w:cs="Courier New" w:eastAsia="Courier New" w:hAnsi="Courier New"/>
          <w:sz w:val="12"/>
          <w:szCs w:val="12"/>
          <w:color w:val="auto"/>
        </w:rPr>
        <w:t>at the reporting date.</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provisions of FIN 48 are effective for the 2007 fiscal year with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cumulative effect of the change in accounting principles recorded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an adjustment to the opening balance of retained earnings. FIN 48</w:t>
      </w:r>
    </w:p>
    <w:p>
      <w:pPr>
        <w:ind w:left="700"/>
        <w:spacing w:after="0"/>
        <w:rPr>
          <w:sz w:val="20"/>
          <w:szCs w:val="20"/>
          <w:color w:val="auto"/>
        </w:rPr>
      </w:pPr>
      <w:r>
        <w:rPr>
          <w:rFonts w:ascii="Courier New" w:cs="Courier New" w:eastAsia="Courier New" w:hAnsi="Courier New"/>
          <w:sz w:val="12"/>
          <w:szCs w:val="12"/>
          <w:color w:val="auto"/>
        </w:rPr>
        <w:t>did not have a material effect on the financial condition results of</w:t>
      </w:r>
    </w:p>
    <w:p>
      <w:pPr>
        <w:ind w:left="700"/>
        <w:spacing w:after="0" w:line="237" w:lineRule="auto"/>
        <w:rPr>
          <w:sz w:val="20"/>
          <w:szCs w:val="20"/>
          <w:color w:val="auto"/>
        </w:rPr>
      </w:pPr>
      <w:r>
        <w:rPr>
          <w:rFonts w:ascii="Courier New" w:cs="Courier New" w:eastAsia="Courier New" w:hAnsi="Courier New"/>
          <w:sz w:val="12"/>
          <w:szCs w:val="12"/>
          <w:color w:val="auto"/>
        </w:rPr>
        <w:t>operations, of the Company.</w:t>
      </w:r>
    </w:p>
    <w:p>
      <w:pPr>
        <w:spacing w:after="0" w:line="139" w:lineRule="exact"/>
        <w:rPr>
          <w:sz w:val="20"/>
          <w:szCs w:val="20"/>
          <w:color w:val="auto"/>
        </w:rPr>
      </w:pPr>
    </w:p>
    <w:p>
      <w:pPr>
        <w:ind w:left="700" w:right="5039" w:hanging="357"/>
        <w:spacing w:after="0" w:line="235" w:lineRule="auto"/>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 SEVERANCE PAY</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June 30, 2007, an amount of $12,849 was reclassified from other long-term liabilities as long-term investments.</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as amended and the related interpretations thereon as they apply to the Company's hedging transactions, as of June 30, 2007, such transactions would have resulted in: an increase in other long-term investments in the amount of $1,743; an accumulated other comprehensive income component of equity balance as of June 30, 2007 in the amount of $414 (as of December 31, 2006, an accumulated other comprehensive loss component of equity balance in the amount of $203) ; and in a decrease of $1,329 in property and equipment, net as of June 30, 2007.</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Accounting Principles Board Opinion No. 14 ("APB 14"), the proceeds from the sale of the securities in the Company's January 2002 Israeli public offering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 GAAP as of June 30, 2007 would have been $780. Commencing with the adoption of Standard No. 22 in January 2006, allocation of proceeds in a unit, to its components, is based on relative fair values under Israeli GAAP as well as under US GAAP.</w:t>
      </w:r>
    </w:p>
    <w:p>
      <w:pPr>
        <w:spacing w:after="0" w:line="264" w:lineRule="exact"/>
        <w:rPr>
          <w:rFonts w:ascii="Courier New" w:cs="Courier New" w:eastAsia="Courier New" w:hAnsi="Courier New"/>
          <w:sz w:val="12"/>
          <w:szCs w:val="12"/>
          <w:color w:val="auto"/>
        </w:rPr>
      </w:pPr>
    </w:p>
    <w:p>
      <w:pPr>
        <w:ind w:left="700" w:right="483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convertible debentures have to be evaluated to determine if they contain embedded derivative that warrant bifurcation. Conversion features embedded in convertible debentures will need to be evaluated as to whether they can be classified as equity based on the criteria established in EITF Issues 00-19 and</w:t>
      </w: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05-2. The Company evaluated the conversion features embedded in its debentures (i.e., sale of convertible debentures in 2002 - "2002 debentures", sale of convertible debentures in 2005 - "2005 debentures" and sale of convertible debentures in 2006 - "2006 debentures") and concluded that the conversion feature embedded in the 2005 and 2006 debentures warrant bifurcation while the conversion feature embedded in the 2002 debentures need not be separated.</w:t>
      </w:r>
    </w:p>
    <w:p>
      <w:pPr>
        <w:spacing w:after="0" w:line="12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2002 DEBENTURES: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$1,681, classified in equity under Israeli GAAP should have not been separated and was required to be included as part of the carrying amount of the debentures.</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16 -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 (CONT.)</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2005 AND 2006 DEBENTURES:</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equity component of the 2005 and 2006 debentures, in the amounts of $12,312 and $6,030 respectively, as of June 30, 2007, classified as equity under Israeli GAAP were reclassified to liabilities and the conversion features were bifurcated from the debt host and marked to market through earnings. The initial amount allocated to the bifurcated conversion features were determined using the "with and without" method based on the fair value of the embedded derivative prescribed in DIG Issue B6.</w:t>
      </w:r>
    </w:p>
    <w:p>
      <w:pPr>
        <w:spacing w:after="0" w:line="127" w:lineRule="exact"/>
        <w:rPr>
          <w:rFonts w:ascii="Courier New" w:cs="Courier New" w:eastAsia="Courier New" w:hAnsi="Courier New"/>
          <w:sz w:val="12"/>
          <w:szCs w:val="12"/>
          <w:color w:val="auto"/>
        </w:rPr>
      </w:pPr>
    </w:p>
    <w:p>
      <w:pPr>
        <w:ind w:left="7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All the above would have resulted, as of June 30, 2007, mainly in a decrease in convertible debentures in the amount of $5,987; an increase in the shareholder's equity in the amount of $6,723; and an</w:t>
      </w:r>
    </w:p>
    <w:p>
      <w:pPr>
        <w:sectPr>
          <w:pgSz w:w="11900" w:h="16838" w:orient="portrait"/>
          <w:cols w:equalWidth="0" w:num="1">
            <w:col w:w="10239"/>
          </w:cols>
          <w:pgMar w:left="220" w:top="141" w:right="1440" w:bottom="0" w:gutter="0" w:footer="0" w:header="0"/>
        </w:sectPr>
      </w:pPr>
    </w:p>
    <w:bookmarkStart w:id="10" w:name="page11"/>
    <w:bookmarkEnd w:id="10"/>
    <w:p>
      <w:pPr>
        <w:ind w:left="700"/>
        <w:spacing w:after="0"/>
        <w:rPr>
          <w:sz w:val="20"/>
          <w:szCs w:val="20"/>
          <w:color w:val="auto"/>
        </w:rPr>
      </w:pPr>
      <w:r>
        <w:rPr>
          <w:rFonts w:ascii="Courier New" w:cs="Courier New" w:eastAsia="Courier New" w:hAnsi="Courier New"/>
          <w:sz w:val="11"/>
          <w:szCs w:val="11"/>
          <w:color w:val="auto"/>
        </w:rPr>
        <w:t>increase in other assets in the amount of $736. The Company's loss 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six month period ended June 30, 2007 would have increased in the</w:t>
      </w:r>
    </w:p>
    <w:p>
      <w:pPr>
        <w:ind w:left="700"/>
        <w:spacing w:after="0"/>
        <w:rPr>
          <w:sz w:val="20"/>
          <w:szCs w:val="20"/>
          <w:color w:val="auto"/>
        </w:rPr>
      </w:pPr>
      <w:r>
        <w:rPr>
          <w:rFonts w:ascii="Courier New" w:cs="Courier New" w:eastAsia="Courier New" w:hAnsi="Courier New"/>
          <w:sz w:val="12"/>
          <w:szCs w:val="12"/>
          <w:color w:val="auto"/>
        </w:rPr>
        <w:t>amounts of $1,156.</w:t>
      </w:r>
    </w:p>
    <w:p>
      <w:pPr>
        <w:spacing w:after="0" w:line="133" w:lineRule="exact"/>
        <w:rPr>
          <w:sz w:val="20"/>
          <w:szCs w:val="20"/>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ISSUED WARRANTS PRESENTATION</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Company's series 5 warrants were initially recorded as liability due to the ratchet provision included in them. Upon the effective date of the prospectus filed in Israel registering such warrants, the ratchet expired and the series 5 warrants were eligible for equity classification based on the criteria in EITF 00-19.</w:t>
      </w:r>
    </w:p>
    <w:p>
      <w:pPr>
        <w:spacing w:after="0" w:line="140"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the above would have resulted as of June 30, 2007 mainly in a decrease in other long term liabilities and an increase in shareholder's equity in the amount of $1,817. The Company's loss for the six month period ended June 30, 2007 would have increased in the amount of $1,271.</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MARCH 2007 PRIVATE PLACEMENT OF ORDINARY SHARES AND WARRANTS</w:t>
      </w:r>
    </w:p>
    <w:p>
      <w:pPr>
        <w:spacing w:after="0" w:line="138"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all components in the private placement should be classified in equity. As of June 30, 2007 this difference will result in a decrease in liabilities and increase in shareholders equity in the amount of $3,074. The Company's loss for the six month period ended June 30, 2007 would have increased in the amount of $796.</w:t>
      </w:r>
    </w:p>
    <w:p>
      <w:pPr>
        <w:spacing w:after="0" w:line="123"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adopted, effective January 1, 2006, SFAS 123R according to which the compensation expense related to employee and directors share option awards would have resulted in an increase in the compensations expenses for the six month period ending June 30, 2007 in the amount of $618. The Company elected the modified prospective method as its transition method. The adoption of SFAS 123R for US GAAP along with the adoption of Standard no. 24 for Israeli GAAP, decreased the potential differences between US GAAP and Israeli GAAP as it related to stock based compensation.</w:t>
      </w:r>
    </w:p>
    <w:p>
      <w:pPr>
        <w:spacing w:after="0" w:line="273"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to the Company's facility agreement, which closed in September 2006, is considered troubled debt restructuring within the scope of FASB No. 15</w:t>
      </w: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BY DEBTORS AND CREDITORS FOR TROUBLED DEBT RESTRUCTURINGS which requires the following: (i) the amount considered settled for shares and classified in equity is based on the price per share as quoted at the closing date; (ii) the remaining balance after deduction of the amount used as proceeds for the share issuance in (i) above, will remain outstanding ; (iii) a new, lower effective interest rate will be calculated as the interest rate that equates future payments to the outstanding balance; and (iv) no gains or losses are recognized in the current period.</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first quarter of 2007 the Company decided to early adopt the provisions of SFAS No. 159 THE FAIR VALUE OPTION FOR FINANCIAL ASSETS AND FINANCIAL LIABILITIES. As required by the standard the Company also adopted the provisions of FASB 157 FAIR VALUE Measurements.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w:t>
      </w:r>
    </w:p>
    <w:p>
      <w:pPr>
        <w:spacing w:after="0" w:line="142"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effect of applying the fair value option to the facility agreement as of the January 1, 2007 was $65,207 which has been recorded as a cumulative effect adjustment to retained earnings (no tax effects have been recorded). The carrying amount of the facility agreement prior to the adoption was $432,430 and immediately after was $367,223. The Company reasoned it election of the fair value option for the facility agreement on the fact that the application of FASB 15 to the facility agreement did not reflect the economic benefits that has been achieved with the consummation of the facility agreement and that the application of the fair value reflect such benefits in more economic way. Also the adoption of the fair value option will decrease the GAAP difference that currently exist between Israeli GAAP and IFRS vs. the</w:t>
      </w: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US GAAP.</w:t>
      </w:r>
    </w:p>
    <w:p>
      <w:pPr>
        <w:spacing w:after="0" w:line="268"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w:t>
      </w:r>
    </w:p>
    <w:p>
      <w:pPr>
        <w:sectPr>
          <w:pgSz w:w="11900" w:h="16838" w:orient="portrait"/>
          <w:cols w:equalWidth="0" w:num="1">
            <w:col w:w="10239"/>
          </w:cols>
          <w:pgMar w:left="220" w:top="141" w:right="1440" w:bottom="0" w:gutter="0" w:footer="0" w:header="0"/>
        </w:sectPr>
      </w:pPr>
    </w:p>
    <w:bookmarkStart w:id="11" w:name="page12"/>
    <w:bookmarkEnd w:id="11"/>
    <w:p>
      <w:pPr>
        <w:ind w:left="700"/>
        <w:spacing w:after="0"/>
        <w:rPr>
          <w:sz w:val="20"/>
          <w:szCs w:val="20"/>
          <w:color w:val="auto"/>
        </w:rPr>
      </w:pPr>
      <w:r>
        <w:rPr>
          <w:rFonts w:ascii="Courier New" w:cs="Courier New" w:eastAsia="Courier New" w:hAnsi="Courier New"/>
          <w:sz w:val="12"/>
          <w:szCs w:val="12"/>
          <w:color w:val="auto"/>
        </w:rPr>
        <w:t>All the above resulted in a decrease of $8,912 in the shareholders</w:t>
      </w:r>
    </w:p>
    <w:p>
      <w:pPr>
        <w:ind w:left="700"/>
        <w:spacing w:after="0"/>
        <w:rPr>
          <w:sz w:val="20"/>
          <w:szCs w:val="20"/>
          <w:color w:val="auto"/>
        </w:rPr>
      </w:pPr>
      <w:r>
        <w:rPr>
          <w:rFonts w:ascii="Courier New" w:cs="Courier New" w:eastAsia="Courier New" w:hAnsi="Courier New"/>
          <w:sz w:val="12"/>
          <w:szCs w:val="12"/>
          <w:color w:val="auto"/>
        </w:rPr>
        <w:t>equity and an increase of the same amount in the long-term loans from</w:t>
      </w:r>
    </w:p>
    <w:p>
      <w:pPr>
        <w:ind w:left="700"/>
        <w:spacing w:after="0" w:line="237" w:lineRule="auto"/>
        <w:rPr>
          <w:sz w:val="20"/>
          <w:szCs w:val="20"/>
          <w:color w:val="auto"/>
        </w:rPr>
      </w:pPr>
      <w:r>
        <w:rPr>
          <w:rFonts w:ascii="Courier New" w:cs="Courier New" w:eastAsia="Courier New" w:hAnsi="Courier New"/>
          <w:sz w:val="12"/>
          <w:szCs w:val="12"/>
          <w:color w:val="auto"/>
        </w:rPr>
        <w:t>the banks as of June 30, 2007. The decrease in the shareholders equity</w:t>
      </w:r>
    </w:p>
    <w:p>
      <w:pPr>
        <w:ind w:left="700"/>
        <w:spacing w:after="0"/>
        <w:rPr>
          <w:sz w:val="20"/>
          <w:szCs w:val="20"/>
          <w:color w:val="auto"/>
        </w:rPr>
      </w:pPr>
      <w:r>
        <w:rPr>
          <w:rFonts w:ascii="Courier New" w:cs="Courier New" w:eastAsia="Courier New" w:hAnsi="Courier New"/>
          <w:sz w:val="12"/>
          <w:szCs w:val="12"/>
          <w:color w:val="auto"/>
        </w:rPr>
        <w:t>includes cumulative effect as of December 31, 2006, which decreased</w:t>
      </w:r>
    </w:p>
    <w:p>
      <w:pPr>
        <w:ind w:left="700"/>
        <w:spacing w:after="0" w:line="237" w:lineRule="auto"/>
        <w:rPr>
          <w:sz w:val="20"/>
          <w:szCs w:val="20"/>
          <w:color w:val="auto"/>
        </w:rPr>
      </w:pPr>
      <w:r>
        <w:rPr>
          <w:rFonts w:ascii="Courier New" w:cs="Courier New" w:eastAsia="Courier New" w:hAnsi="Courier New"/>
          <w:sz w:val="12"/>
          <w:szCs w:val="12"/>
          <w:color w:val="auto"/>
        </w:rPr>
        <w:t>the accumulated deficit in the amount of $65,207. The Company's loss</w:t>
      </w:r>
    </w:p>
    <w:p>
      <w:pPr>
        <w:ind w:left="700"/>
        <w:spacing w:after="0"/>
        <w:rPr>
          <w:sz w:val="20"/>
          <w:szCs w:val="20"/>
          <w:color w:val="auto"/>
        </w:rPr>
      </w:pPr>
      <w:r>
        <w:rPr>
          <w:rFonts w:ascii="Courier New" w:cs="Courier New" w:eastAsia="Courier New" w:hAnsi="Courier New"/>
          <w:sz w:val="12"/>
          <w:szCs w:val="12"/>
          <w:color w:val="auto"/>
        </w:rPr>
        <w:t>for six month period ended June 30, 2007 would have decreased in the</w:t>
      </w:r>
    </w:p>
    <w:p>
      <w:pPr>
        <w:ind w:left="700"/>
        <w:spacing w:after="0" w:line="237" w:lineRule="auto"/>
        <w:rPr>
          <w:sz w:val="20"/>
          <w:szCs w:val="20"/>
          <w:color w:val="auto"/>
        </w:rPr>
      </w:pPr>
      <w:r>
        <w:rPr>
          <w:rFonts w:ascii="Courier New" w:cs="Courier New" w:eastAsia="Courier New" w:hAnsi="Courier New"/>
          <w:sz w:val="12"/>
          <w:szCs w:val="12"/>
          <w:color w:val="auto"/>
        </w:rPr>
        <w:t>amount of $1,364.</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- 19 -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jc w:val="center"/>
        <w:ind w:right="4559"/>
        <w:spacing w:after="0" w:line="237" w:lineRule="auto"/>
        <w:rPr>
          <w:sz w:val="20"/>
          <w:szCs w:val="20"/>
          <w:color w:val="auto"/>
        </w:rPr>
      </w:pPr>
      <w:r>
        <w:rPr>
          <w:rFonts w:ascii="Courier New" w:cs="Courier New" w:eastAsia="Courier New" w:hAnsi="Courier New"/>
          <w:sz w:val="12"/>
          <w:szCs w:val="12"/>
          <w:color w:val="auto"/>
        </w:rPr>
        <w:t>FINANCIAL STATEMENTS AS OF JUNE 30,2007</w:t>
      </w:r>
    </w:p>
    <w:p>
      <w:pPr>
        <w:jc w:val="center"/>
        <w:ind w:right="4619"/>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 AND U.S. GAAP (Cont.)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ind w:left="340"/>
              <w:spacing w:after="0"/>
              <w:rPr>
                <w:sz w:val="20"/>
                <w:szCs w:val="20"/>
                <w:color w:val="auto"/>
              </w:rPr>
            </w:pPr>
            <w:r>
              <w:rPr>
                <w:rFonts w:ascii="Courier New" w:cs="Courier New" w:eastAsia="Courier New" w:hAnsi="Courier New"/>
                <w:sz w:val="12"/>
                <w:szCs w:val="12"/>
                <w:color w:val="auto"/>
              </w:rPr>
              <w:t>I.</w:t>
            </w:r>
          </w:p>
        </w:tc>
        <w:tc>
          <w:tcPr>
            <w:tcW w:w="3380" w:type="dxa"/>
            <w:vAlign w:val="bottom"/>
          </w:tcPr>
          <w:p>
            <w:pPr>
              <w:ind w:left="180"/>
              <w:spacing w:after="0"/>
              <w:rPr>
                <w:sz w:val="20"/>
                <w:szCs w:val="20"/>
                <w:color w:val="auto"/>
              </w:rPr>
            </w:pPr>
            <w:r>
              <w:rPr>
                <w:rFonts w:ascii="Courier New" w:cs="Courier New" w:eastAsia="Courier New" w:hAnsi="Courier New"/>
                <w:sz w:val="12"/>
                <w:szCs w:val="12"/>
                <w:color w:val="auto"/>
              </w:rPr>
              <w:t>Balance Sheets in accordance with U.S. GAAP</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5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740" w:type="dxa"/>
            <w:vAlign w:val="bottom"/>
            <w:gridSpan w:val="4"/>
          </w:tcPr>
          <w:p>
            <w:pPr>
              <w:jc w:val="center"/>
              <w:ind w:left="2"/>
              <w:spacing w:after="0"/>
              <w:rPr>
                <w:sz w:val="20"/>
                <w:szCs w:val="20"/>
                <w:color w:val="auto"/>
              </w:rPr>
            </w:pPr>
            <w:r>
              <w:rPr>
                <w:rFonts w:ascii="Courier New" w:cs="Courier New" w:eastAsia="Courier New" w:hAnsi="Courier New"/>
                <w:sz w:val="12"/>
                <w:szCs w:val="12"/>
                <w:color w:val="auto"/>
                <w:w w:val="96"/>
              </w:rPr>
              <w:t>AS OF JUNE 30, 2007</w:t>
            </w:r>
          </w:p>
        </w:tc>
        <w:tc>
          <w:tcPr>
            <w:tcW w:w="2620" w:type="dxa"/>
            <w:vAlign w:val="bottom"/>
            <w:gridSpan w:val="4"/>
          </w:tcPr>
          <w:p>
            <w:pPr>
              <w:jc w:val="right"/>
              <w:ind w:right="501"/>
              <w:spacing w:after="0"/>
              <w:rPr>
                <w:sz w:val="20"/>
                <w:szCs w:val="20"/>
                <w:color w:val="auto"/>
              </w:rPr>
            </w:pPr>
            <w:r>
              <w:rPr>
                <w:rFonts w:ascii="Courier New" w:cs="Courier New" w:eastAsia="Courier New" w:hAnsi="Courier New"/>
                <w:sz w:val="12"/>
                <w:szCs w:val="12"/>
                <w:color w:val="auto"/>
              </w:rPr>
              <w:t>AS OF DECEMBER 31, 2006</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2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U.S.</w:t>
            </w:r>
          </w:p>
        </w:tc>
        <w:tc>
          <w:tcPr>
            <w:tcW w:w="1020" w:type="dxa"/>
            <w:vAlign w:val="bottom"/>
          </w:tcPr>
          <w:p>
            <w:pPr>
              <w:jc w:val="right"/>
              <w:ind w:right="302"/>
              <w:spacing w:after="0"/>
              <w:rPr>
                <w:sz w:val="20"/>
                <w:szCs w:val="20"/>
                <w:color w:val="auto"/>
              </w:rPr>
            </w:pPr>
            <w:r>
              <w:rPr>
                <w:rFonts w:ascii="Courier New" w:cs="Courier New" w:eastAsia="Courier New" w:hAnsi="Courier New"/>
                <w:sz w:val="12"/>
                <w:szCs w:val="12"/>
                <w:color w:val="auto"/>
              </w:rPr>
              <w:t>AS PER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AS PER</w:t>
            </w:r>
          </w:p>
        </w:tc>
        <w:tc>
          <w:tcPr>
            <w:tcW w:w="9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AS PER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421"/>
              <w:spacing w:after="0"/>
              <w:rPr>
                <w:sz w:val="20"/>
                <w:szCs w:val="20"/>
                <w:color w:val="auto"/>
              </w:rPr>
            </w:pPr>
            <w:r>
              <w:rPr>
                <w:rFonts w:ascii="Courier New" w:cs="Courier New" w:eastAsia="Courier New" w:hAnsi="Courier New"/>
                <w:sz w:val="12"/>
                <w:szCs w:val="12"/>
                <w:color w:val="auto"/>
                <w:w w:val="92"/>
              </w:rPr>
              <w:t>AS PER</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GAAP</w:t>
            </w:r>
          </w:p>
        </w:tc>
        <w:tc>
          <w:tcPr>
            <w:tcW w:w="1020" w:type="dxa"/>
            <w:vAlign w:val="bottom"/>
          </w:tcPr>
          <w:p>
            <w:pPr>
              <w:jc w:val="right"/>
              <w:ind w:right="302"/>
              <w:spacing w:after="0"/>
              <w:rPr>
                <w:sz w:val="20"/>
                <w:szCs w:val="20"/>
                <w:color w:val="auto"/>
              </w:rPr>
            </w:pPr>
            <w:r>
              <w:rPr>
                <w:rFonts w:ascii="Courier New" w:cs="Courier New" w:eastAsia="Courier New" w:hAnsi="Courier New"/>
                <w:sz w:val="12"/>
                <w:szCs w:val="12"/>
                <w:color w:val="auto"/>
              </w:rPr>
              <w:t>ISRAELI</w:t>
            </w:r>
          </w:p>
        </w:tc>
        <w:tc>
          <w:tcPr>
            <w:tcW w:w="100" w:type="dxa"/>
            <w:vAlign w:val="bottom"/>
          </w:tcPr>
          <w:p>
            <w:pPr>
              <w:spacing w:after="0"/>
              <w:rPr>
                <w:sz w:val="11"/>
                <w:szCs w:val="11"/>
                <w:color w:val="auto"/>
              </w:rPr>
            </w:pPr>
          </w:p>
        </w:tc>
        <w:tc>
          <w:tcPr>
            <w:tcW w:w="70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5"/>
              </w:rPr>
              <w:t>ADJUST-</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U.S.</w:t>
            </w:r>
          </w:p>
        </w:tc>
        <w:tc>
          <w:tcPr>
            <w:tcW w:w="9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ISRAELI</w:t>
            </w:r>
          </w:p>
        </w:tc>
        <w:tc>
          <w:tcPr>
            <w:tcW w:w="18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ADJUST-</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U.S.</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7"/>
              </w:rPr>
              <w:t>REMARK</w:t>
            </w:r>
          </w:p>
        </w:tc>
        <w:tc>
          <w:tcPr>
            <w:tcW w:w="102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GAAP</w:t>
            </w:r>
          </w:p>
        </w:tc>
        <w:tc>
          <w:tcPr>
            <w:tcW w:w="100" w:type="dxa"/>
            <w:vAlign w:val="bottom"/>
          </w:tcPr>
          <w:p>
            <w:pPr>
              <w:spacing w:after="0"/>
              <w:rPr>
                <w:sz w:val="11"/>
                <w:szCs w:val="11"/>
                <w:color w:val="auto"/>
              </w:rPr>
            </w:pPr>
          </w:p>
        </w:tc>
        <w:tc>
          <w:tcPr>
            <w:tcW w:w="70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9"/>
              </w:rPr>
              <w:t>MENTS</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GAAP</w:t>
            </w:r>
          </w:p>
        </w:tc>
        <w:tc>
          <w:tcPr>
            <w:tcW w:w="9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GAAP</w:t>
            </w:r>
          </w:p>
        </w:tc>
        <w:tc>
          <w:tcPr>
            <w:tcW w:w="18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MENTS</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GAAP</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spacing w:after="0"/>
              <w:rPr>
                <w:sz w:val="20"/>
                <w:szCs w:val="20"/>
                <w:color w:val="auto"/>
              </w:rPr>
            </w:pPr>
            <w:r>
              <w:rPr>
                <w:rFonts w:ascii="Courier New" w:cs="Courier New" w:eastAsia="Courier New" w:hAnsi="Courier New"/>
                <w:sz w:val="12"/>
                <w:szCs w:val="12"/>
                <w:color w:val="auto"/>
              </w:rPr>
              <w:t>A S S E T 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CURRENT ASSETS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CASH AND CASH EQUIVALENTS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  20,723</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20,723</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39,710</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39,710</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SHORT-TERM INTEREST-BEARING DEPOSITS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1,230</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TRADE ACCOUNTS RECEIVABLE :</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RELATED PARTIES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22,955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22,955</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13,625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OTHERS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22,521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22,521</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17,873</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RECEIVABLES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2,769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2,769</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5,425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INVENTORIES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37,691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37,691</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34,763</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CURRENT ASSETS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1,465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1,465</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1,473</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CURRENT ASSETS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108,124</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108,124</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114,099</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B,C</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23"/>
                <w:szCs w:val="23"/>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14,592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14,592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15,325</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15,325</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PROPERTY AND EQUIPMENT, NET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C</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507,414</w:t>
            </w:r>
          </w:p>
        </w:tc>
        <w:tc>
          <w:tcPr>
            <w:tcW w:w="10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(1,329)</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506,085</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539,292</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(1,745)</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537,547</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INTANGIBLE ASSETS, NET</w:t>
            </w:r>
          </w:p>
        </w:tc>
        <w:tc>
          <w:tcPr>
            <w:tcW w:w="840" w:type="dxa"/>
            <w:vAlign w:val="bottom"/>
          </w:tcPr>
          <w:p>
            <w:pPr>
              <w:spacing w:after="0"/>
              <w:rPr>
                <w:sz w:val="23"/>
                <w:szCs w:val="23"/>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39,482</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39,482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44,981</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OTHER ASSETS, NET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D</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1,303</w:t>
            </w:r>
          </w:p>
        </w:tc>
        <w:tc>
          <w:tcPr>
            <w:tcW w:w="100" w:type="dxa"/>
            <w:vAlign w:val="bottom"/>
          </w:tcPr>
          <w:p>
            <w:pPr>
              <w:spacing w:after="0"/>
              <w:rPr>
                <w:sz w:val="23"/>
                <w:szCs w:val="23"/>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736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2,039</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1,346</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834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2,180</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20" w:type="dxa"/>
            <w:vAlign w:val="bottom"/>
          </w:tcPr>
          <w:p>
            <w:pPr>
              <w:spacing w:after="0"/>
              <w:rPr>
                <w:sz w:val="23"/>
                <w:szCs w:val="23"/>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ASSETS</w:t>
            </w:r>
          </w:p>
        </w:tc>
        <w:tc>
          <w:tcPr>
            <w:tcW w:w="840" w:type="dxa"/>
            <w:vAlign w:val="bottom"/>
          </w:tcPr>
          <w:p>
            <w:pPr>
              <w:spacing w:after="0"/>
              <w:rPr>
                <w:sz w:val="23"/>
                <w:szCs w:val="23"/>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$ 656,323</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13,999</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$ 670,322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$ 699,718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14,414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spacing w:after="0"/>
              <w:rPr>
                <w:sz w:val="20"/>
                <w:szCs w:val="20"/>
                <w:color w:val="auto"/>
              </w:rPr>
            </w:pPr>
            <w:r>
              <w:rPr>
                <w:rFonts w:ascii="Courier New" w:cs="Courier New" w:eastAsia="Courier New" w:hAnsi="Courier New"/>
                <w:sz w:val="12"/>
                <w:szCs w:val="12"/>
                <w:color w:val="auto"/>
              </w:rPr>
              <w:t>LIABILITIES AND</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35"/>
        </w:trPr>
        <w:tc>
          <w:tcPr>
            <w:tcW w:w="3900" w:type="dxa"/>
            <w:vAlign w:val="bottom"/>
            <w:gridSpan w:val="2"/>
          </w:tcPr>
          <w:p>
            <w:pPr>
              <w:spacing w:after="0"/>
              <w:rPr>
                <w:sz w:val="20"/>
                <w:szCs w:val="20"/>
                <w:color w:val="auto"/>
              </w:rPr>
            </w:pPr>
            <w:r>
              <w:rPr>
                <w:rFonts w:ascii="Courier New" w:cs="Courier New" w:eastAsia="Courier New" w:hAnsi="Courier New"/>
                <w:sz w:val="12"/>
                <w:szCs w:val="12"/>
                <w:color w:val="auto"/>
              </w:rPr>
              <w:t>SHAREHOLDERS' EQUITY</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CURRENT LIABILITIES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D</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6,611</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6,857</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6,632</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6,902</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TRADE ACCOUNTS PAYABLE</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55,922</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55,922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55,128</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CURRENT LIABILITIES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20,907</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20,907</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22,096</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CURRENT LIABILITIES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83,440</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83,686</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83,856</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84,126</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DEBT FROM BANKS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H</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360,689</w:t>
            </w:r>
          </w:p>
        </w:tc>
        <w:tc>
          <w:tcPr>
            <w:tcW w:w="100" w:type="dxa"/>
            <w:vAlign w:val="bottom"/>
          </w:tcPr>
          <w:p>
            <w:pPr>
              <w:spacing w:after="0"/>
              <w:rPr>
                <w:sz w:val="23"/>
                <w:szCs w:val="23"/>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8,912</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369,601</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356,947</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75,483</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432,430</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D</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58,609</w:t>
            </w:r>
          </w:p>
        </w:tc>
        <w:tc>
          <w:tcPr>
            <w:tcW w:w="10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(6,233)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52,376</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62,175</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21,688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83,863</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CUSTOMERS' ADVANCES</w:t>
            </w:r>
          </w:p>
        </w:tc>
        <w:tc>
          <w:tcPr>
            <w:tcW w:w="840" w:type="dxa"/>
            <w:vAlign w:val="bottom"/>
          </w:tcPr>
          <w:p>
            <w:pPr>
              <w:spacing w:after="0"/>
              <w:rPr>
                <w:sz w:val="23"/>
                <w:szCs w:val="23"/>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42,070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42,070</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46,042</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OTHER LONG-TERM LIABILITIES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4"/>
              </w:rPr>
              <w:t>B,E,F</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19,441</w:t>
            </w:r>
          </w:p>
        </w:tc>
        <w:tc>
          <w:tcPr>
            <w:tcW w:w="100" w:type="dxa"/>
            <w:vAlign w:val="bottom"/>
          </w:tcPr>
          <w:p>
            <w:pPr>
              <w:spacing w:after="0"/>
              <w:rPr>
                <w:sz w:val="23"/>
                <w:szCs w:val="23"/>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7,958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27,399</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17,708</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10,447</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LIABILITIES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564,249</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10,883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575,132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566,728</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107,888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674,616</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9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SHAREHOLDERS' EQUITY</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800,000,000, 500,000,000 AND 800,000,000 SHARES,</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RESPECTIVELY; ISSUED 123,495,958, 85,768,622</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AND 102,052,767 SHARES, RESPECTIVELY</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29,283</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29,283</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24,187</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24,187</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ADDITIONAL PAID-IN CAPITAL</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4"/>
              </w:rPr>
              <w:t>D,E,F</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586,265</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38,834</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625,099</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564,580</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6,404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570,984</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CAPITAL NOTES</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176,401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176,401</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176,401</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9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AND CUMULATIVE STOCK BASED COMPENSATION</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rPr>
              <w:t>D,G</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27,700</w:t>
            </w:r>
          </w:p>
        </w:tc>
        <w:tc>
          <w:tcPr>
            <w:tcW w:w="10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(17,893)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9,807</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23,576</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(18,706)</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4,870</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ACCUMULATED OTHER COMPREHENSIVE LOSS</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82"/>
              </w:rPr>
              <w:t>C</w:t>
            </w: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414</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414</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ACCUMULATED DEFICIT</w:t>
            </w:r>
          </w:p>
        </w:tc>
        <w:tc>
          <w:tcPr>
            <w:tcW w:w="840" w:type="dxa"/>
            <w:vAlign w:val="bottom"/>
          </w:tcPr>
          <w:p>
            <w:pPr>
              <w:jc w:val="center"/>
              <w:spacing w:after="0"/>
              <w:rPr>
                <w:sz w:val="20"/>
                <w:szCs w:val="20"/>
                <w:color w:val="auto"/>
              </w:rPr>
            </w:pPr>
            <w:r>
              <w:rPr>
                <w:rFonts w:ascii="Courier New" w:cs="Courier New" w:eastAsia="Courier New" w:hAnsi="Courier New"/>
                <w:sz w:val="12"/>
                <w:szCs w:val="12"/>
                <w:color w:val="auto"/>
                <w:w w:val="95"/>
              </w:rPr>
              <w:t>D,E,F,G,H</w:t>
            </w:r>
          </w:p>
        </w:tc>
        <w:tc>
          <w:tcPr>
            <w:tcW w:w="1020" w:type="dxa"/>
            <w:vAlign w:val="bottom"/>
          </w:tcPr>
          <w:p>
            <w:pPr>
              <w:jc w:val="right"/>
              <w:ind w:right="162"/>
              <w:spacing w:after="0"/>
              <w:rPr>
                <w:sz w:val="20"/>
                <w:szCs w:val="20"/>
                <w:color w:val="auto"/>
              </w:rPr>
            </w:pPr>
            <w:r>
              <w:rPr>
                <w:rFonts w:ascii="Courier New" w:cs="Courier New" w:eastAsia="Courier New" w:hAnsi="Courier New"/>
                <w:sz w:val="12"/>
                <w:szCs w:val="12"/>
                <w:color w:val="auto"/>
              </w:rPr>
              <w:t>(718,503)</w:t>
            </w:r>
          </w:p>
        </w:tc>
        <w:tc>
          <w:tcPr>
            <w:tcW w:w="100" w:type="dxa"/>
            <w:vAlign w:val="bottom"/>
          </w:tcPr>
          <w:p>
            <w:pPr>
              <w:spacing w:after="0"/>
              <w:rPr>
                <w:sz w:val="11"/>
                <w:szCs w:val="11"/>
                <w:color w:val="auto"/>
              </w:rPr>
            </w:pPr>
          </w:p>
        </w:tc>
        <w:tc>
          <w:tcPr>
            <w:tcW w:w="7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(18,239)</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(736,742)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(646,682)</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(80,969)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(727,651)</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101,146</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3,116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104,262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142,062</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(93,474)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48,588</w:t>
            </w:r>
          </w:p>
        </w:tc>
      </w:tr>
      <w:tr>
        <w:trPr>
          <w:trHeight w:val="135"/>
        </w:trPr>
        <w:tc>
          <w:tcPr>
            <w:tcW w:w="39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TREASURY STOCK, AT COST - 1,300,000 SHARES</w:t>
            </w:r>
          </w:p>
        </w:tc>
        <w:tc>
          <w:tcPr>
            <w:tcW w:w="840" w:type="dxa"/>
            <w:vAlign w:val="bottom"/>
          </w:tcPr>
          <w:p>
            <w:pPr>
              <w:spacing w:after="0"/>
              <w:rPr>
                <w:sz w:val="11"/>
                <w:szCs w:val="11"/>
                <w:color w:val="auto"/>
              </w:rPr>
            </w:pPr>
          </w:p>
        </w:tc>
        <w:tc>
          <w:tcPr>
            <w:tcW w:w="1020" w:type="dxa"/>
            <w:vAlign w:val="bottom"/>
          </w:tcPr>
          <w:p>
            <w:pPr>
              <w:jc w:val="right"/>
              <w:ind w:right="162"/>
              <w:spacing w:after="0"/>
              <w:rPr>
                <w:sz w:val="20"/>
                <w:szCs w:val="20"/>
                <w:color w:val="auto"/>
              </w:rPr>
            </w:pPr>
            <w:r>
              <w:rPr>
                <w:rFonts w:ascii="Courier New" w:cs="Courier New" w:eastAsia="Courier New" w:hAnsi="Courier New"/>
                <w:sz w:val="12"/>
                <w:szCs w:val="12"/>
                <w:color w:val="auto"/>
              </w:rPr>
              <w:t>(9,072)</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(9,072)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(9,072)</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SHAREHOLDERS' EQUITY</w:t>
            </w: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92,074</w:t>
            </w:r>
          </w:p>
        </w:tc>
        <w:tc>
          <w:tcPr>
            <w:tcW w:w="10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3,116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95,190</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132,990</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(93,474)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39,516</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20" w:type="dxa"/>
            <w:vAlign w:val="bottom"/>
          </w:tcPr>
          <w:p>
            <w:pPr>
              <w:spacing w:after="0"/>
              <w:rPr>
                <w:sz w:val="23"/>
                <w:szCs w:val="23"/>
                <w:color w:val="auto"/>
              </w:rPr>
            </w:pPr>
          </w:p>
        </w:tc>
        <w:tc>
          <w:tcPr>
            <w:tcW w:w="3380" w:type="dxa"/>
            <w:vAlign w:val="bottom"/>
          </w:tcPr>
          <w:p>
            <w:pPr>
              <w:ind w:left="4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840" w:type="dxa"/>
            <w:vAlign w:val="bottom"/>
          </w:tcPr>
          <w:p>
            <w:pPr>
              <w:spacing w:after="0"/>
              <w:rPr>
                <w:sz w:val="23"/>
                <w:szCs w:val="23"/>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$ 656,323</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13,999</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$ 670,322</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$ 699,718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14,414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right"/>
              <w:ind w:right="222"/>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2"/>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405"/>
        </w:trPr>
        <w:tc>
          <w:tcPr>
            <w:tcW w:w="520" w:type="dxa"/>
            <w:vAlign w:val="bottom"/>
          </w:tcPr>
          <w:p>
            <w:pPr>
              <w:spacing w:after="0"/>
              <w:rPr>
                <w:sz w:val="24"/>
                <w:szCs w:val="24"/>
                <w:color w:val="auto"/>
              </w:rPr>
            </w:pPr>
          </w:p>
        </w:tc>
        <w:tc>
          <w:tcPr>
            <w:tcW w:w="3380" w:type="dxa"/>
            <w:vAlign w:val="bottom"/>
          </w:tcPr>
          <w:p>
            <w:pPr>
              <w:ind w:left="2080"/>
              <w:spacing w:after="0"/>
              <w:rPr>
                <w:sz w:val="20"/>
                <w:szCs w:val="20"/>
                <w:color w:val="auto"/>
              </w:rPr>
            </w:pPr>
            <w:r>
              <w:rPr>
                <w:rFonts w:ascii="Courier New" w:cs="Courier New" w:eastAsia="Courier New" w:hAnsi="Courier New"/>
                <w:sz w:val="12"/>
                <w:szCs w:val="12"/>
                <w:color w:val="auto"/>
              </w:rPr>
              <w:t>- 20 -</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159 (H above), SFAS 133 (C above), APB 14 (D above) and SFAS 123R (G above) would have resulted in an increase in the loss for the six month period ended June 30, 2007 in the amount of $2,477. The loss for the six month period ended June 30, 2006 would have decreased in the amount of $1,007</w:t>
      </w:r>
    </w:p>
    <w:p>
      <w:pPr>
        <w:spacing w:after="0" w:line="135"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Giving effect to all the above, the loss for the six month periods</w:t>
      </w:r>
    </w:p>
    <w:p>
      <w:pPr>
        <w:sectPr>
          <w:pgSz w:w="11900" w:h="16838" w:orient="portrait"/>
          <w:cols w:equalWidth="0" w:num="1">
            <w:col w:w="10239"/>
          </w:cols>
          <w:pgMar w:left="220" w:top="137" w:right="1440" w:bottom="0" w:gutter="0" w:footer="0" w:header="0"/>
        </w:sectPr>
      </w:pPr>
    </w:p>
    <w:bookmarkStart w:id="12" w:name="page13"/>
    <w:bookmarkEnd w:id="12"/>
    <w:p>
      <w:pPr>
        <w:ind w:left="700"/>
        <w:spacing w:after="0"/>
        <w:rPr>
          <w:sz w:val="20"/>
          <w:szCs w:val="20"/>
          <w:color w:val="auto"/>
        </w:rPr>
      </w:pPr>
      <w:r>
        <w:rPr>
          <w:rFonts w:ascii="Courier New" w:cs="Courier New" w:eastAsia="Courier New" w:hAnsi="Courier New"/>
          <w:sz w:val="12"/>
          <w:szCs w:val="12"/>
          <w:color w:val="auto"/>
        </w:rPr>
        <w:t>ended June 30, 2007 and June 30, 2006 would be $74,298 and $87,725,</w:t>
      </w:r>
    </w:p>
    <w:p>
      <w:pPr>
        <w:ind w:left="700"/>
        <w:spacing w:after="0"/>
        <w:rPr>
          <w:sz w:val="20"/>
          <w:szCs w:val="20"/>
          <w:color w:val="auto"/>
        </w:rPr>
      </w:pPr>
      <w:r>
        <w:rPr>
          <w:rFonts w:ascii="Courier New" w:cs="Courier New" w:eastAsia="Courier New" w:hAnsi="Courier New"/>
          <w:sz w:val="12"/>
          <w:szCs w:val="12"/>
          <w:color w:val="auto"/>
        </w:rPr>
        <w:t>respectively.</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For the cumulative effect adjustment to retained earnings in the</w:t>
      </w:r>
    </w:p>
    <w:p>
      <w:pPr>
        <w:ind w:left="700"/>
        <w:spacing w:after="0"/>
        <w:rPr>
          <w:sz w:val="20"/>
          <w:szCs w:val="20"/>
          <w:color w:val="auto"/>
        </w:rPr>
      </w:pPr>
      <w:r>
        <w:rPr>
          <w:rFonts w:ascii="Courier New" w:cs="Courier New" w:eastAsia="Courier New" w:hAnsi="Courier New"/>
          <w:sz w:val="12"/>
          <w:szCs w:val="12"/>
          <w:color w:val="auto"/>
        </w:rPr>
        <w:t>amount of $65,207 following the early adoption of SFAS 159, See H</w:t>
      </w:r>
    </w:p>
    <w:p>
      <w:pPr>
        <w:ind w:left="700"/>
        <w:spacing w:after="0" w:line="237" w:lineRule="auto"/>
        <w:rPr>
          <w:sz w:val="20"/>
          <w:szCs w:val="20"/>
          <w:color w:val="auto"/>
        </w:rPr>
      </w:pPr>
      <w:r>
        <w:rPr>
          <w:rFonts w:ascii="Courier New" w:cs="Courier New" w:eastAsia="Courier New" w:hAnsi="Courier New"/>
          <w:sz w:val="12"/>
          <w:szCs w:val="12"/>
          <w:color w:val="auto"/>
        </w:rPr>
        <w:t>above</w:t>
      </w:r>
    </w:p>
    <w:p>
      <w:pPr>
        <w:spacing w:after="0" w:line="134" w:lineRule="exact"/>
        <w:rPr>
          <w:sz w:val="20"/>
          <w:szCs w:val="20"/>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39"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Six months ended</w:t>
      </w:r>
    </w:p>
    <w:p>
      <w:pPr>
        <w:ind w:left="3360"/>
        <w:spacing w:after="0"/>
        <w:rPr>
          <w:sz w:val="20"/>
          <w:szCs w:val="20"/>
          <w:color w:val="auto"/>
        </w:rPr>
      </w:pPr>
      <w:r>
        <w:rPr>
          <w:rFonts w:ascii="Courier New" w:cs="Courier New" w:eastAsia="Courier New" w:hAnsi="Courier New"/>
          <w:sz w:val="12"/>
          <w:szCs w:val="12"/>
          <w:color w:val="auto"/>
        </w:rPr>
        <w:t>------------------------</w:t>
      </w:r>
    </w:p>
    <w:p>
      <w:pPr>
        <w:ind w:left="3920"/>
        <w:spacing w:after="0" w:line="237" w:lineRule="auto"/>
        <w:rPr>
          <w:sz w:val="20"/>
          <w:szCs w:val="20"/>
          <w:color w:val="auto"/>
        </w:rPr>
      </w:pPr>
      <w:r>
        <w:rPr>
          <w:rFonts w:ascii="Courier New" w:cs="Courier New" w:eastAsia="Courier New" w:hAnsi="Courier New"/>
          <w:sz w:val="12"/>
          <w:szCs w:val="12"/>
          <w:color w:val="auto"/>
        </w:rPr>
        <w:t>June 30,</w:t>
      </w:r>
    </w:p>
    <w:p>
      <w:pPr>
        <w:ind w:left="3360"/>
        <w:spacing w:after="0"/>
        <w:rPr>
          <w:sz w:val="20"/>
          <w:szCs w:val="20"/>
          <w:color w:val="auto"/>
        </w:rPr>
      </w:pPr>
      <w:r>
        <w:rPr>
          <w:rFonts w:ascii="Courier New" w:cs="Courier New" w:eastAsia="Courier New" w:hAnsi="Courier New"/>
          <w:sz w:val="12"/>
          <w:szCs w:val="12"/>
          <w:color w:val="auto"/>
        </w:rPr>
        <w:t>------------------------</w:t>
      </w:r>
    </w:p>
    <w:p>
      <w:pPr>
        <w:ind w:left="3500"/>
        <w:spacing w:after="0" w:line="237" w:lineRule="auto"/>
        <w:tabs>
          <w:tab w:leader="none" w:pos="4600" w:val="left"/>
        </w:tabs>
        <w:rPr>
          <w:sz w:val="20"/>
          <w:szCs w:val="20"/>
          <w:color w:val="auto"/>
        </w:rPr>
      </w:pPr>
      <w:r>
        <w:rPr>
          <w:rFonts w:ascii="Courier New" w:cs="Courier New" w:eastAsia="Courier New" w:hAnsi="Courier New"/>
          <w:sz w:val="12"/>
          <w:szCs w:val="12"/>
          <w:color w:val="auto"/>
        </w:rPr>
        <w:t>2007</w:t>
      </w:r>
      <w:r>
        <w:rPr>
          <w:sz w:val="20"/>
          <w:szCs w:val="20"/>
          <w:color w:val="auto"/>
        </w:rPr>
        <w:tab/>
      </w:r>
      <w:r>
        <w:rPr>
          <w:rFonts w:ascii="Courier New" w:cs="Courier New" w:eastAsia="Courier New" w:hAnsi="Courier New"/>
          <w:sz w:val="12"/>
          <w:szCs w:val="12"/>
          <w:color w:val="auto"/>
        </w:rPr>
        <w:t>2006</w:t>
      </w:r>
    </w:p>
    <w:p>
      <w:pPr>
        <w:ind w:left="3360"/>
        <w:spacing w:after="0"/>
        <w:tabs>
          <w:tab w:leader="none" w:pos="44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ind w:left="3860"/>
        <w:spacing w:after="0" w:line="237" w:lineRule="auto"/>
        <w:rPr>
          <w:sz w:val="20"/>
          <w:szCs w:val="20"/>
          <w:color w:val="auto"/>
        </w:rPr>
      </w:pPr>
      <w:r>
        <w:rPr>
          <w:rFonts w:ascii="Courier New" w:cs="Courier New" w:eastAsia="Courier New" w:hAnsi="Courier New"/>
          <w:sz w:val="12"/>
          <w:szCs w:val="12"/>
          <w:color w:val="auto"/>
        </w:rPr>
        <w:t>(unaudited)</w:t>
      </w:r>
    </w:p>
    <w:p>
      <w:pPr>
        <w:sectPr>
          <w:pgSz w:w="11900" w:h="16838" w:orient="portrait"/>
          <w:cols w:equalWidth="0" w:num="1">
            <w:col w:w="10239"/>
          </w:cols>
          <w:pgMar w:left="220" w:top="137" w:right="1440" w:bottom="1440" w:gutter="0" w:footer="0" w:header="0"/>
        </w:sectPr>
      </w:pPr>
    </w:p>
    <w:p>
      <w:pPr>
        <w:spacing w:after="0" w:line="13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2"/>
          <w:szCs w:val="12"/>
          <w:color w:val="auto"/>
        </w:rPr>
        <w:t>Loss for the</w:t>
      </w:r>
      <w:r>
        <w:rPr>
          <w:sz w:val="20"/>
          <w:szCs w:val="20"/>
          <w:color w:val="auto"/>
        </w:rPr>
        <w:tab/>
      </w:r>
      <w:r>
        <w:rPr>
          <w:rFonts w:ascii="Courier New" w:cs="Courier New" w:eastAsia="Courier New" w:hAnsi="Courier New"/>
          <w:sz w:val="11"/>
          <w:szCs w:val="11"/>
          <w:color w:val="auto"/>
        </w:rPr>
        <w:t>period,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Courier New" w:cs="Courier New" w:eastAsia="Courier New" w:hAnsi="Courier New"/>
          <w:sz w:val="11"/>
          <w:szCs w:val="11"/>
          <w:color w:val="auto"/>
        </w:rPr>
        <w:t>according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 U.S.</w:t>
      </w:r>
    </w:p>
    <w:p>
      <w:pPr>
        <w:spacing w:after="0" w:line="10" w:lineRule="exact"/>
        <w:rPr>
          <w:sz w:val="20"/>
          <w:szCs w:val="20"/>
          <w:color w:val="auto"/>
        </w:rPr>
      </w:pPr>
    </w:p>
    <w:p>
      <w:pPr>
        <w:sectPr>
          <w:pgSz w:w="11900" w:h="16838" w:orient="portrait"/>
          <w:cols w:equalWidth="0" w:num="3">
            <w:col w:w="1460" w:space="140"/>
            <w:col w:w="640" w:space="140"/>
            <w:col w:w="7859"/>
          </w:cols>
          <w:pgMar w:left="220" w:top="137"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GAAP (see J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$(74,298)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$(87,725)</w:t>
      </w:r>
    </w:p>
    <w:p>
      <w:pPr>
        <w:spacing w:after="0" w:line="141" w:lineRule="exact"/>
        <w:rPr>
          <w:sz w:val="20"/>
          <w:szCs w:val="20"/>
          <w:color w:val="auto"/>
        </w:rPr>
      </w:pPr>
    </w:p>
    <w:p>
      <w:pPr>
        <w:sectPr>
          <w:pgSz w:w="11900" w:h="16838" w:orient="portrait"/>
          <w:cols w:equalWidth="0" w:num="3">
            <w:col w:w="2640" w:space="720"/>
            <w:col w:w="640" w:space="480"/>
            <w:col w:w="5759"/>
          </w:cols>
          <w:pgMar w:left="220" w:top="137"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Other comprehensive loss: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Reclassification of unrealized</w:t>
      </w:r>
    </w:p>
    <w:p>
      <w:pPr>
        <w:sectPr>
          <w:pgSz w:w="11900" w:h="16838" w:orient="portrait"/>
          <w:cols w:equalWidth="0" w:num="1">
            <w:col w:w="10239"/>
          </w:cols>
          <w:pgMar w:left="220" w:top="137" w:right="1440" w:bottom="1440" w:gutter="0" w:footer="0" w:header="0"/>
          <w:type w:val="continuous"/>
        </w:sectPr>
      </w:pPr>
    </w:p>
    <w:p>
      <w:pPr>
        <w:spacing w:after="0" w:line="10" w:lineRule="exact"/>
        <w:rPr>
          <w:sz w:val="20"/>
          <w:szCs w:val="20"/>
          <w:color w:val="auto"/>
        </w:rPr>
      </w:pPr>
    </w:p>
    <w:p>
      <w:pPr>
        <w:ind w:right="460"/>
        <w:spacing w:after="0" w:line="273" w:lineRule="auto"/>
        <w:rPr>
          <w:sz w:val="20"/>
          <w:szCs w:val="20"/>
          <w:color w:val="auto"/>
        </w:rPr>
      </w:pPr>
      <w:r>
        <w:rPr>
          <w:rFonts w:ascii="Courier New" w:cs="Courier New" w:eastAsia="Courier New" w:hAnsi="Courier New"/>
          <w:sz w:val="11"/>
          <w:szCs w:val="11"/>
          <w:color w:val="auto"/>
        </w:rPr>
        <w:t>losses on derivatives Unrealized gains on derivatives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2"/>
          <w:szCs w:val="12"/>
          <w:color w:val="auto"/>
        </w:rPr>
        <w:t>664</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(47)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5179"/>
        <w:spacing w:after="0"/>
        <w:rPr>
          <w:sz w:val="20"/>
          <w:szCs w:val="20"/>
          <w:color w:val="auto"/>
        </w:rPr>
      </w:pPr>
      <w:r>
        <w:rPr>
          <w:rFonts w:ascii="Courier New" w:cs="Courier New" w:eastAsia="Courier New" w:hAnsi="Courier New"/>
          <w:sz w:val="12"/>
          <w:szCs w:val="12"/>
          <w:color w:val="auto"/>
        </w:rPr>
        <w:t>664</w:t>
      </w:r>
    </w:p>
    <w:p>
      <w:pPr>
        <w:jc w:val="right"/>
        <w:ind w:right="5179"/>
        <w:spacing w:after="0"/>
        <w:rPr>
          <w:sz w:val="20"/>
          <w:szCs w:val="20"/>
          <w:color w:val="auto"/>
        </w:rPr>
      </w:pPr>
      <w:r>
        <w:rPr>
          <w:rFonts w:ascii="Courier New" w:cs="Courier New" w:eastAsia="Courier New" w:hAnsi="Courier New"/>
          <w:sz w:val="12"/>
          <w:szCs w:val="12"/>
          <w:color w:val="auto"/>
        </w:rPr>
        <w:t>1,245</w:t>
      </w:r>
    </w:p>
    <w:p>
      <w:pPr>
        <w:jc w:val="right"/>
        <w:ind w:right="5179"/>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3">
            <w:col w:w="2640" w:space="720"/>
            <w:col w:w="640" w:space="480"/>
            <w:col w:w="5759"/>
          </w:cols>
          <w:pgMar w:left="220" w:top="137"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Net comprehensive loss for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$(73,681)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$(85,816)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2640" w:space="720"/>
            <w:col w:w="640" w:space="480"/>
            <w:col w:w="5759"/>
          </w:cols>
          <w:pgMar w:left="220" w:top="137" w:right="1440" w:bottom="1440" w:gutter="0" w:footer="0" w:header="0"/>
          <w:type w:val="continuous"/>
        </w:sectPr>
      </w:pPr>
    </w:p>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- 21 -</w:t>
      </w:r>
    </w:p>
    <w:p>
      <w:pPr>
        <w:sectPr>
          <w:pgSz w:w="11900" w:h="16838" w:orient="portrait"/>
          <w:cols w:equalWidth="0" w:num="1">
            <w:col w:w="10239"/>
          </w:cols>
          <w:pgMar w:left="220" w:top="137" w:right="1440" w:bottom="1440" w:gutter="0" w:footer="0" w:header="0"/>
          <w:type w:val="continuous"/>
        </w:sectPr>
      </w:pPr>
    </w:p>
    <w:p>
      <w:pPr>
        <w:spacing w:after="0" w:line="393"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400"/>
        <w:spacing w:after="0" w:line="237" w:lineRule="auto"/>
        <w:rPr>
          <w:sz w:val="20"/>
          <w:szCs w:val="20"/>
          <w:color w:val="auto"/>
        </w:rPr>
      </w:pPr>
      <w:r>
        <w:rPr>
          <w:rFonts w:ascii="Courier New" w:cs="Courier New" w:eastAsia="Courier New" w:hAnsi="Courier New"/>
          <w:sz w:val="12"/>
          <w:szCs w:val="12"/>
          <w:color w:val="auto"/>
        </w:rPr>
        <w:t>FINANCIAL STATEMENTS AS OF JUNE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IN ACCORDANCE WITH U.S. GAAP (SFAS 128)</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128, the basic and diluted loss per share for the six-month and the three-month periods ended June 30, 2007 would be $0.65 and $0.28, respectively (during the corresponding periods - $1.16 and $0.60, respectively).</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the six-month period ended June 30, 2007 and 2006.</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22 -</w:t>
      </w:r>
    </w:p>
    <w:p>
      <w:pPr>
        <w:sectPr>
          <w:pgSz w:w="11900" w:h="16838" w:orient="portrait"/>
          <w:cols w:equalWidth="0" w:num="1">
            <w:col w:w="10239"/>
          </w:cols>
          <w:pgMar w:left="220" w:top="137" w:right="1440" w:bottom="1440" w:gutter="0" w:footer="0" w:header="0"/>
          <w:type w:val="continuous"/>
        </w:sectPr>
      </w:pPr>
    </w:p>
    <w:bookmarkStart w:id="13" w:name="page14"/>
    <w:bookmarkEnd w:id="13"/>
    <w:p>
      <w:pPr>
        <w:jc w:val="center"/>
        <w:ind w:right="-140"/>
        <w:spacing w:after="0"/>
        <w:rPr>
          <w:sz w:val="20"/>
          <w:szCs w:val="20"/>
          <w:color w:val="auto"/>
        </w:rPr>
      </w:pPr>
      <w:r>
        <w:rPr>
          <w:rFonts w:ascii="Courier New" w:cs="Courier New" w:eastAsia="Courier New" w:hAnsi="Courier New"/>
          <w:sz w:val="11"/>
          <w:szCs w:val="11"/>
          <w:color w:val="auto"/>
        </w:rPr>
        <w:t>EXHIBIT 99.2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MANAGEMENT'S DISCUSSION AND ANALYSIS OF FINANCIAL</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(1) OUR UNAUDITED CONDENSED INTERIM CONSOLIDATED FINANCIAL STATEMENTS AS OF JUNE 30, 2007 AND FOR THE SIX MONTHS THEN ENDED AND RELATED NOTES INCLUDED IN THIS REPORT; AND (2) OUR AUDITED CONSOLIDATED FINANCIAL STATEMENTS AND RELATED NOTES INCLUDED IN OUR ANNUAL REPORT ON FORM 20-F FOR THE YEAR ENDED DECEMBER 31, 2006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4 TO OUR UNAUDITED CONDENSED INTERIM CONSOLIDATED FINANCIAL STATEMENTS AS OF JUNE 30, 2007 AND IN NOTE 19 TO OUR AUDITED CONSOLIDATED FINANCIAL STATEMENTS AS OF DECEMBER 31, 2006.</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jc w:val="both"/>
        <w:ind w:right="4839" w:firstLine="351"/>
        <w:spacing w:after="0" w:line="235"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40" w:type="dxa"/>
            <w:vAlign w:val="bottom"/>
          </w:tcPr>
          <w:p>
            <w:pPr>
              <w:spacing w:after="0"/>
              <w:rPr>
                <w:sz w:val="11"/>
                <w:szCs w:val="11"/>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SIX MONTHS ENDED</w:t>
            </w:r>
          </w:p>
        </w:tc>
      </w:tr>
      <w:tr>
        <w:trPr>
          <w:trHeight w:val="135"/>
        </w:trPr>
        <w:tc>
          <w:tcPr>
            <w:tcW w:w="2840" w:type="dxa"/>
            <w:vAlign w:val="bottom"/>
          </w:tcPr>
          <w:p>
            <w:pPr>
              <w:spacing w:after="0"/>
              <w:rPr>
                <w:sz w:val="11"/>
                <w:szCs w:val="11"/>
                <w:color w:val="auto"/>
              </w:rPr>
            </w:pPr>
          </w:p>
        </w:tc>
        <w:tc>
          <w:tcPr>
            <w:tcW w:w="158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JUNE 30,</w:t>
            </w:r>
          </w:p>
        </w:tc>
      </w:tr>
      <w:tr>
        <w:trPr>
          <w:trHeight w:val="135"/>
        </w:trPr>
        <w:tc>
          <w:tcPr>
            <w:tcW w:w="2840" w:type="dxa"/>
            <w:vAlign w:val="bottom"/>
          </w:tcPr>
          <w:p>
            <w:pPr>
              <w:spacing w:after="0"/>
              <w:rPr>
                <w:sz w:val="11"/>
                <w:szCs w:val="11"/>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2007</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11"/>
                <w:szCs w:val="11"/>
                <w:color w:val="auto"/>
              </w:rPr>
            </w:pPr>
          </w:p>
        </w:tc>
        <w:tc>
          <w:tcPr>
            <w:tcW w:w="15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(UNAUDITED)</w:t>
            </w:r>
          </w:p>
        </w:tc>
      </w:tr>
      <w:tr>
        <w:trPr>
          <w:trHeight w:val="135"/>
        </w:trPr>
        <w:tc>
          <w:tcPr>
            <w:tcW w:w="2840" w:type="dxa"/>
            <w:vAlign w:val="bottom"/>
          </w:tcPr>
          <w:p>
            <w:pPr>
              <w:spacing w:after="0"/>
              <w:rPr>
                <w:sz w:val="11"/>
                <w:szCs w:val="11"/>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270"/>
        </w:trPr>
        <w:tc>
          <w:tcPr>
            <w:tcW w:w="28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8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100.0%</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126.8</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157.2</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(26.8)</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(57.2)</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6.2</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8.6</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13.5</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13.4</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(46.5)</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(79.2)</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(17.3)</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(31.8)</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0.1</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0.7</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(63.7)%</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(110.3)%</w:t>
            </w:r>
          </w:p>
        </w:tc>
      </w:tr>
      <w:tr>
        <w:trPr>
          <w:trHeight w:val="135"/>
        </w:trPr>
        <w:tc>
          <w:tcPr>
            <w:tcW w:w="284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SIX MONTHS ENDED JUNE 30, 2007 COMPARED TO SIX MONTHS ENDED JUNE 30, 2006</w:t>
      </w:r>
    </w:p>
    <w:p>
      <w:pPr>
        <w:spacing w:after="0" w:line="139" w:lineRule="exact"/>
        <w:rPr>
          <w:sz w:val="20"/>
          <w:szCs w:val="20"/>
          <w:color w:val="auto"/>
        </w:rPr>
      </w:pPr>
    </w:p>
    <w:p>
      <w:pPr>
        <w:jc w:val="both"/>
        <w:ind w:right="4839" w:firstLine="351"/>
        <w:spacing w:after="0" w:line="236" w:lineRule="auto"/>
        <w:rPr>
          <w:sz w:val="20"/>
          <w:szCs w:val="20"/>
          <w:color w:val="auto"/>
        </w:rPr>
      </w:pPr>
      <w:r>
        <w:rPr>
          <w:rFonts w:ascii="Courier New" w:cs="Courier New" w:eastAsia="Courier New" w:hAnsi="Courier New"/>
          <w:sz w:val="12"/>
          <w:szCs w:val="12"/>
          <w:color w:val="auto"/>
        </w:rPr>
        <w:t>REVENUES. Revenues for the six months ended June 30, 2007 increased by 40.1% to $112.7 million from $80.4 million for the six months ended June 30, 2006. This $32.3 million increase was mainly attributed to a higher volume of wafer shipments.</w:t>
      </w:r>
    </w:p>
    <w:p>
      <w:pPr>
        <w:spacing w:after="0" w:line="14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COST OF TOTAL REVENUES. Cost of total revenues for the six months ended June 30, 2007 amounted to $142.9 million, compared with $126.4 million for the six months ended June 30, 2006. This increase of 13% in cost of revenues, which is relatively low in relation to the 40% increase in sales, was mainly achieved due to (i) the Company's cost structure, according to which the Company has reasonable margins for each incremental dollar of revenue and (ii) a reduction in depreciation and amortization expenses, as described as follows. During the second quarter of 2007, the Company reassessed the estimated useful lives of its machinery and equipment and as a result, with effect from April 1, 2007, its machinery and equipment is to be depreciated over estimated useful lives of 7 years rather than 5 years prior to such date. The change reflects the Company's best estimate of the useful lives of its machinery and equipment and was based on experience accumulated from Fab 1 and recent trends in industry practices. The Company believes that the change better reflects the economics associated with the ownership of the equipment. This change has been accounted for as a change in estimate and was applied prospectively. Total depreciation and amortization expenses included in Cost of Total Revenues was approximately $70 million for the six months ended June 30, 2007, as compared to approximately $76 million for the six months ended June 30, 2006; said reduction was mainly attributed to the aforementioned change, which was partially offset by approximately $5 million of higher depreciation expenses relating to new capital expenditure items for which depreciation commenced during 2007.</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GROSS LOSS. Gross loss for the six months ended June 30, 2007 was $30.2 million, compared to a gross loss of $46.0 million for the six months ended June 30, 2006. The decrease in gross loss was mainly attributable to the 40% increase in sales as compared to a 13% increase in Cost of Total Sales as described above.</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RESEARCH AND DEVELOPMENT EXPENSES. Research and development expenses for the six months ended June 30, 2007 amounted to $7 million, compared to a similar amount for the six months ended June 30, 2006.</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six months ended June 30, 2007 amounted to $15.2 million, compared to $10.8 million for the six months ended June 30, 2006. The increase is primarily due to stock based compensation expenses and increased expenses deriving directly from the higher revenues mentioned above.</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six months ended June 30, 2007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$52.3 million, compared to $63.7 million for the six months ended June 30, 2006.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gross loss described above.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FINANCING EXPENSES, NET. Financing expenses, net, for the six months ended June 30, 2007 were $19.6 million, compared to financing expenses, net, of $25.6 million for the six months ended June 30, 2006. This decrease is mainly due to a decrease of $7.2 million in connection with the consummation of the debt restructuring with our banks in September 2006, pursuant to which, approximately 30% of our then outstanding loans were converted into capital notes and the interest rate applicable to the interest payments was decreased to LIBOR + 1.1%, compared to LIBOR + 2.5%, and due to the increase in the exchange rate of the dollar in relation to the NIS which caused a decrease in the dollar amount of our NIS denominated outstanding convertible debt (see below for more details on currency fluctuations). This decrease was offset by an increase of $2.5 million in the discount amortization on our convertible debentures which resulted mainly from the issuance of a new series of convertible debentures in June 2006.</w:t>
      </w:r>
    </w:p>
    <w:p>
      <w:pPr>
        <w:spacing w:after="0" w:line="12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INCOME, NET. Other income, net, for the six months ended June 30,</w:t>
      </w:r>
    </w:p>
    <w:p>
      <w:pPr>
        <w:sectPr>
          <w:pgSz w:w="11900" w:h="16838" w:orient="portrait"/>
          <w:cols w:equalWidth="0" w:num="1">
            <w:col w:w="10239"/>
          </w:cols>
          <w:pgMar w:left="220" w:top="411" w:right="1440" w:bottom="0" w:gutter="0" w:footer="0" w:header="0"/>
        </w:sectPr>
      </w:pPr>
    </w:p>
    <w:bookmarkStart w:id="14" w:name="page15"/>
    <w:bookmarkEnd w:id="14"/>
    <w:p>
      <w:pPr>
        <w:ind w:left="8"/>
        <w:spacing w:after="0"/>
        <w:rPr>
          <w:sz w:val="20"/>
          <w:szCs w:val="20"/>
          <w:color w:val="auto"/>
        </w:rPr>
      </w:pPr>
      <w:r>
        <w:rPr>
          <w:rFonts w:ascii="Courier New" w:cs="Courier New" w:eastAsia="Courier New" w:hAnsi="Courier New"/>
          <w:sz w:val="12"/>
          <w:szCs w:val="12"/>
          <w:color w:val="auto"/>
        </w:rPr>
        <w:t>2007 was $0.01 million, compared to $0.6 million for the six months ended June</w:t>
      </w:r>
    </w:p>
    <w:p>
      <w:pPr>
        <w:ind w:left="8"/>
        <w:spacing w:after="0"/>
        <w:rPr>
          <w:sz w:val="20"/>
          <w:szCs w:val="20"/>
          <w:color w:val="auto"/>
        </w:rPr>
      </w:pPr>
      <w:r>
        <w:rPr>
          <w:rFonts w:ascii="Courier New" w:cs="Courier New" w:eastAsia="Courier New" w:hAnsi="Courier New"/>
          <w:sz w:val="12"/>
          <w:szCs w:val="12"/>
          <w:color w:val="auto"/>
        </w:rPr>
        <w:t>30, 2006.</w:t>
      </w:r>
    </w:p>
    <w:p>
      <w:pPr>
        <w:spacing w:after="0" w:line="138"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LOSS. Our loss for the six months ended June 30, 2007 was $71.8 million, compared to $88.7 million for the six months ended June 30, 2006. This decrease is primarily attributable to the decrease in the operating loss of $11.4 million and a $6 million decrease in finance expenses.</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a change in valuation of the NIS in relation to the dollar. During the six months ended June 30, 2007, the exchange rate of the dollar in relation to the NIS increased by 0.6%, and the Israeli Consumer Price Index ("CPI") increased by 1%. (During the six months ended June 30, 2006, there was a decrease of 3.5% in the exchange rate of the dollar in relation to the NIS and an increase of 1.5% in the CPI.)</w:t>
      </w:r>
    </w:p>
    <w:p>
      <w:pPr>
        <w:spacing w:after="0" w:line="142"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41"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Almost all of the cash generated from our operations, and our financing and investing activities is denominated in U.S. dollars and NIS. Our expenses and costs are denominated in NIS, U.S. dollars, Japanese Yen and Euros. We are, therefore, exposed to the risk of currency exchange rate fluctuations.</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As of June 30, 2007, we had an aggregate of $20.7 million in cash and cash equivalents. This compares to $11.5 million we had as of June 30, 2006 in cash, cash equivalents and short-term interest-bearing deposits, of which $2.9 million was contractually restricted for Fab 2 use only.</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During the six months ended June 30, 2007, we received $26.6 million in net proceeds from the issuance of ordinary shares and warrants, $1.4 million from Investment Center grants and generated a net amount of $9.4 million from our operating activities. These liquidity resources financed the capital expenditure investments we made during the six months ended June 30, 2007, which aggregated $50.7 million, mainly in connection with the purchase and installation of equipment and other assets for the ramp up of Fab 2 and repayment of convertible debentures in the amount of $7.1 million.</w:t>
      </w:r>
    </w:p>
    <w:p>
      <w:pPr>
        <w:spacing w:after="0" w:line="200" w:lineRule="exact"/>
        <w:rPr>
          <w:sz w:val="20"/>
          <w:szCs w:val="20"/>
          <w:color w:val="auto"/>
        </w:rPr>
      </w:pPr>
    </w:p>
    <w:p>
      <w:pPr>
        <w:spacing w:after="0" w:line="32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As of June 30, 2007, we had long-term bank loans, at present value, in the amount of $360.7 million we obtained in connection with the establishment of Fab</w:t>
      </w:r>
    </w:p>
    <w:p>
      <w:pPr>
        <w:ind w:left="8" w:right="4619" w:hanging="8"/>
        <w:spacing w:after="0" w:line="237" w:lineRule="auto"/>
        <w:tabs>
          <w:tab w:leader="none" w:pos="219"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such date, we also had outstanding convertible debentures in the aggregate amount of $91.2 million, of which $6.6 million are presented as current maturities and $20.0 million are presented as an equity component of the convertible debentures as part of shareholders' equity. The amounts of cash and cash equivalents and liabilities in regard of debentures and convertible debentures described in this section entitled "Liquidity and Capital Resources" do not include the approximately $40 million raised in our June 2007 fundraising, which were released to us in August 2007, all as described in Note 3B to our financial statements as of June 30, 2007.</w:t>
      </w:r>
    </w:p>
    <w:sectPr>
      <w:pgSz w:w="11900" w:h="16838" w:orient="portrait"/>
      <w:cols w:equalWidth="0" w:num="1">
        <w:col w:w="10247"/>
      </w:cols>
      <w:pgMar w:left="212"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
    <w:nsid w:val="140E0F76"/>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2">
    <w:nsid w:val="3352255A"/>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lvl w:ilvl="3">
      <w:lvlJc w:val="left"/>
      <w:lvlText w:val="-"/>
      <w:numFmt w:val="bullet"/>
      <w:start w:val="1"/>
    </w:lvl>
  </w:abstractNum>
  <w:abstractNum w:abstractNumId="3">
    <w:nsid w:val="109CF92E"/>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4"/>
    </w:lvl>
    <w:lvl w:ilvl="3">
      <w:lvlJc w:val="left"/>
      <w:lvlText w:val="-"/>
      <w:numFmt w:val="bullet"/>
      <w:start w:val="1"/>
    </w:lvl>
  </w:abstractNum>
  <w:abstractNum w:abstractNumId="4">
    <w:nsid w:val="DED7263"/>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5"/>
    </w:lvl>
    <w:lvl w:ilvl="3">
      <w:lvlJc w:val="left"/>
      <w:lvlText w:val="-"/>
      <w:numFmt w:val="bullet"/>
      <w:start w:val="1"/>
    </w:lvl>
  </w:abstractNum>
  <w:abstractNum w:abstractNumId="5">
    <w:nsid w:val="7FDCC233"/>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6">
    <w:nsid w:val="1BEFD79F"/>
    <w:multiLevelType w:val="hybridMultilevel"/>
    <w:lvl w:ilvl="0">
      <w:lvlJc w:val="left"/>
      <w:lvlText w:val="%1."/>
      <w:numFmt w:val="upperLetter"/>
      <w:start w:val="3"/>
    </w:lvl>
  </w:abstractNum>
  <w:abstractNum w:abstractNumId="7">
    <w:nsid w:val="41A7C4C9"/>
    <w:multiLevelType w:val="hybridMultilevel"/>
    <w:lvl w:ilvl="0">
      <w:lvlJc w:val="left"/>
      <w:lvlText w:val="(*)"/>
      <w:numFmt w:val="bullet"/>
      <w:start w:val="1"/>
    </w:lvl>
    <w:lvl w:ilvl="1">
      <w:lvlJc w:val="left"/>
      <w:lvlText w:val="-"/>
      <w:numFmt w:val="bullet"/>
      <w:start w:val="1"/>
    </w:lvl>
  </w:abstractNum>
  <w:abstractNum w:abstractNumId="8">
    <w:nsid w:val="6B68079A"/>
    <w:multiLevelType w:val="hybridMultilevel"/>
    <w:lvl w:ilvl="0">
      <w:lvlJc w:val="left"/>
      <w:lvlText w:val="%1."/>
      <w:numFmt w:val="upperLetter"/>
      <w:start w:val="1"/>
    </w:lvl>
    <w:lvl w:ilvl="1">
      <w:lvlJc w:val="left"/>
      <w:lvlText w:val="-"/>
      <w:numFmt w:val="bullet"/>
      <w:start w:val="1"/>
    </w:lvl>
  </w:abstractNum>
  <w:abstractNum w:abstractNumId="9">
    <w:nsid w:val="4E6AFB66"/>
    <w:multiLevelType w:val="hybridMultilevel"/>
    <w:lvl w:ilvl="0">
      <w:lvlJc w:val="left"/>
      <w:lvlText w:val="%1."/>
      <w:numFmt w:val="upperLetter"/>
      <w:start w:val="2"/>
    </w:lvl>
  </w:abstractNum>
  <w:abstractNum w:abstractNumId="10">
    <w:nsid w:val="25E45D32"/>
    <w:multiLevelType w:val="hybridMultilevel"/>
    <w:lvl w:ilvl="0">
      <w:lvlJc w:val="left"/>
      <w:lvlText w:val="%1."/>
      <w:numFmt w:val="upperLetter"/>
      <w:start w:val="3"/>
    </w:lvl>
    <w:lvl w:ilvl="1">
      <w:lvlJc w:val="left"/>
      <w:lvlText w:val="-"/>
      <w:numFmt w:val="bullet"/>
      <w:start w:val="1"/>
    </w:lvl>
  </w:abstractNum>
  <w:abstractNum w:abstractNumId="11">
    <w:nsid w:val="519B500D"/>
    <w:multiLevelType w:val="hybridMultilevel"/>
    <w:lvl w:ilvl="0">
      <w:lvlJc w:val="left"/>
      <w:lvlText w:val="%1."/>
      <w:numFmt w:val="upperLetter"/>
      <w:start w:val="1"/>
    </w:lvl>
  </w:abstractNum>
  <w:abstractNum w:abstractNumId="12">
    <w:nsid w:val="431BD7B7"/>
    <w:multiLevelType w:val="hybridMultilevel"/>
    <w:lvl w:ilvl="0">
      <w:lvlJc w:val="left"/>
      <w:lvlText w:val="%1."/>
      <w:numFmt w:val="upperLetter"/>
      <w:start w:val="1"/>
    </w:lvl>
  </w:abstractNum>
  <w:abstractNum w:abstractNumId="13">
    <w:nsid w:val="3F2DBA31"/>
    <w:multiLevelType w:val="hybridMultilevel"/>
    <w:lvl w:ilvl="0">
      <w:lvlJc w:val="left"/>
      <w:lvlText w:val="%1."/>
      <w:numFmt w:val="upperLetter"/>
      <w:start w:val="2"/>
    </w:lvl>
    <w:lvl w:ilvl="1">
      <w:lvlJc w:val="left"/>
      <w:lvlText w:val="-"/>
      <w:numFmt w:val="bullet"/>
      <w:start w:val="1"/>
    </w:lvl>
  </w:abstractNum>
  <w:abstractNum w:abstractNumId="14">
    <w:nsid w:val="7C83E458"/>
    <w:multiLevelType w:val="hybridMultilevel"/>
    <w:lvl w:ilvl="0">
      <w:lvlJc w:val="left"/>
      <w:lvlText w:val="%1."/>
      <w:numFmt w:val="upperLetter"/>
      <w:start w:val="3"/>
    </w:lvl>
    <w:lvl w:ilvl="1">
      <w:lvlJc w:val="left"/>
      <w:lvlText w:val="-"/>
      <w:numFmt w:val="bullet"/>
      <w:start w:val="1"/>
    </w:lvl>
  </w:abstractNum>
  <w:abstractNum w:abstractNumId="15">
    <w:nsid w:val="257130A3"/>
    <w:multiLevelType w:val="hybridMultilevel"/>
    <w:lvl w:ilvl="0">
      <w:lvlJc w:val="left"/>
      <w:lvlText w:val="%1."/>
      <w:numFmt w:val="upperLetter"/>
      <w:start w:val="4"/>
    </w:lvl>
  </w:abstractNum>
  <w:abstractNum w:abstractNumId="16">
    <w:nsid w:val="62BBD95A"/>
    <w:multiLevelType w:val="hybridMultilevel"/>
    <w:lvl w:ilvl="0">
      <w:lvlJc w:val="left"/>
      <w:lvlText w:val="%1."/>
      <w:numFmt w:val="upperLetter"/>
      <w:start w:val="5"/>
    </w:lvl>
    <w:lvl w:ilvl="1">
      <w:lvlJc w:val="left"/>
      <w:lvlText w:val="-"/>
      <w:numFmt w:val="bullet"/>
      <w:start w:val="1"/>
    </w:lvl>
  </w:abstractNum>
  <w:abstractNum w:abstractNumId="17">
    <w:nsid w:val="436C6125"/>
    <w:multiLevelType w:val="hybridMultilevel"/>
    <w:lvl w:ilvl="0">
      <w:lvlJc w:val="left"/>
      <w:lvlText w:val="%1."/>
      <w:numFmt w:val="upperLetter"/>
      <w:start w:val="8"/>
    </w:lvl>
    <w:lvl w:ilvl="1">
      <w:lvlJc w:val="left"/>
      <w:lvlText w:val="-"/>
      <w:numFmt w:val="bullet"/>
      <w:start w:val="1"/>
    </w:lvl>
  </w:abstractNum>
  <w:abstractNum w:abstractNumId="18">
    <w:nsid w:val="628C895D"/>
    <w:multiLevelType w:val="hybridMultilevel"/>
    <w:lvl w:ilvl="0">
      <w:lvlJc w:val="left"/>
      <w:lvlText w:val="%1."/>
      <w:numFmt w:val="upperLetter"/>
      <w:start w:val="8"/>
    </w:lvl>
  </w:abstractNum>
  <w:abstractNum w:abstractNumId="19">
    <w:nsid w:val="333AB105"/>
    <w:multiLevelType w:val="hybridMultilevel"/>
    <w:lvl w:ilvl="0">
      <w:lvlJc w:val="left"/>
      <w:lvlText w:val="%1."/>
      <w:numFmt w:val="upperLetter"/>
      <w:start w:val="10"/>
    </w:lvl>
  </w:abstractNum>
  <w:abstractNum w:abstractNumId="20">
    <w:nsid w:val="721DA317"/>
    <w:multiLevelType w:val="hybridMultilevel"/>
    <w:lvl w:ilvl="0">
      <w:lvlJc w:val="left"/>
      <w:lvlText w:val="%1."/>
      <w:numFmt w:val="upperLetter"/>
      <w:start w:val="11"/>
    </w:lvl>
  </w:abstractNum>
  <w:abstractNum w:abstractNumId="21">
    <w:nsid w:val="2443A858"/>
    <w:multiLevelType w:val="hybridMultilevel"/>
    <w:lvl w:ilvl="0">
      <w:lvlJc w:val="left"/>
      <w:lvlText w:val="%1."/>
      <w:numFmt w:val="upperLetter"/>
      <w:start w:val="12"/>
    </w:lvl>
    <w:lvl w:ilvl="1">
      <w:lvlJc w:val="left"/>
      <w:lvlText w:val="-"/>
      <w:numFmt w:val="bullet"/>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2019-12-14T03:27:07Z</dcterms:created>
  <dcterms:modified xsi:type="dcterms:W3CDTF">2019-12-14T03:27:07Z</dcterms:modified>
</cp:coreProperties>
</file>