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2022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June 14, 2022, the Registrant announces its Participation at IMS2022</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Highlighting Recent Innovations in RF Foundry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14,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431800</wp:posOffset>
            </wp:positionV>
            <wp:extent cx="74549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45490" cy="4286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i w:val="1"/>
          <w:iCs w:val="1"/>
          <w:color w:val="auto"/>
        </w:rPr>
        <w:t>Tower Semicon</w:t>
      </w:r>
      <w:r>
        <w:rPr>
          <w:rFonts w:ascii="Arial" w:cs="Arial" w:eastAsia="Arial" w:hAnsi="Arial"/>
          <w:sz w:val="22"/>
          <w:szCs w:val="22"/>
          <w:b w:val="1"/>
          <w:bCs w:val="1"/>
          <w:color w:val="auto"/>
        </w:rPr>
        <w:t>du</w:t>
      </w:r>
      <w:r>
        <w:rPr>
          <w:rFonts w:ascii="Arial" w:cs="Arial" w:eastAsia="Arial" w:hAnsi="Arial"/>
          <w:sz w:val="22"/>
          <w:szCs w:val="22"/>
          <w:b w:val="1"/>
          <w:bCs w:val="1"/>
          <w:i w:val="1"/>
          <w:iCs w:val="1"/>
          <w:color w:val="auto"/>
        </w:rPr>
        <w:t>ctor to Present at IMS2022 Highlighting Recent Innovations in RF Foundry Technology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Selected presentations and workshops by Company’s lead engineering experts</w:t>
      </w:r>
    </w:p>
    <w:p>
      <w:pPr>
        <w:spacing w:after="0" w:line="281"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b w:val="1"/>
          <w:bCs w:val="1"/>
          <w:color w:val="auto"/>
        </w:rPr>
        <w:t xml:space="preserve">MIGDAL HAEMEK, Israel, June 14, 2022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(NASDAQ/TASE: TSEM), the leading foundry of high-value analog semiconductor solutions, today announced its participation at upcoming 2022 IMS conference to be held June 19</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- 24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in Denver, Colorado, highlighting the Company’s recent RF technology developments addressing the needs of emerging wireless and wireline ICs. This includes semiconductor market technologies for Millimeter-Wave, emerging Satcom, Datacenter and RF/Mobile. During the conference, selected presentations and workshops will be held by Company’s engineering experts (complete schedule below).</w:t>
      </w:r>
    </w:p>
    <w:p>
      <w:pPr>
        <w:spacing w:after="0" w:line="270"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Tower Semiconductor’s highly advanced RF platform provides industry-leading, low-loss, high-dynamic range technologies from wireless RF to mmWave communications, offering SiGe BiCMOS, RF-SOI, Silicon Photonics, and RF-CMOS technology solutions that enable high-speed, low-noise and low-power products for a variety of consumer, infrastructure, and automotive applications. The Company’s recent RF platform developments such as the SBC18H6 SiGe BiCMOS platform with transistor speeds approaching 0.5THz offer higher speed, lower power &amp; lower noise RF devices providing unprecedented bandwidth. In addition, novel switches with record insertion loss (~0.1dB up to 40 GHz) are now available for RF products and address the needs of emerging mobile as well as the proliferation of 5G wireless and 400-800Gbps wireline systems worldwide.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Presentation and workshop schedule:</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5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Date and Session</w:t>
            </w:r>
          </w:p>
        </w:tc>
        <w:tc>
          <w:tcPr>
            <w:tcW w:w="6100" w:type="dxa"/>
            <w:vAlign w:val="bottom"/>
            <w:tcBorders>
              <w:top w:val="single" w:sz="8" w:color="auto"/>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Topic</w:t>
            </w:r>
          </w:p>
        </w:tc>
        <w:tc>
          <w:tcPr>
            <w:tcW w:w="2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Speaker</w:t>
            </w:r>
          </w:p>
        </w:tc>
        <w:tc>
          <w:tcPr>
            <w:tcW w:w="0" w:type="dxa"/>
            <w:vAlign w:val="bottom"/>
          </w:tcPr>
          <w:p>
            <w:pPr>
              <w:spacing w:after="0"/>
              <w:rPr>
                <w:sz w:val="1"/>
                <w:szCs w:val="1"/>
                <w:color w:val="auto"/>
              </w:rPr>
            </w:pP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June 20, 2022</w:t>
            </w:r>
          </w:p>
        </w:tc>
        <w:tc>
          <w:tcPr>
            <w:tcW w:w="6100" w:type="dxa"/>
            <w:vAlign w:val="bottom"/>
            <w:tcBorders>
              <w:right w:val="single" w:sz="8" w:color="auto"/>
            </w:tcBorders>
            <w:gridSpan w:val="7"/>
            <w:vMerge w:val="restart"/>
          </w:tcPr>
          <w:p>
            <w:pPr>
              <w:ind w:left="20"/>
              <w:spacing w:after="0"/>
              <w:rPr>
                <w:sz w:val="20"/>
                <w:szCs w:val="20"/>
                <w:color w:val="auto"/>
              </w:rPr>
            </w:pPr>
            <w:r>
              <w:rPr>
                <w:rFonts w:ascii="Arial" w:cs="Arial" w:eastAsia="Arial" w:hAnsi="Arial"/>
                <w:sz w:val="18"/>
                <w:szCs w:val="18"/>
                <w:color w:val="auto"/>
              </w:rPr>
              <w:t>Foundry Technologies for Satcom and Emerging Commercial Wireless</w:t>
            </w:r>
          </w:p>
        </w:tc>
        <w:tc>
          <w:tcPr>
            <w:tcW w:w="2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Dr. David Howard</w:t>
            </w:r>
          </w:p>
        </w:tc>
        <w:tc>
          <w:tcPr>
            <w:tcW w:w="0" w:type="dxa"/>
            <w:vAlign w:val="bottom"/>
          </w:tcPr>
          <w:p>
            <w:pPr>
              <w:spacing w:after="0"/>
              <w:rPr>
                <w:sz w:val="1"/>
                <w:szCs w:val="1"/>
                <w:color w:val="auto"/>
              </w:rPr>
            </w:pPr>
          </w:p>
        </w:tc>
      </w:tr>
      <w:tr>
        <w:trPr>
          <w:trHeight w:val="86"/>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WMB-4</w:t>
            </w:r>
          </w:p>
        </w:tc>
        <w:tc>
          <w:tcPr>
            <w:tcW w:w="6100" w:type="dxa"/>
            <w:vAlign w:val="bottom"/>
            <w:tcBorders>
              <w:right w:val="single" w:sz="8" w:color="auto"/>
            </w:tcBorders>
            <w:gridSpan w:val="7"/>
            <w:vMerge w:val="continue"/>
          </w:tcPr>
          <w:p>
            <w:pPr>
              <w:spacing w:after="0"/>
              <w:rPr>
                <w:sz w:val="7"/>
                <w:szCs w:val="7"/>
                <w:color w:val="auto"/>
              </w:rPr>
            </w:pP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Borders>
              <w:left w:val="single" w:sz="8" w:color="auto"/>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June 20, 2022</w:t>
            </w:r>
          </w:p>
        </w:tc>
        <w:tc>
          <w:tcPr>
            <w:tcW w:w="6100" w:type="dxa"/>
            <w:vAlign w:val="bottom"/>
            <w:tcBorders>
              <w:right w:val="single" w:sz="8" w:color="auto"/>
            </w:tcBorders>
            <w:gridSpan w:val="7"/>
          </w:tcPr>
          <w:p>
            <w:pPr>
              <w:ind w:left="20"/>
              <w:spacing w:after="0" w:line="202" w:lineRule="exact"/>
              <w:rPr>
                <w:sz w:val="20"/>
                <w:szCs w:val="20"/>
                <w:color w:val="auto"/>
              </w:rPr>
            </w:pPr>
            <w:r>
              <w:rPr>
                <w:rFonts w:ascii="Arial" w:cs="Arial" w:eastAsia="Arial" w:hAnsi="Arial"/>
                <w:sz w:val="18"/>
                <w:szCs w:val="18"/>
                <w:color w:val="auto"/>
                <w:w w:val="91"/>
              </w:rPr>
              <w:t>Chalcogenide-Based Phase-Change Material RF Switches: Fundamentals, Design</w:t>
            </w:r>
          </w:p>
        </w:tc>
        <w:tc>
          <w:tcPr>
            <w:tcW w:w="2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Dr. Nabil El-Hinnawy</w:t>
            </w:r>
          </w:p>
        </w:tc>
        <w:tc>
          <w:tcPr>
            <w:tcW w:w="0" w:type="dxa"/>
            <w:vAlign w:val="bottom"/>
          </w:tcPr>
          <w:p>
            <w:pPr>
              <w:spacing w:after="0"/>
              <w:rPr>
                <w:sz w:val="1"/>
                <w:szCs w:val="1"/>
                <w:color w:val="auto"/>
              </w:rPr>
            </w:pPr>
          </w:p>
        </w:tc>
      </w:tr>
      <w:tr>
        <w:trPr>
          <w:trHeight w:val="20"/>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WMC-1</w:t>
            </w:r>
          </w:p>
        </w:tc>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2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tcBorders>
              <w:left w:val="single" w:sz="8" w:color="auto"/>
              <w:right w:val="single" w:sz="8" w:color="auto"/>
            </w:tcBorders>
            <w:vMerge w:val="continue"/>
          </w:tcPr>
          <w:p>
            <w:pPr>
              <w:spacing w:after="0"/>
              <w:rPr>
                <w:sz w:val="11"/>
                <w:szCs w:val="11"/>
                <w:color w:val="auto"/>
              </w:rPr>
            </w:pPr>
          </w:p>
        </w:tc>
        <w:tc>
          <w:tcPr>
            <w:tcW w:w="6100" w:type="dxa"/>
            <w:vAlign w:val="bottom"/>
            <w:tcBorders>
              <w:right w:val="single" w:sz="8" w:color="auto"/>
            </w:tcBorders>
            <w:gridSpan w:val="7"/>
            <w:vMerge w:val="restart"/>
          </w:tcPr>
          <w:p>
            <w:pPr>
              <w:ind w:left="20"/>
              <w:spacing w:after="0" w:line="196" w:lineRule="exact"/>
              <w:rPr>
                <w:sz w:val="20"/>
                <w:szCs w:val="20"/>
                <w:color w:val="auto"/>
              </w:rPr>
            </w:pPr>
            <w:r>
              <w:rPr>
                <w:rFonts w:ascii="Arial" w:cs="Arial" w:eastAsia="Arial" w:hAnsi="Arial"/>
                <w:sz w:val="18"/>
                <w:szCs w:val="18"/>
                <w:color w:val="auto"/>
              </w:rPr>
              <w:t>Considerations, and Circuit/System Applications</w:t>
            </w:r>
          </w:p>
        </w:tc>
        <w:tc>
          <w:tcPr>
            <w:tcW w:w="2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54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7"/>
            <w:vMerge w:val="continue"/>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5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210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June 20, 2022</w:t>
            </w:r>
          </w:p>
        </w:tc>
        <w:tc>
          <w:tcPr>
            <w:tcW w:w="610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6"/>
              </w:rPr>
              <w:t>Characterizing and Modeling of Safe Operating Area for SiGe NPNs in Tower’s</w:t>
            </w:r>
          </w:p>
        </w:tc>
        <w:tc>
          <w:tcPr>
            <w:tcW w:w="2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Dr. Samir Chaudhry</w:t>
            </w:r>
          </w:p>
        </w:tc>
        <w:tc>
          <w:tcPr>
            <w:tcW w:w="0" w:type="dxa"/>
            <w:vAlign w:val="bottom"/>
          </w:tcPr>
          <w:p>
            <w:pPr>
              <w:spacing w:after="0"/>
              <w:rPr>
                <w:sz w:val="1"/>
                <w:szCs w:val="1"/>
                <w:color w:val="auto"/>
              </w:rPr>
            </w:pPr>
          </w:p>
        </w:tc>
      </w:tr>
      <w:tr>
        <w:trPr>
          <w:trHeight w:val="20"/>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WMH-2</w:t>
            </w:r>
          </w:p>
        </w:tc>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2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tcBorders>
              <w:left w:val="single" w:sz="8" w:color="auto"/>
              <w:right w:val="single" w:sz="8" w:color="auto"/>
            </w:tcBorders>
            <w:vMerge w:val="continue"/>
          </w:tcPr>
          <w:p>
            <w:pPr>
              <w:spacing w:after="0"/>
              <w:rPr>
                <w:sz w:val="11"/>
                <w:szCs w:val="11"/>
                <w:color w:val="auto"/>
              </w:rPr>
            </w:pPr>
          </w:p>
        </w:tc>
        <w:tc>
          <w:tcPr>
            <w:tcW w:w="6100" w:type="dxa"/>
            <w:vAlign w:val="bottom"/>
            <w:tcBorders>
              <w:right w:val="single" w:sz="8" w:color="auto"/>
            </w:tcBorders>
            <w:gridSpan w:val="7"/>
            <w:vMerge w:val="restart"/>
          </w:tcPr>
          <w:p>
            <w:pPr>
              <w:ind w:left="20"/>
              <w:spacing w:after="0" w:line="196" w:lineRule="exact"/>
              <w:rPr>
                <w:sz w:val="20"/>
                <w:szCs w:val="20"/>
                <w:color w:val="auto"/>
              </w:rPr>
            </w:pPr>
            <w:r>
              <w:rPr>
                <w:rFonts w:ascii="Arial" w:cs="Arial" w:eastAsia="Arial" w:hAnsi="Arial"/>
                <w:sz w:val="18"/>
                <w:szCs w:val="18"/>
                <w:color w:val="auto"/>
              </w:rPr>
              <w:t>SBC18 Technology</w:t>
            </w:r>
          </w:p>
        </w:tc>
        <w:tc>
          <w:tcPr>
            <w:tcW w:w="2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4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7"/>
            <w:vMerge w:val="continue"/>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54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spacing w:after="0"/>
              <w:rPr>
                <w:sz w:val="23"/>
                <w:szCs w:val="23"/>
                <w:color w:val="auto"/>
              </w:rPr>
            </w:pPr>
          </w:p>
        </w:tc>
        <w:tc>
          <w:tcPr>
            <w:tcW w:w="21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June 21, 2022 11:30 am</w:t>
            </w:r>
          </w:p>
        </w:tc>
        <w:tc>
          <w:tcPr>
            <w:tcW w:w="610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RF and mmWave IC Design Solutions for Cadence tools on Tower’s SiGe</w:t>
            </w:r>
          </w:p>
        </w:tc>
        <w:tc>
          <w:tcPr>
            <w:tcW w:w="2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Dr. Samir Chaudhry</w:t>
            </w:r>
          </w:p>
        </w:tc>
        <w:tc>
          <w:tcPr>
            <w:tcW w:w="0" w:type="dxa"/>
            <w:vAlign w:val="bottom"/>
          </w:tcPr>
          <w:p>
            <w:pPr>
              <w:spacing w:after="0"/>
              <w:rPr>
                <w:sz w:val="1"/>
                <w:szCs w:val="1"/>
                <w:color w:val="auto"/>
              </w:rPr>
            </w:pPr>
          </w:p>
        </w:tc>
      </w:tr>
      <w:tr>
        <w:trPr>
          <w:trHeight w:val="234"/>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Cadence booth #5050</w:t>
            </w:r>
          </w:p>
        </w:tc>
        <w:tc>
          <w:tcPr>
            <w:tcW w:w="610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BiCMOS and RF SOI technologies</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 meet with Tower’s engineering team during the conference, visit the Company’s </w:t>
      </w:r>
      <w:r>
        <w:rPr>
          <w:rFonts w:ascii="Arial" w:cs="Arial" w:eastAsia="Arial" w:hAnsi="Arial"/>
          <w:sz w:val="22"/>
          <w:szCs w:val="22"/>
          <w:b w:val="1"/>
          <w:bCs w:val="1"/>
          <w:color w:val="auto"/>
        </w:rPr>
        <w:t>booth #4017.</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additional details and registration, please visit the event webpage </w:t>
      </w:r>
      <w:r>
        <w:rPr>
          <w:rFonts w:ascii="Arial" w:cs="Arial" w:eastAsia="Arial" w:hAnsi="Arial"/>
          <w:sz w:val="22"/>
          <w:szCs w:val="22"/>
          <w:i w:val="1"/>
          <w:iCs w:val="1"/>
          <w:u w:val="single" w:color="auto"/>
          <w:color w:val="auto"/>
        </w:rPr>
        <w:t>here</w:t>
      </w:r>
      <w:r>
        <w:rPr>
          <w:rFonts w:ascii="Arial" w:cs="Arial" w:eastAsia="Arial" w:hAnsi="Arial"/>
          <w:sz w:val="22"/>
          <w:szCs w:val="22"/>
          <w:i w:val="1"/>
          <w:iCs w:val="1"/>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additional information about the Company’s RF platform offering, visit </w:t>
      </w:r>
      <w:r>
        <w:rPr>
          <w:rFonts w:ascii="Arial" w:cs="Arial" w:eastAsia="Arial" w:hAnsi="Arial"/>
          <w:sz w:val="22"/>
          <w:szCs w:val="22"/>
          <w:i w:val="1"/>
          <w:iCs w:val="1"/>
          <w:u w:val="single" w:color="auto"/>
          <w:color w:val="auto"/>
        </w:rPr>
        <w:t>here</w:t>
      </w:r>
      <w:r>
        <w:rPr>
          <w:rFonts w:ascii="Arial" w:cs="Arial" w:eastAsia="Arial" w:hAnsi="Arial"/>
          <w:sz w:val="22"/>
          <w:szCs w:val="22"/>
          <w:i w:val="1"/>
          <w:iCs w:val="1"/>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ectPr>
          <w:pgSz w:w="11900" w:h="16838" w:orient="portrait"/>
          <w:cols w:equalWidth="0" w:num="1">
            <w:col w:w="11240"/>
          </w:cols>
          <w:pgMar w:left="320" w:top="1440" w:right="339" w:bottom="0" w:gutter="0" w:footer="0" w:header="0"/>
        </w:sectPr>
      </w:pPr>
    </w:p>
    <w:bookmarkStart w:id="4" w:name="page5"/>
    <w:bookmarkEnd w:id="4"/>
    <w:p>
      <w:pPr>
        <w:spacing w:after="0" w:line="308"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3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2022-06-14T05:09:42Z</dcterms:created>
  <dcterms:modified xsi:type="dcterms:W3CDTF">2022-06-14T05:09:42Z</dcterms:modified>
</cp:coreProperties>
</file>