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5"/>
          <w:szCs w:val="15"/>
          <w:b w:val="1"/>
          <w:bCs w:val="1"/>
          <w:color w:val="auto"/>
        </w:rPr>
        <w:t xml:space="preserve">As filed with the Securities and Exchange Commission on March 1, 2006  </w:t>
      </w:r>
      <w:r>
        <w:rPr>
          <w:rFonts w:ascii="Arial" w:cs="Arial" w:eastAsia="Arial" w:hAnsi="Arial"/>
          <w:sz w:val="15"/>
          <w:szCs w:val="15"/>
          <w:color w:val="auto"/>
        </w:rPr>
        <w:t>Registration No. 333-131315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60" w:lineRule="exact"/>
        <w:rPr>
          <w:sz w:val="24"/>
          <w:szCs w:val="24"/>
          <w:color w:val="auto"/>
        </w:rPr>
      </w:pPr>
    </w:p>
    <w:p>
      <w:pPr>
        <w:ind w:left="4520"/>
        <w:spacing w:after="0"/>
        <w:rPr>
          <w:sz w:val="20"/>
          <w:szCs w:val="20"/>
          <w:color w:val="auto"/>
        </w:rPr>
      </w:pPr>
      <w:r>
        <w:rPr>
          <w:rFonts w:ascii="Arial" w:cs="Arial" w:eastAsia="Arial" w:hAnsi="Arial"/>
          <w:sz w:val="24"/>
          <w:szCs w:val="24"/>
          <w:b w:val="1"/>
          <w:bCs w:val="1"/>
          <w:color w:val="auto"/>
        </w:rPr>
        <w:t>AMENDMENT NO. 1</w:t>
      </w:r>
    </w:p>
    <w:p>
      <w:pPr>
        <w:spacing w:after="0" w:line="36" w:lineRule="exact"/>
        <w:rPr>
          <w:sz w:val="24"/>
          <w:szCs w:val="24"/>
          <w:color w:val="auto"/>
        </w:rPr>
      </w:pPr>
    </w:p>
    <w:p>
      <w:pPr>
        <w:ind w:left="4920"/>
        <w:spacing w:after="0"/>
        <w:rPr>
          <w:sz w:val="20"/>
          <w:szCs w:val="20"/>
          <w:color w:val="auto"/>
        </w:rPr>
      </w:pPr>
      <w:r>
        <w:rPr>
          <w:rFonts w:ascii="Arial" w:cs="Arial" w:eastAsia="Arial" w:hAnsi="Arial"/>
          <w:sz w:val="24"/>
          <w:szCs w:val="24"/>
          <w:b w:val="1"/>
          <w:bCs w:val="1"/>
          <w:color w:val="auto"/>
        </w:rPr>
        <w:t>ON FORM F-3</w:t>
      </w: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33" w:right="299" w:bottom="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80" w:space="720"/>
            <w:col w:w="4060"/>
          </w:cols>
          <w:pgMar w:left="240" w:top="233" w:right="299" w:bottom="0" w:gutter="0" w:footer="0" w:header="0"/>
          <w:type w:val="continuous"/>
        </w:sect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Copies of all Correspondence to:</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6"/>
              </w:rPr>
              <w:t>DAVID H. SCHAPIRO, ESQ.</w:t>
            </w:r>
          </w:p>
        </w:tc>
        <w:tc>
          <w:tcPr>
            <w:tcW w:w="5360" w:type="dxa"/>
            <w:vAlign w:val="bottom"/>
          </w:tcPr>
          <w:p>
            <w:pPr>
              <w:jc w:val="center"/>
              <w:ind w:left="3172"/>
              <w:spacing w:after="0"/>
              <w:rPr>
                <w:sz w:val="20"/>
                <w:szCs w:val="20"/>
                <w:color w:val="auto"/>
              </w:rPr>
            </w:pPr>
            <w:r>
              <w:rPr>
                <w:rFonts w:ascii="Arial" w:cs="Arial" w:eastAsia="Arial" w:hAnsi="Arial"/>
                <w:sz w:val="18"/>
                <w:szCs w:val="18"/>
                <w:b w:val="1"/>
                <w:bCs w:val="1"/>
                <w:color w:val="auto"/>
                <w:w w:val="94"/>
              </w:rPr>
              <w:t>SHELDON KRAUSE, ESQ.</w:t>
            </w:r>
          </w:p>
        </w:tc>
      </w:tr>
      <w:tr>
        <w:trPr>
          <w:trHeight w:val="223"/>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7"/>
              </w:rPr>
              <w:t>ARI FRIED, ESQ.</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0"/>
              </w:rPr>
              <w:t>Eilenberg &amp; Krause LLP</w:t>
            </w:r>
          </w:p>
        </w:tc>
      </w:tr>
      <w:tr>
        <w:trPr>
          <w:trHeight w:val="255"/>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3"/>
              </w:rPr>
              <w:t>Yigal Arnon &amp; Co.</w:t>
            </w:r>
          </w:p>
        </w:tc>
        <w:tc>
          <w:tcPr>
            <w:tcW w:w="5360" w:type="dxa"/>
            <w:vAlign w:val="bottom"/>
          </w:tcPr>
          <w:p>
            <w:pPr>
              <w:jc w:val="center"/>
              <w:ind w:left="317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2"/>
              </w:rPr>
              <w:t>1 Azrieli Center</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1"/>
              </w:rPr>
              <w:t>New York, NY 10017</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color w:val="auto"/>
                <w:w w:val="90"/>
              </w:rPr>
              <w:t>Tel Aviv, 67021 Israel</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88"/>
              </w:rPr>
              <w:t>Tel: 212-986-9700</w:t>
            </w:r>
          </w:p>
        </w:tc>
      </w:tr>
      <w:tr>
        <w:trPr>
          <w:trHeight w:val="222"/>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89"/>
              </w:rPr>
              <w:t>Tel: 972-3-608-7856</w:t>
            </w:r>
          </w:p>
        </w:tc>
        <w:tc>
          <w:tcPr>
            <w:tcW w:w="536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400" w:lineRule="exact"/>
        <w:rPr>
          <w:sz w:val="24"/>
          <w:szCs w:val="24"/>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54"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SUBJECT TO COMPLETION</w:t>
      </w:r>
    </w:p>
    <w:p>
      <w:pPr>
        <w:spacing w:after="0" w:line="2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DATED March __, 2006</w:t>
      </w: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ectPr>
          <w:pgSz w:w="11900" w:h="16838" w:orient="portrait"/>
          <w:cols w:equalWidth="0" w:num="1">
            <w:col w:w="11360"/>
          </w:cols>
          <w:pgMar w:left="240" w:top="233" w:right="29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2927350</wp:posOffset>
            </wp:positionH>
            <wp:positionV relativeFrom="page">
              <wp:posOffset>88900</wp:posOffset>
            </wp:positionV>
            <wp:extent cx="171513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65785"/>
                    </a:xfrm>
                    <a:prstGeom prst="rect">
                      <a:avLst/>
                    </a:prstGeom>
                    <a:noFill/>
                  </pic:spPr>
                </pic:pic>
              </a:graphicData>
            </a:graphic>
          </wp:anchor>
        </w:drawing>
        <w:t>31,191,606 of Convertible Debentures due 2012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37,517,065 Ordinary Shares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relates to the resale, from time to time, by the selling securityholders named in this prospectus of up to:</w:t>
      </w:r>
    </w:p>
    <w:p>
      <w:pPr>
        <w:spacing w:after="0" w:line="225" w:lineRule="exact"/>
        <w:rPr>
          <w:sz w:val="20"/>
          <w:szCs w:val="20"/>
          <w:color w:val="auto"/>
        </w:rPr>
      </w:pPr>
    </w:p>
    <w:p>
      <w:pPr>
        <w:ind w:left="1720" w:right="1080" w:hanging="567"/>
        <w:spacing w:after="0" w:line="254" w:lineRule="auto"/>
        <w:rPr>
          <w:sz w:val="20"/>
          <w:szCs w:val="20"/>
          <w:color w:val="auto"/>
        </w:rPr>
      </w:pPr>
      <w:r>
        <w:rPr>
          <w:rFonts w:ascii="Arial" w:cs="Arial" w:eastAsia="Arial" w:hAnsi="Arial"/>
          <w:sz w:val="18"/>
          <w:szCs w:val="18"/>
          <w:color w:val="auto"/>
        </w:rPr>
        <w:t>—$31,191,606 aggregate principal amount of our issued and outstanding convertible debentures due 2012 held by the selling securityholders;</w:t>
      </w: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37,517,065 ordinary shares issuable upon the conversion of the debentures and the exercise of warrants.</w:t>
      </w:r>
    </w:p>
    <w:p>
      <w:pPr>
        <w:spacing w:after="0" w:line="200" w:lineRule="exact"/>
        <w:rPr>
          <w:sz w:val="20"/>
          <w:szCs w:val="20"/>
          <w:color w:val="auto"/>
        </w:rPr>
      </w:pPr>
    </w:p>
    <w:p>
      <w:pPr>
        <w:spacing w:after="0" w:line="262"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debentures are each convertible into our ordinary shares, on or before December 27, 2011 at a conversion price of one ordinary share per each $1.10 amount of outstanding principal of the debentures, which conversion price may be adjusted from time to time (see “Description of the Debentures – Conversion of Debentures”). This prospectus also relates to the offering by the company of up 28,356,005 ordinary shares issuable upon conversion of the debentures and 9,161,060 ordinary shares issuable upon the exercise of warrants to persons to whom the debentures and ordinary shares may be sold or otherwise transferred by the selling securityholders.</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selling securityholders may sell all or any portion of these securities in one or more transactions through (i) Nasdaq, the Tel Aviv Stock Exchange, in the over-the-counter market, in privately negotiated transactions or otherwise; (ii) directly to purchasers or through agents, brokers, dealers or underwriters; (iii) at market prices prevailing at the time of sale, at prices related to such prevailing market prices, or at negotiated prices; or (iv) or any other means described in the section entitled “Plan of Distribution.”</w:t>
      </w:r>
    </w:p>
    <w:p>
      <w:pPr>
        <w:spacing w:after="0" w:line="19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ordinary shares are listed on the NASDAQ National Market under the symbol “TSEM” and on the Tel Aviv Stock Exchange in Israel under the symbol “TSEM.” The debentures are listed on the NASDAQ Capital Market under the symbol “TSEMG” and the Tel Aviv Stock Exchange under the symbol “TSEM.C2" and may be identified on the Tel Aviv Stock Exchange as Debentures (Series B). On February 28, 2006, the last reported sale price of our ordinary shares on the NASDAQ National Market was $1.39 per share and on the Tel Aviv Stock Exchange was NIS 6.56 per share. The last reported sale price of our debentures on the NASDAQ Capital Market was $1.44 per debenture on February 9, 2006 and on the Tel Aviv Stock Exchange was NIS 5.97 per debenture on February 28, 2006.</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2.</w:t>
      </w:r>
    </w:p>
    <w:p>
      <w:pPr>
        <w:spacing w:after="0" w:line="225" w:lineRule="exact"/>
        <w:rPr>
          <w:sz w:val="20"/>
          <w:szCs w:val="20"/>
          <w:color w:val="auto"/>
        </w:rPr>
      </w:pPr>
    </w:p>
    <w:p>
      <w:pPr>
        <w:jc w:val="both"/>
        <w:ind w:right="58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March,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gridSpan w:val="6"/>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19"/>
                <w:szCs w:val="19"/>
                <w:color w:val="auto"/>
              </w:rPr>
            </w:pPr>
          </w:p>
        </w:tc>
      </w:tr>
      <w:tr>
        <w:trPr>
          <w:trHeight w:val="475"/>
        </w:trPr>
        <w:tc>
          <w:tcPr>
            <w:tcW w:w="32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ABOUT TOWER SEMICONDUCTOR LTD</w:t>
              </w:r>
            </w:hyperlink>
          </w:p>
        </w:tc>
        <w:tc>
          <w:tcPr>
            <w:tcW w:w="6700" w:type="dxa"/>
            <w:vAlign w:val="bottom"/>
            <w:gridSpan w:val="8"/>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90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RISK FACTORS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SPECIAL NOTE ON FORWARD-LOOKING STATEMENTS</w:t>
              </w:r>
            </w:hyperlink>
          </w:p>
        </w:tc>
        <w:tc>
          <w:tcPr>
            <w:tcW w:w="546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9900" w:type="dxa"/>
            <w:vAlign w:val="bottom"/>
            <w:gridSpan w:val="1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RATIO OF EARNINGS TO FIXED CHARGES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CAPITALIZATION</w:t>
              </w:r>
            </w:hyperlink>
          </w:p>
        </w:tc>
        <w:tc>
          <w:tcPr>
            <w:tcW w:w="1980" w:type="dxa"/>
            <w:vAlign w:val="bottom"/>
            <w:tcBorders>
              <w:top w:val="single" w:sz="8" w:color="0000EE"/>
            </w:tcBorders>
            <w:gridSpan w:val="7"/>
          </w:tcPr>
          <w:p>
            <w:pPr>
              <w:spacing w:after="0"/>
              <w:rPr>
                <w:sz w:val="17"/>
                <w:szCs w:val="17"/>
                <w:color w:val="auto"/>
              </w:rPr>
            </w:pPr>
          </w:p>
        </w:tc>
        <w:tc>
          <w:tcPr>
            <w:tcW w:w="6480" w:type="dxa"/>
            <w:vAlign w:val="bottom"/>
            <w:gridSpan w:val="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USE OF PROCEEDS</w:t>
              </w:r>
            </w:hyperlink>
          </w:p>
        </w:tc>
        <w:tc>
          <w:tcPr>
            <w:tcW w:w="8340" w:type="dxa"/>
            <w:vAlign w:val="bottom"/>
            <w:gridSpan w:val="1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990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THE DEBENTURES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9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DIVIDEND POLICY</w:t>
              </w:r>
            </w:hyperlink>
          </w:p>
        </w:tc>
        <w:tc>
          <w:tcPr>
            <w:tcW w:w="6920" w:type="dxa"/>
            <w:vAlign w:val="bottom"/>
            <w:gridSpan w:val="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TAXATION</w:t>
              </w:r>
            </w:hyperlink>
          </w:p>
        </w:tc>
        <w:tc>
          <w:tcPr>
            <w:tcW w:w="8360" w:type="dxa"/>
            <w:vAlign w:val="bottom"/>
            <w:gridSpan w:val="1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FOREIGN EXCHANGE CONTROLS AND OTHER LIMITATIONS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SHARE CAPITAL</w:t>
              </w:r>
            </w:hyperlink>
          </w:p>
        </w:tc>
        <w:tc>
          <w:tcPr>
            <w:tcW w:w="496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7100" w:type="dxa"/>
            <w:vAlign w:val="bottom"/>
            <w:gridSpan w:val="1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90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ENFORCEABILITY OF CIVIL LIABILITIES AND AGENT FOR SERVICE OF PROCESS IN THE UNITED STATES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8580" w:type="dxa"/>
            <w:vAlign w:val="bottom"/>
            <w:tcBorders>
              <w:top w:val="single" w:sz="8" w:color="0000EE"/>
            </w:tcBorders>
            <w:gridSpan w:val="18"/>
          </w:tcPr>
          <w:p>
            <w:pPr>
              <w:spacing w:after="0" w:line="196"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WHERE YOU CAN FIND MORE INFORMATION; INCORPORATION OF INFORMATION BY REFERENCE</w:t>
              </w:r>
            </w:hyperlink>
          </w:p>
        </w:tc>
        <w:tc>
          <w:tcPr>
            <w:tcW w:w="132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372"/>
        </w:trPr>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640" w:type="dxa"/>
            <w:vAlign w:val="bottom"/>
            <w:tcBorders>
              <w:top w:val="single" w:sz="8" w:color="0000EE"/>
              <w:bottom w:val="single" w:sz="8" w:color="808080"/>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6"/>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1"/>
        </w:trPr>
        <w:tc>
          <w:tcPr>
            <w:tcW w:w="7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ectPr>
          <w:pgSz w:w="11900" w:h="16838" w:orient="portrait"/>
          <w:cols w:equalWidth="0" w:num="1">
            <w:col w:w="11420"/>
          </w:cols>
          <w:pgMar w:left="240" w:top="1225" w:right="239" w:bottom="0" w:gutter="0" w:footer="0" w:header="0"/>
        </w:sectPr>
      </w:pPr>
    </w:p>
    <w:bookmarkStart w:id="2" w:name="page3"/>
    <w:bookmarkEnd w:id="2"/>
    <w:p>
      <w:pPr>
        <w:ind w:right="120" w:firstLine="351"/>
        <w:spacing w:after="0" w:line="290"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Israel and adjacent to our first facility, Fab 1. Depending on the process technology and product mix, as of December 31, 2005, Fab 1 is able to achieve capacity levels 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at the end of December 2005 was 15,400 wafers per month. Depending on the process technology and product mix, when fully ramped-up we estimate that Fab 2 will be able to achieve capacity levels of up to 36,000 wafers per month.</w:t>
      </w:r>
    </w:p>
    <w:p>
      <w:pPr>
        <w:spacing w:after="0" w:line="17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debentures that are convertible into our ordinary shares.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raise additional funds, we may not be able to maintain our operations.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accordance with the amended credit facility agreement with our banks, in addition to amounts we have raised to date, we are required to raise approximately $8 million by June 30, 2006. Even if we raise these additional funds, we will still need to raise significant additional funds in order to maintain our operations and finance our short-term activities and liabilities in 2006, at least until we achieve positive cash flows from our operations. In the event we fail to raise the amounts required for our short-term activities and liabilities in 2006, we may have to cease our operations.</w:t>
      </w:r>
    </w:p>
    <w:p>
      <w:pPr>
        <w:spacing w:after="0" w:line="16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If we do not complete the equipment installation, technology transfer and ramp-up of production in Fab 2, our business will be materially adversely affected.</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Fab 2 production capacity at the end of December 2005 was 15,400 200-mm wafers per month. Depending on the process technology and product mix, when fully ramped-up, we estimate that Fab 2 will be able to achieve capacity levels of up to 36,000 wafers per month. We have not completed the acquisition, installation, equipping and financing necessary in order for production at our Fab 2 facility to reach such levels. Our determination as to the timing of the increase in Fab 2‘s production levels is dependent on prevailing and forecasted market conditions and our ability to fund these increases. We need to complete the qualification process of the 0.13-micron technology transferred from Freescale Semiconductor,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have sufficient funds to fully equip Fab 2, our business will be materially adversely affected.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will be required to scale back our equipment purchases and capacity forecasts, and, as a result, we will not fully utilize the substantial investment made in constructing Fab 2, which will adversely affect our financial results.</w:t>
      </w:r>
    </w:p>
    <w:p>
      <w:pPr>
        <w:spacing w:after="0" w:line="16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close our operations.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government of Israel under its Approved Enterprise Program. Under the terms of the approval, we were eligible to receive grants of 20% of up to $1.25 billion invested in Fab 2 plant and equipment, or an aggregate of up to $250 million. As of December 31, 2005, we received $158.1 million in grants from the Investment Center.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w:t>
      </w:r>
    </w:p>
    <w:p>
      <w:pPr>
        <w:sectPr>
          <w:pgSz w:w="11900" w:h="16838" w:orient="portrait"/>
          <w:cols w:equalWidth="0" w:num="1">
            <w:col w:w="11420"/>
          </w:cols>
          <w:pgMar w:left="240" w:top="131" w:right="239" w:bottom="0" w:gutter="0" w:footer="0" w:header="0"/>
        </w:sectPr>
      </w:pPr>
    </w:p>
    <w:bookmarkStart w:id="3" w:name="page4"/>
    <w:bookmarkEnd w:id="3"/>
    <w:p>
      <w:pPr>
        <w:spacing w:after="0" w:line="287" w:lineRule="auto"/>
        <w:rPr>
          <w:sz w:val="20"/>
          <w:szCs w:val="20"/>
          <w:color w:val="auto"/>
        </w:rPr>
      </w:pPr>
      <w:r>
        <w:rPr>
          <w:rFonts w:ascii="Arial" w:cs="Arial" w:eastAsia="Arial" w:hAnsi="Arial"/>
          <w:sz w:val="16"/>
          <w:szCs w:val="16"/>
          <w:color w:val="auto"/>
        </w:rPr>
        <w:t>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complete the ramp-up of Fab 2,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close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may from time to time lack liquidity to finance our ramp up of Fab 2. Accordingly, there is no assurance that our future operations will increase or that we will succeed in raising the additional funding required for the completion of the ramp up of Fab 2. As a result, we may be unable to repay on time or repay at all our short-term and long-term debt consisting mainly of trade accounts payable, bank debt and convertible debentures. If we foresee that we will be unable to secure additional financing, we may have to revise our anticipated operations, or even cease our operations. We cannot assure you we will be successful at negotiating price reductions and arrangements to slow down or postpone payments to our suppliers and service providers, or negotiating revised repayment schedules of our other debt, when we have liquidity problems. Any postponement of payments to our suppliers and service providers may delay our ramp-up of Fab 2 and therefore significantly harm our financial results.</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be profitable.</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of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ectPr>
          <w:pgSz w:w="11900" w:h="16838" w:orient="portrait"/>
          <w:cols w:equalWidth="0" w:num="1">
            <w:col w:w="11420"/>
          </w:cols>
          <w:pgMar w:left="240" w:top="131" w:right="239" w:bottom="0" w:gutter="0" w:footer="0" w:header="0"/>
        </w:sectPr>
      </w:pPr>
    </w:p>
    <w:bookmarkStart w:id="4" w:name="page5"/>
    <w:bookmarkEnd w:id="4"/>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3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attract additional customers, our business may be adversely affected.</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For the year ended December 31, 2005, approximately 56% of our business was generated by five significant customers that contributed 22%, 14%, 8%, 7%, and 5% of our revenues, respectively. We expect to continue to receive a significant portion of our revenue from a limited number of customers in 2006.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 s to reflect the lower revenues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relatively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ectPr>
          <w:pgSz w:w="11900" w:h="16838" w:orient="portrait"/>
          <w:cols w:equalWidth="0" w:num="1">
            <w:col w:w="11420"/>
          </w:cols>
          <w:pgMar w:left="240" w:top="374" w:right="239" w:bottom="13" w:gutter="0" w:footer="0" w:header="0"/>
        </w:sectPr>
      </w:pPr>
    </w:p>
    <w:bookmarkStart w:id="5" w:name="page6"/>
    <w:bookmarkEnd w:id="5"/>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semiconductor foundry industry is highly competitive. We compete with more than ten independent dedicated foundries, the majority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We have a large amount of long-term debt, which could have significant negative consequences. As of January 31, 2006, we had approximately $526.7 million of bank debt and approximately $67.5 million of convertible debt. Our current and future indebtedness could have significant negative consequences, including:</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we do not raise the funds required by our amended credit facility agreement or fail to satisfy the covenants set forth in our amended credit facility, our banks will be able to call our loans.</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credit facility, under which we have drawn down approximately $526.7 million as of January 31, 2006, requires that we comply with certain financial, capital raising and production milestone covenants. In accordance with the amended credit facility agreement with our banks, in addition to amounts we have raised to date, we are required to raise approximately $8 million by June 30, 2006. In the July 2005 amendment to our credit facility agreement, our banks agreed to amend our financial ratios and covenants through the third quarter of 2006. We anticipate that we will not be in compliance with all of the financial ratios and covenants under the amended facility agreement commencing in the fourth quarter of 2006. Should we fail to raise the funds required under our facility agreement in a timely manner or to comply with our revised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Israeli banking laws may impose restrictions on the total debt that we may borrow from our banks.</w:t>
      </w:r>
    </w:p>
    <w:p>
      <w:pPr>
        <w:sectPr>
          <w:pgSz w:w="11900" w:h="16838" w:orient="portrait"/>
          <w:cols w:equalWidth="0" w:num="1">
            <w:col w:w="11340"/>
          </w:cols>
          <w:pgMar w:left="240" w:top="131" w:right="319" w:bottom="0" w:gutter="0" w:footer="0" w:header="0"/>
          <w:type w:val="continuous"/>
        </w:sectPr>
      </w:pPr>
    </w:p>
    <w:bookmarkStart w:id="6" w:name="page7"/>
    <w:bookmarkEnd w:id="6"/>
    <w:p>
      <w:pPr>
        <w:spacing w:after="0" w:line="2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our banks exceed these limitations, they may limit our ability to borrow other money in the future and may require us to return some or all of our outstanding borrowings (which were approximately $526.7 million as of January 31, 2006), which may have a material adverse effect on our business, financial condition and results of operations.</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6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may increase our cost of operations.</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6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defend our intellectual property rights could harm our business.</w:t>
      </w:r>
    </w:p>
    <w:p>
      <w:pPr>
        <w:spacing w:after="0" w:line="25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 One of these agreements expired at the end of 2005, and we are currently negotiating its renewal. If we are unable to renew it on similar terms, we may have to agree to less favorable terms or consider other alternatives, including designing around certain processes.</w:t>
      </w:r>
    </w:p>
    <w:p>
      <w:pPr>
        <w:spacing w:after="0" w:line="172"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ectPr>
          <w:pgSz w:w="11900" w:h="16866" w:orient="portrait"/>
          <w:cols w:equalWidth="0" w:num="1">
            <w:col w:w="11420"/>
          </w:cols>
          <w:pgMar w:left="240" w:top="131" w:right="239" w:bottom="0" w:gutter="0" w:footer="0" w:header="0"/>
        </w:sectPr>
      </w:pPr>
    </w:p>
    <w:bookmarkStart w:id="7" w:name="page8"/>
    <w:bookmarkEnd w:id="7"/>
    <w:p>
      <w:pPr>
        <w:ind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As of December 31, 2005, we held 54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Israel Investment Center that we received in connection with Fab 1.</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Since 2003, 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48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 such as the earthquakes experienced in China, Japan and Taiwan;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ectPr>
          <w:pgSz w:w="11900" w:h="16838" w:orient="portrait"/>
          <w:cols w:equalWidth="0" w:num="1">
            <w:col w:w="11400"/>
          </w:cols>
          <w:pgMar w:left="240" w:top="590" w:right="259" w:bottom="202"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our new executive officers are unable to fully transition into their new positions, our company may be adversely affected.</w:t>
      </w:r>
    </w:p>
    <w:p>
      <w:pPr>
        <w:sectPr>
          <w:pgSz w:w="11900" w:h="16838" w:orient="portrait"/>
          <w:cols w:equalWidth="0" w:num="1">
            <w:col w:w="11400"/>
          </w:cols>
          <w:pgMar w:left="240" w:top="590" w:right="259" w:bottom="202" w:gutter="0" w:footer="0" w:header="0"/>
          <w:type w:val="continuous"/>
        </w:sectPr>
      </w:pPr>
    </w:p>
    <w:bookmarkStart w:id="8" w:name="page9"/>
    <w:bookmarkEnd w:id="8"/>
    <w:p>
      <w:pPr>
        <w:ind w:right="580" w:firstLine="351"/>
        <w:spacing w:after="0" w:line="268" w:lineRule="auto"/>
        <w:rPr>
          <w:sz w:val="20"/>
          <w:szCs w:val="20"/>
          <w:color w:val="auto"/>
        </w:rPr>
      </w:pPr>
      <w:r>
        <w:rPr>
          <w:rFonts w:ascii="Arial" w:cs="Arial" w:eastAsia="Arial" w:hAnsi="Arial"/>
          <w:sz w:val="18"/>
          <w:szCs w:val="18"/>
          <w:color w:val="auto"/>
        </w:rPr>
        <w:t>In 2004 and 2005 we made several changes to our senior management team. If our new executive officers are unable to fully transition into their new positions, or if such transition is significantly delayed, our company may be adversely affected.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Securities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31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Issuance of additional shares pursuant to our Fab 2 financing arrangements and options granted to our Fab 2 building contractor, employees and directors may dilute the interest of our shareholders.</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Fab 2, we have issued as of February 19, 2006, 62,552,440 ordinary shares to our wafer and equity partners and other shareholders. In December 2003, we issued to our banks and to one of our shareholders warrants exercisable into 896,596 and 58,906 ordinary shares, respectively, with an exercise price of $6.17. In addition, in connection with the July 2005 amendment to our credit facility agreement, we issued warrants to our banks exercisable into an aggregate 8,264,464 ordinary shares with an exercise price of $1.21, one-half of which shall only be exercisable if our banks agree to reschedule the repayment dates of the loans to be made available to us under the July 2005 amendment. As of February 19, 2006, up to approximately 44.2 million additional ordinary shares may be issued upon the conversion of our 2002 outstanding convertible debentures, 2006 outstanding convertible debentures and upon exercise of warrants held by some of our shareholders and others.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as of February 19, 2006, we had outstanding employee and directors options to purchase up to approximately 13 million shares at a weighted average exercise price of $4.16.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relevant quarter. As of February 14, 2006, we had issued 1,504,866 of our ordinary shares to SanDisk Corporation and 2,557,953 ordinary shares to Alliance Semiconductor upon conversion of $6.6 million of wafer credits. Following such conversions, an aggregate of $31.9 million of credits issued to our three major wafer partners were outstanding as of February 19, 2006.</w:t>
      </w:r>
    </w:p>
    <w:p>
      <w:pPr>
        <w:spacing w:after="0" w:line="17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addition, we need to raise significant additional funds from other sources to finance our short-term activities and liabilities, including payments on the long-term loans from our banks, and negative cash flows from operations, as well as to complete the ramp-up of Fab 2. We are regularly engaged in discussions with potential investors in order to attract them to make investments in our company.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Of our 74,846,449 outstanding ordinary shares as of February 19, 2006, 31,224,743 are freely tradable and held by non-affiliates. In addition, certain of our affiliates (Israel Corp., SanDisk Corporation, Alliance Semiconductor, and Macronix International) hold 43,621,706 of our shares, of which 4,086,037 are registered for resale and are therefore freely tradable and 35,590,013 are currently eligible for sale subject to the time, volume and manner of sale limitations of Rule 144. An additional 2,557,953 shares held by Alliance Semiconductor will become eligible for sale subject to the time, volume and manner of sale limitations of Rule 144 during 2006 and 2007. An additional 1,387,703 shares held by SanDisk Corporation will become eligible for sale subject to the time, volume and manner of sale limitations of Rule 144 during 2006 and 2007. Shares held by these affiliates are subject to the share transfer restrictions set forth in the shareholders agreement to which they are a party and which remain in effect through January 2008. Up to 38,589,275 additional shares, including the 28,356,005 covered by this prospectus, issuable upon the conversion of our convertible debentures due 2012, would be freely tradable.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interest in ways which may be adverse to your interests.</w:t>
      </w:r>
    </w:p>
    <w:p>
      <w:pPr>
        <w:spacing w:after="0" w:line="180" w:lineRule="exact"/>
        <w:rPr>
          <w:sz w:val="20"/>
          <w:szCs w:val="20"/>
          <w:color w:val="auto"/>
        </w:rPr>
      </w:pPr>
    </w:p>
    <w:p>
      <w:pPr>
        <w:ind w:right="80" w:firstLine="341"/>
        <w:spacing w:after="0" w:line="335" w:lineRule="auto"/>
        <w:rPr>
          <w:sz w:val="20"/>
          <w:szCs w:val="20"/>
          <w:color w:val="auto"/>
        </w:rPr>
      </w:pPr>
      <w:r>
        <w:rPr>
          <w:rFonts w:ascii="Arial" w:cs="Arial" w:eastAsia="Arial" w:hAnsi="Arial"/>
          <w:sz w:val="15"/>
          <w:szCs w:val="15"/>
          <w:color w:val="auto"/>
        </w:rPr>
        <w:t>As of February 19, 2006, our wafer partners and Israel Corp. collectively own approximately 60%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w:t>
      </w:r>
    </w:p>
    <w:p>
      <w:pPr>
        <w:sectPr>
          <w:pgSz w:w="11900" w:h="16838" w:orient="portrait"/>
          <w:cols w:equalWidth="0" w:num="1">
            <w:col w:w="11420"/>
          </w:cols>
          <w:pgMar w:left="240" w:top="131" w:right="239" w:bottom="0" w:gutter="0" w:footer="0" w:header="0"/>
        </w:sectPr>
      </w:pPr>
    </w:p>
    <w:bookmarkStart w:id="9" w:name="page10"/>
    <w:bookmarkEnd w:id="9"/>
    <w:p>
      <w:pPr>
        <w:ind w:right="140"/>
        <w:spacing w:after="0" w:line="294" w:lineRule="auto"/>
        <w:rPr>
          <w:sz w:val="20"/>
          <w:szCs w:val="20"/>
          <w:color w:val="auto"/>
        </w:rPr>
      </w:pPr>
      <w:r>
        <w:rPr>
          <w:rFonts w:ascii="Arial" w:cs="Arial" w:eastAsia="Arial" w:hAnsi="Arial"/>
          <w:sz w:val="16"/>
          <w:szCs w:val="16"/>
          <w:color w:val="auto"/>
        </w:rPr>
        <w:t>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payment of principal of and interest on the debentures is subordinated to our indebtedness to our banks and obligations to secured creditors.</w:t>
      </w:r>
    </w:p>
    <w:p>
      <w:pPr>
        <w:spacing w:after="0" w:line="25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payment of the principal of and interest on the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$158.1 million in grants received through December 31, 2005 under the Investment Center’s “Approved Enterprise” program, and to a first ranking charge in favor of Siliconix Technology C.V., on one of our bank accounts in which Siliconix Technology C.V. deposited in 2004 $20 million for the purchase of equipment and other expenses in connection with the performance of our obligations under our agreement with Siliconix (of which as of December 31, 2005, there is a balance of approximately $10 million) and over the equipment which has been or which may be subsequently purchased with such funds. As a result, upon any distribution to our creditors in liquidation or reorganization or similar proceedings, these secured creditors will be entitled to be paid in full before any payment may be made with respect to the debentures issuable under this prospectus. In any of these circumstances, we may not have sufficient assets remaining to pay amounts due on any or all of the debentures then outstanding. In addition, if on a payment date of the principal of or interest on the debentures, an “Event of Default” exists under our facility agreement, the dates for payment of interest and principal on the debentures may be postponed, depending on various scenarios under the facility agreement. If, in such event, we reach an agreement with the banks (with respect to rescheduling our debt to the banks), the debenture holders may be bound thereby. The terms of the Indenture covering the debentures permit the Co-Trustees to initiate legal proceedings against us only in a limited number of cases, and always provided that an advance notice is given to us and to the banks (see “Description of the Debentures – Subordination of Debentures”).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including indebtedness that would be senior to our debentures.</w:t>
      </w:r>
    </w:p>
    <w:p>
      <w:pPr>
        <w:spacing w:after="0" w:line="231"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 If new indebtedness is added to our current indebtedness levels, the related risks that we now face could intensify.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ordinary shares may decline after debentures are converted into our ordinary shares.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cannot assure you that the public trading market price of our ordinary shares will not decline after conversion of the debentures. If the prevailing market price were to decline below the conversion price of our debentures then you may not be able to sell your ordinary shares at a price equal to or greater than the conversion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price of the debentures is not an indication of our present or future value.</w:t>
      </w:r>
    </w:p>
    <w:p>
      <w:pPr>
        <w:spacing w:after="0" w:line="231" w:lineRule="exact"/>
        <w:rPr>
          <w:sz w:val="20"/>
          <w:szCs w:val="20"/>
          <w:color w:val="auto"/>
        </w:rPr>
      </w:pPr>
    </w:p>
    <w:p>
      <w:pPr>
        <w:ind w:right="240" w:firstLine="351"/>
        <w:spacing w:after="0" w:line="290" w:lineRule="auto"/>
        <w:rPr>
          <w:sz w:val="20"/>
          <w:szCs w:val="20"/>
          <w:color w:val="auto"/>
        </w:rPr>
      </w:pPr>
      <w:r>
        <w:rPr>
          <w:rFonts w:ascii="Arial" w:cs="Arial" w:eastAsia="Arial" w:hAnsi="Arial"/>
          <w:sz w:val="16"/>
          <w:szCs w:val="16"/>
          <w:color w:val="auto"/>
        </w:rPr>
        <w:t>Our board of directors set all of the terms and conditions of the debentures, including the conversion price. Our company’s objective in establishing the conversion price was to reflect recent trading prices, raise the targeted proceeds and provide all of our shareholders with a reasonable opportunity to make an additional investment in our company. We consulted with a financial advisor in order to assist in the determination of the commercial terms. In establishing the commercial terms, including the conversion price, our board of directors and its audit committee considered the following factors: the strategic alternatives available to us for raising capital, the market price of our ordinary shares, the pro rata nature of the offering, pricing of similar transactions, the advice of the financial advisor, our business prospects and general conditions in the securities markets. The conversion price, however, does not necessarily bear any relationship to our past or expected future results of operations, cash flows, current financial condition, or any other established criteria for value.</w:t>
      </w:r>
    </w:p>
    <w:p>
      <w:pPr>
        <w:spacing w:after="0" w:line="172"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conversion price does not necessarily bear any relationship to the book value of our assets, past operations, cash flow, losses or financial condition. You should not consider the conversion price of the debentures an indication of our present or future value.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312"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w:t>
      </w:r>
    </w:p>
    <w:p>
      <w:pPr>
        <w:sectPr>
          <w:pgSz w:w="11900" w:h="16838" w:orient="portrait"/>
          <w:cols w:equalWidth="0" w:num="1">
            <w:col w:w="11420"/>
          </w:cols>
          <w:pgMar w:left="240" w:top="131" w:right="239" w:bottom="0" w:gutter="0" w:footer="0" w:header="0"/>
        </w:sectPr>
      </w:pPr>
    </w:p>
    <w:bookmarkStart w:id="10" w:name="page11"/>
    <w:bookmarkEnd w:id="10"/>
    <w:p>
      <w:pPr>
        <w:jc w:val="both"/>
        <w:ind w:right="120"/>
        <w:spacing w:after="0" w:line="259" w:lineRule="auto"/>
        <w:rPr>
          <w:sz w:val="20"/>
          <w:szCs w:val="20"/>
          <w:color w:val="auto"/>
        </w:rPr>
      </w:pPr>
      <w:r>
        <w:rPr>
          <w:rFonts w:ascii="Arial" w:cs="Arial" w:eastAsia="Arial" w:hAnsi="Arial"/>
          <w:sz w:val="18"/>
          <w:szCs w:val="18"/>
          <w:color w:val="auto"/>
        </w:rPr>
        <w:t>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by its terms on December 31, 2006.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and directors and some of the experts named in this prospectus or to assert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12"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2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ectPr>
          <w:pgSz w:w="11900" w:h="16838" w:orient="portrait"/>
          <w:cols w:equalWidth="0" w:num="1">
            <w:col w:w="11400"/>
          </w:cols>
          <w:pgMar w:left="240" w:top="131" w:right="259" w:bottom="225"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225"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 of earnings to fixed charges in accordance with Israeli GAAP for the periods presented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gridSpan w:val="5"/>
          </w:tcPr>
          <w:p>
            <w:pPr>
              <w:jc w:val="center"/>
              <w:ind w:left="66"/>
              <w:spacing w:after="0"/>
              <w:rPr>
                <w:sz w:val="20"/>
                <w:szCs w:val="20"/>
                <w:color w:val="auto"/>
              </w:rPr>
            </w:pPr>
            <w:r>
              <w:rPr>
                <w:rFonts w:ascii="Arial" w:cs="Arial" w:eastAsia="Arial" w:hAnsi="Arial"/>
                <w:sz w:val="14"/>
                <w:szCs w:val="14"/>
                <w:b w:val="1"/>
                <w:bCs w:val="1"/>
                <w:color w:val="auto"/>
                <w:w w:val="87"/>
              </w:rPr>
              <w:t>Year Ended December 31,</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5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jc w:val="right"/>
              <w:ind w:right="362"/>
              <w:spacing w:after="0"/>
              <w:rPr>
                <w:sz w:val="20"/>
                <w:szCs w:val="20"/>
                <w:color w:val="auto"/>
              </w:rPr>
            </w:pPr>
            <w:r>
              <w:rPr>
                <w:rFonts w:ascii="Arial" w:cs="Arial" w:eastAsia="Arial" w:hAnsi="Arial"/>
                <w:sz w:val="14"/>
                <w:szCs w:val="14"/>
                <w:b w:val="1"/>
                <w:bCs w:val="1"/>
                <w:color w:val="auto"/>
              </w:rPr>
              <w:t>2005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4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62"/>
              <w:spacing w:after="0"/>
              <w:rPr>
                <w:sz w:val="20"/>
                <w:szCs w:val="20"/>
                <w:color w:val="auto"/>
              </w:rPr>
            </w:pPr>
            <w:r>
              <w:rPr>
                <w:rFonts w:ascii="Arial" w:cs="Arial" w:eastAsia="Arial" w:hAnsi="Arial"/>
                <w:sz w:val="14"/>
                <w:szCs w:val="14"/>
                <w:b w:val="1"/>
                <w:bCs w:val="1"/>
                <w:color w:val="auto"/>
              </w:rPr>
              <w:t>2002</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r>
      <w:tr>
        <w:trPr>
          <w:trHeight w:val="95"/>
        </w:trPr>
        <w:tc>
          <w:tcPr>
            <w:tcW w:w="55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09"/>
        </w:trPr>
        <w:tc>
          <w:tcPr>
            <w:tcW w:w="5580" w:type="dxa"/>
            <w:vAlign w:val="bottom"/>
            <w:gridSpan w:val="2"/>
          </w:tcPr>
          <w:p>
            <w:pPr>
              <w:spacing w:after="0"/>
              <w:rPr>
                <w:sz w:val="20"/>
                <w:szCs w:val="20"/>
                <w:color w:val="auto"/>
              </w:rPr>
            </w:pPr>
            <w:r>
              <w:rPr>
                <w:rFonts w:ascii="Arial" w:cs="Arial" w:eastAsia="Arial" w:hAnsi="Arial"/>
                <w:sz w:val="18"/>
                <w:szCs w:val="18"/>
                <w:color w:val="auto"/>
              </w:rPr>
              <w:t>Ratio of earnings to fixed</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charges</w:t>
            </w:r>
          </w:p>
        </w:tc>
        <w:tc>
          <w:tcPr>
            <w:tcW w:w="1120" w:type="dxa"/>
            <w:vAlign w:val="bottom"/>
          </w:tcPr>
          <w:p>
            <w:pPr>
              <w:jc w:val="right"/>
              <w:ind w:right="52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(1)</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(2)</w:t>
            </w: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22"/>
              <w:spacing w:after="0"/>
              <w:rPr>
                <w:sz w:val="20"/>
                <w:szCs w:val="20"/>
                <w:color w:val="auto"/>
              </w:rPr>
            </w:pPr>
            <w:r>
              <w:rPr>
                <w:rFonts w:ascii="Arial" w:cs="Arial" w:eastAsia="Arial" w:hAnsi="Arial"/>
                <w:sz w:val="18"/>
                <w:szCs w:val="18"/>
                <w:color w:val="auto"/>
                <w:w w:val="96"/>
              </w:rPr>
              <w:t>__</w:t>
            </w:r>
            <w:r>
              <w:rPr>
                <w:rFonts w:ascii="Arial" w:cs="Arial" w:eastAsia="Arial" w:hAnsi="Arial"/>
                <w:sz w:val="14"/>
                <w:szCs w:val="14"/>
                <w:color w:val="auto"/>
                <w:w w:val="96"/>
              </w:rPr>
              <w:t>(4)</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(5)</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3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$201.7 million in 2005.</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$127.3 million in 2003.</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$63.7 million in 2002.</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$49.5 million in 2001.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200" w:type="dxa"/>
            <w:vAlign w:val="bottom"/>
          </w:tcPr>
          <w:p>
            <w:pPr>
              <w:jc w:val="right"/>
              <w:ind w:right="395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c>
          <w:tcPr>
            <w:tcW w:w="5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38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rPr>
              <w:t>CAPITALIZATION</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0000" w:type="dxa"/>
            <w:vAlign w:val="bottom"/>
            <w:gridSpan w:val="5"/>
          </w:tcPr>
          <w:p>
            <w:pPr>
              <w:ind w:left="340"/>
              <w:spacing w:after="0"/>
              <w:rPr>
                <w:sz w:val="20"/>
                <w:szCs w:val="20"/>
                <w:color w:val="auto"/>
              </w:rPr>
            </w:pPr>
            <w:r>
              <w:rPr>
                <w:rFonts w:ascii="Arial" w:cs="Arial" w:eastAsia="Arial" w:hAnsi="Arial"/>
                <w:sz w:val="18"/>
                <w:szCs w:val="18"/>
                <w:color w:val="auto"/>
                <w:w w:val="89"/>
              </w:rPr>
              <w:t>The following table sets forth our long-term debt, convertible debentures and capitalization as of December 31, 2005 on an actual basis.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December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maturities of convertibles debentures</w:t>
            </w:r>
          </w:p>
        </w:tc>
        <w:tc>
          <w:tcPr>
            <w:tcW w:w="5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Current maturities of long-term debt</w:t>
            </w: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9"/>
                <w:szCs w:val="29"/>
                <w:color w:val="auto"/>
                <w:vertAlign w:val="superscript"/>
              </w:rPr>
              <w:t>(1)</w:t>
            </w:r>
          </w:p>
        </w:tc>
        <w:tc>
          <w:tcPr>
            <w:tcW w:w="5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497,000</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Convertible debentures</w:t>
            </w:r>
          </w:p>
        </w:tc>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liability in respect of customer advances</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8"/>
        </w:trPr>
        <w:tc>
          <w:tcPr>
            <w:tcW w:w="4640" w:type="dxa"/>
            <w:vAlign w:val="bottom"/>
            <w:gridSpan w:val="3"/>
          </w:tcPr>
          <w:p>
            <w:pPr>
              <w:spacing w:after="0"/>
              <w:rPr>
                <w:sz w:val="20"/>
                <w:szCs w:val="20"/>
                <w:color w:val="auto"/>
              </w:rPr>
            </w:pPr>
            <w:r>
              <w:rPr>
                <w:rFonts w:ascii="Arial" w:cs="Arial" w:eastAsia="Arial" w:hAnsi="Arial"/>
                <w:sz w:val="18"/>
                <w:szCs w:val="18"/>
                <w:color w:val="auto"/>
              </w:rPr>
              <w:t xml:space="preserve">Convertible debentures due 2012 </w:t>
            </w:r>
            <w:r>
              <w:rPr>
                <w:rFonts w:ascii="Arial" w:cs="Arial" w:eastAsia="Arial" w:hAnsi="Arial"/>
                <w:sz w:val="29"/>
                <w:szCs w:val="29"/>
                <w:color w:val="auto"/>
                <w:vertAlign w:val="superscript"/>
              </w:rPr>
              <w:t>(2)</w:t>
            </w: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25,493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 (deficit):</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w w:val="95"/>
              </w:rPr>
              <w:t>Ordinary Shares, NIS 1.00 par value per share; 500,000,000</w:t>
            </w: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0"/>
              <w:spacing w:after="0"/>
              <w:rPr>
                <w:sz w:val="20"/>
                <w:szCs w:val="20"/>
                <w:color w:val="auto"/>
              </w:rPr>
            </w:pPr>
            <w:r>
              <w:rPr>
                <w:rFonts w:ascii="Arial" w:cs="Arial" w:eastAsia="Arial" w:hAnsi="Arial"/>
                <w:sz w:val="18"/>
                <w:szCs w:val="18"/>
                <w:color w:val="auto"/>
                <w:w w:val="91"/>
              </w:rPr>
              <w:t>authorized shares, 68,232,056 issued shares* and 66,932,056</w:t>
            </w: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40"/>
              <w:spacing w:after="0"/>
              <w:rPr>
                <w:sz w:val="20"/>
                <w:szCs w:val="20"/>
                <w:color w:val="auto"/>
              </w:rPr>
            </w:pPr>
            <w:r>
              <w:rPr>
                <w:rFonts w:ascii="Arial" w:cs="Arial" w:eastAsia="Arial" w:hAnsi="Arial"/>
                <w:sz w:val="18"/>
                <w:szCs w:val="18"/>
                <w:color w:val="auto"/>
              </w:rPr>
              <w:t>outstanding shares</w:t>
            </w:r>
          </w:p>
        </w:tc>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Shareholders receivables</w:t>
            </w: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(559,754)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Treasury stock, 1,300,000 shares</w:t>
            </w:r>
          </w:p>
        </w:tc>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 (deficit)</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288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4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5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678,686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28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1,300,000 treasury shares.</w:t>
      </w:r>
    </w:p>
    <w:p>
      <w:pPr>
        <w:ind w:left="580" w:hanging="572"/>
        <w:spacing w:after="0" w:line="185" w:lineRule="auto"/>
        <w:tabs>
          <w:tab w:leader="none" w:pos="58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The indebtedness represented by long-term debt is secured by specific and floating liens on all of our assets.</w:t>
      </w:r>
    </w:p>
    <w:p>
      <w:pPr>
        <w:spacing w:after="0" w:line="8" w:lineRule="exact"/>
        <w:rPr>
          <w:rFonts w:ascii="Arial" w:cs="Arial" w:eastAsia="Arial" w:hAnsi="Arial"/>
          <w:sz w:val="26"/>
          <w:szCs w:val="26"/>
          <w:color w:val="auto"/>
          <w:vertAlign w:val="superscript"/>
        </w:rPr>
      </w:pPr>
    </w:p>
    <w:p>
      <w:pPr>
        <w:ind w:left="580" w:right="320" w:hanging="572"/>
        <w:spacing w:after="0" w:line="188" w:lineRule="auto"/>
        <w:tabs>
          <w:tab w:leader="none" w:pos="5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Received in December 2005 on account of convertible debentures issued in January 2006. Excludes the additional $22.68 million received in January 2006. An aggregate of $48.17 million principal amount of these convertible debentures were issued.</w:t>
      </w: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December 31, 2005:</w:t>
      </w:r>
    </w:p>
    <w:p>
      <w:pPr>
        <w:spacing w:after="0" w:line="225" w:lineRule="exact"/>
        <w:rPr>
          <w:sz w:val="20"/>
          <w:szCs w:val="20"/>
          <w:color w:val="auto"/>
        </w:rPr>
      </w:pPr>
    </w:p>
    <w:p>
      <w:pPr>
        <w:ind w:left="560" w:hanging="201"/>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Approximately 13 million ordinary shares issuable upon exercise of options granted to employees and directors at a weighted average exercise price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$4.16;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40" w:firstLine="359"/>
        <w:spacing w:after="0" w:line="332" w:lineRule="auto"/>
        <w:tabs>
          <w:tab w:leader="none" w:pos="609" w:val="left"/>
        </w:tabs>
        <w:numPr>
          <w:ilvl w:val="0"/>
          <w:numId w:val="15"/>
        </w:numPr>
        <w:rPr>
          <w:rFonts w:ascii="Arial" w:cs="Arial" w:eastAsia="Arial" w:hAnsi="Arial"/>
          <w:sz w:val="16"/>
          <w:szCs w:val="16"/>
          <w:color w:val="auto"/>
        </w:rPr>
      </w:pPr>
      <w:r>
        <w:rPr>
          <w:rFonts w:ascii="Arial" w:cs="Arial" w:eastAsia="Arial" w:hAnsi="Arial"/>
          <w:sz w:val="16"/>
          <w:szCs w:val="16"/>
          <w:color w:val="auto"/>
        </w:rPr>
        <w:t>up to 2,697,068 ordinary shares issuable upon conversion of unsecured, subordinated convertible debentures, net that we issued in January 2002 in the amount of NIS 120.0 million (or $26.1 million, as of December 31, 2005), which are convertible through December 31, 2008;</w:t>
      </w:r>
    </w:p>
    <w:p>
      <w:pPr>
        <w:spacing w:after="0" w:line="139" w:lineRule="exact"/>
        <w:rPr>
          <w:rFonts w:ascii="Arial" w:cs="Arial" w:eastAsia="Arial" w:hAnsi="Arial"/>
          <w:sz w:val="16"/>
          <w:szCs w:val="16"/>
          <w:color w:val="auto"/>
        </w:rPr>
      </w:pPr>
    </w:p>
    <w:p>
      <w:pPr>
        <w:ind w:right="760" w:firstLine="359"/>
        <w:spacing w:after="0" w:line="268" w:lineRule="auto"/>
        <w:tabs>
          <w:tab w:leader="none" w:pos="6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2,211,596 ordinary shares issuable upon exercise of options (expired on January 20, 2006 at an exercise price of NIS 42.3, linked to the Israeli Consumer Price Index (or $9.2, as of December 31, 2005);</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3,594,070 ordinary shares issuable upon exercise of warrants with an exercise price of $7.50 exercisable until October 2006;</w:t>
      </w:r>
    </w:p>
    <w:p>
      <w:pPr>
        <w:sectPr>
          <w:pgSz w:w="11900" w:h="16838" w:orient="portrait"/>
          <w:cols w:equalWidth="0" w:num="1">
            <w:col w:w="11420"/>
          </w:cols>
          <w:pgMar w:left="240" w:top="125" w:right="239" w:bottom="202" w:gutter="0" w:footer="0" w:header="0"/>
        </w:sectPr>
      </w:pPr>
    </w:p>
    <w:bookmarkStart w:id="12" w:name="page13"/>
    <w:bookmarkEnd w:id="12"/>
    <w:p>
      <w:pPr>
        <w:ind w:right="140" w:firstLine="359"/>
        <w:spacing w:after="0" w:line="268"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400,000 ordinary shares issuable upon the exercise of warrants issued to our banks in connection with our credit facility with an exercise price of $6.20, which expired in January 2006;</w:t>
      </w:r>
    </w:p>
    <w:p>
      <w:pPr>
        <w:spacing w:after="0" w:line="185" w:lineRule="exact"/>
        <w:rPr>
          <w:rFonts w:ascii="Arial" w:cs="Arial" w:eastAsia="Arial" w:hAnsi="Arial"/>
          <w:sz w:val="18"/>
          <w:szCs w:val="18"/>
          <w:color w:val="auto"/>
        </w:rPr>
      </w:pPr>
    </w:p>
    <w:p>
      <w:pPr>
        <w:ind w:right="140" w:firstLine="359"/>
        <w:spacing w:after="0" w:line="268"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896,596 ordinary shares issuable upon the exercise of warrants issued to our banks in connection with our credit facility with an exercise price of $6.17 per share exercisable until December 2008;</w:t>
      </w:r>
    </w:p>
    <w:p>
      <w:pPr>
        <w:spacing w:after="0" w:line="185" w:lineRule="exact"/>
        <w:rPr>
          <w:rFonts w:ascii="Arial" w:cs="Arial" w:eastAsia="Arial" w:hAnsi="Arial"/>
          <w:sz w:val="18"/>
          <w:szCs w:val="18"/>
          <w:color w:val="auto"/>
        </w:rPr>
      </w:pPr>
    </w:p>
    <w:p>
      <w:pPr>
        <w:ind w:right="460" w:firstLine="359"/>
        <w:spacing w:after="0" w:line="268" w:lineRule="auto"/>
        <w:tabs>
          <w:tab w:leader="none" w:pos="6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185" w:lineRule="exact"/>
        <w:rPr>
          <w:rFonts w:ascii="Arial" w:cs="Arial" w:eastAsia="Arial" w:hAnsi="Arial"/>
          <w:sz w:val="18"/>
          <w:szCs w:val="18"/>
          <w:color w:val="auto"/>
        </w:rPr>
      </w:pPr>
    </w:p>
    <w:p>
      <w:pPr>
        <w:jc w:val="both"/>
        <w:ind w:right="320" w:firstLine="359"/>
        <w:spacing w:after="0" w:line="259" w:lineRule="auto"/>
        <w:tabs>
          <w:tab w:leader="none" w:pos="7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8,264,464 ordinary shares issuable upon exercise of the warrants we issued to our banks with an exercise price of $1.21 in connection with the July 2005 amendment to our facility agreement one-half of which shall only be exercisable if our banks agree to reschedule the repayment dates of the loans to be made available to us under the July 2005 amendment; and</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addition, the information does not reflect the (i) $8.6 million we borrowed under our credit facility agreement after December 31, 2005, (ii) the repayment in January 2006 of NIS 30.0 million (approximately $6.5 million) principal amount of the debentures in (ii) above), (iii) the 257,491 shares issued in January 2006 and the 2,455,905 issued to certain of our wafer partners in connection with their conversion of wafer credits, and (iv) up to 43,790,272 ordinary shares issuable upon conversion of our convertible debentures due 2012, of which 5,220,997 shares were issued upon conversion of such debentures as of February 19, 2006.</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and agreements with our major wafer partners and with Israel Corp. which cannot be calculated as of the date of this prospectus since the number of shares issuable will depend upon future transactions in which we may engage: (i) ordinary shares issuable upon conversion of up to $31.9 million in wafer prepayment credits (as of February 2, 2006) which we have issued to our major wafer partners; and (ii) ordinary shares issuable upon conversion of securities we may be required to issue in connection with a rights offering and outside investor provisions agreed to in the November 2003 amendment to our facility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will not receive any of the proceeds from the sale of debentures by our selling securityholders or from the sale of the ordinary shares issuable upon conversion of the debentures or exercise of the warrants; however we will receive the exercise price if any of the warrants are exercised, unless the holders thereof exercise by way of a “cashless” exercise. We will receive approximately $15.5 million if all 9,161,060 warrants held by the selling securityholders are exercised, unless the holders thereof exercise by way of a “cashless” exercise. The net proceeds received from the exercise of the warrants will be used towards the construction and deployment of Fab 2 as well as for general corporate purposes. We have agreed to bear all expenses relating to the registration of the securities registered pursuant to the registration statement, of which this prospectus is a part.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and other information.</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securities covered by this prospectus were issued to the selling securityholders pursuant to the following transactions.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January 12, 2006, we completed the issuance of debentures in connection with the distribution of rights to our shareholders and certain employee option holders in December 2005, resulting in gross proceeds of $48.17 million. Of the $48.17 million, $31,191,606 were the result of issuances of debentures to the below listed selling securityholders in transactions exempted from the requirements of the Securities Act. These debentures are convertible, at a conversion price of $1.10 of aggregate principal amount, into 28,356,005 ordinary shares.</w:t>
      </w:r>
    </w:p>
    <w:p>
      <w:pPr>
        <w:spacing w:after="0" w:line="19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Israel Corporation Ltd., Alliance Semiconductor Corporation, Macronix (BVI) Co Ltd., SanDisk Corporation, Sphera Master Fund LP, Do Tzah Ltd., Ramco 20 Flexible, and Ramco Stocks may use this prospectus to resell up to $31,191,606 principal amount in debentures and up to 28,356,005 ordinary shares issuable upon conversion of the debentures.</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August 2005, we issued warrants for the purchase of 8,264,464 of our ordinary shares to Bank Hapoalim and Bank Leumi Le-Israel (4,132,232 each). These warrants were issued in connection with an amendment to our credit facility agreement. These warrants have an exercise price of $1.21 per share. One-half, or an aggregate of 4,132,232 of the warrants, are exercisable for five years ending in August 2010, and one-half, or an aggregate of 4,132,232 of the warrants, shall be exercisable for a five-year period commencing on the date on which we and our banks will agree, if at all, to a rescheduling of the repayment dates for loans drawn down by us under the July 2005 amendment to our facility agreement. For the purpose of beneficial ownership it is assumed that such condition will be fulfilled within 60 days.</w:t>
      </w:r>
    </w:p>
    <w:p>
      <w:pPr>
        <w:spacing w:after="0" w:line="198"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December 2003, we issued warrants for the purchase of 896,596 of our ordinary shares to Tarshish Hahzakot Vehashkaot Hapoalim Ltd., a subsidiary of Bank Hapoalim, and Bank Leumi Le-Israel (448,298 each). These warrants were issued in connection with an amendment to our credit facility agreement in November 2003. These warrants have an exercise price of $6.17 per share and expire in December 2008.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Bank Hapaolim, Tarshish Hahzakot Vehashkaot Hapoalim Ltd., and Bank Leumi may use this prospectus to resell up to 9,161,060 shares issuable upon the exercise of their outstanding warrants.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Information concerning the material relationships between us and certain of the selling securityholders can be found in our reports incorporated herein by reference into this prospectus, particularly Item 5. “Operating and Financial Review and Prospects – B. Liquidity and Capital Resources – Fab 2 Agreements” and Item 7. “Major Shareholders and Related Party Transactions – Major Shareholders” of our annual report on Form 20-F for the year ended December 31, 2004, filed on June 29, 2005, and in notes 11 (A) (3)-(6) to the financial statements attached as Exhibit 99.2 to our report on Form 6-K filed on February 2, 2006.</w:t>
      </w:r>
    </w:p>
    <w:p>
      <w:pPr>
        <w:spacing w:after="0" w:line="16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Nothing in this Registration Statement shall be construed as an admission that any selling securityholder is the beneficial owner of any of our securities, other than the securities held directly by such party, nor that any selling securityholder or other persons or entities constitute a “group”, for purposes of Section 13(d) of the Exchange Act and the rules promulgated thereunder.</w:t>
      </w:r>
    </w:p>
    <w:p>
      <w:pPr>
        <w:sectPr>
          <w:pgSz w:w="11900" w:h="16838" w:orient="portrait"/>
          <w:cols w:equalWidth="0" w:num="1">
            <w:col w:w="11420"/>
          </w:cols>
          <w:pgMar w:left="240" w:top="131" w:right="239" w:bottom="0" w:gutter="0" w:footer="0" w:header="0"/>
        </w:sectPr>
      </w:pPr>
    </w:p>
    <w:bookmarkStart w:id="13" w:name="page14"/>
    <w:bookmarkEnd w:id="13"/>
    <w:p>
      <w:pPr>
        <w:ind w:firstLine="348"/>
        <w:spacing w:after="0" w:line="259" w:lineRule="auto"/>
        <w:rPr>
          <w:sz w:val="20"/>
          <w:szCs w:val="20"/>
          <w:color w:val="auto"/>
        </w:rPr>
      </w:pPr>
      <w:r>
        <w:rPr>
          <w:rFonts w:ascii="Arial" w:cs="Arial" w:eastAsia="Arial" w:hAnsi="Arial"/>
          <w:sz w:val="18"/>
          <w:szCs w:val="18"/>
          <w:color w:val="auto"/>
        </w:rPr>
        <w:t>The following table assumes that each selling securityholder will sell all of the securities owned by it and covered by this prospectus. Information included in the table is based upon information provided by the selling securityholders. Our registration of these securities does not necessarily mean that the selling securityholders will sell any or all of the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otherwise noted below none of the selling securityholders are broker-dealers or affiliates of broker-dealers.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4"/>
              </w:rPr>
              <w:t>Securities Beneficially</w:t>
            </w:r>
          </w:p>
        </w:tc>
        <w:tc>
          <w:tcPr>
            <w:tcW w:w="40" w:type="dxa"/>
            <w:vAlign w:val="bottom"/>
          </w:tcPr>
          <w:p>
            <w:pPr>
              <w:spacing w:after="0"/>
              <w:rPr>
                <w:sz w:val="14"/>
                <w:szCs w:val="14"/>
                <w:color w:val="auto"/>
              </w:rPr>
            </w:pPr>
          </w:p>
        </w:tc>
        <w:tc>
          <w:tcPr>
            <w:tcW w:w="3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Securities Beneficially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Owned Prior to Offering /</w:t>
            </w:r>
          </w:p>
        </w:tc>
        <w:tc>
          <w:tcPr>
            <w:tcW w:w="40" w:type="dxa"/>
            <w:vAlign w:val="bottom"/>
          </w:tcPr>
          <w:p>
            <w:pPr>
              <w:spacing w:after="0"/>
              <w:rPr>
                <w:sz w:val="12"/>
                <w:szCs w:val="12"/>
                <w:color w:val="auto"/>
              </w:rPr>
            </w:pPr>
          </w:p>
        </w:tc>
        <w:tc>
          <w:tcPr>
            <w:tcW w:w="3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Upon Completion of Offering /</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2"/>
          </w:tcPr>
          <w:p>
            <w:pPr>
              <w:ind w:left="860"/>
              <w:spacing w:after="0"/>
              <w:rPr>
                <w:sz w:val="20"/>
                <w:szCs w:val="20"/>
                <w:color w:val="auto"/>
              </w:rPr>
            </w:pPr>
            <w:r>
              <w:rPr>
                <w:rFonts w:ascii="Arial" w:cs="Arial" w:eastAsia="Arial" w:hAnsi="Arial"/>
                <w:sz w:val="14"/>
                <w:szCs w:val="14"/>
                <w:b w:val="1"/>
                <w:bCs w:val="1"/>
                <w:color w:val="auto"/>
              </w:rPr>
              <w:t>Names and Addresses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Securities Being Offered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3"/>
              </w:rPr>
              <w:t>Percentage of Class</w:t>
            </w:r>
            <w:r>
              <w:rPr>
                <w:rFonts w:ascii="Arial" w:cs="Arial" w:eastAsia="Arial" w:hAnsi="Arial"/>
                <w:sz w:val="22"/>
                <w:szCs w:val="22"/>
                <w:b w:val="1"/>
                <w:bCs w:val="1"/>
                <w:color w:val="auto"/>
                <w:w w:val="83"/>
                <w:vertAlign w:val="superscript"/>
              </w:rPr>
              <w:t>1</w:t>
            </w:r>
          </w:p>
        </w:tc>
        <w:tc>
          <w:tcPr>
            <w:tcW w:w="40" w:type="dxa"/>
            <w:vAlign w:val="bottom"/>
          </w:tcPr>
          <w:p>
            <w:pPr>
              <w:spacing w:after="0"/>
              <w:rPr>
                <w:sz w:val="24"/>
                <w:szCs w:val="24"/>
                <w:color w:val="auto"/>
              </w:rPr>
            </w:pPr>
          </w:p>
        </w:tc>
        <w:tc>
          <w:tcPr>
            <w:tcW w:w="3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Percentage of Class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16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Israel Corporation Ltd. </w:t>
            </w:r>
            <w:r>
              <w:rPr>
                <w:rFonts w:ascii="Arial" w:cs="Arial" w:eastAsia="Arial" w:hAnsi="Arial"/>
                <w:sz w:val="29"/>
                <w:szCs w:val="29"/>
                <w:color w:val="auto"/>
                <w:vertAlign w:val="superscript"/>
              </w:rPr>
              <w:t>9,11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18,181,823</w:t>
            </w:r>
          </w:p>
        </w:tc>
        <w:tc>
          <w:tcPr>
            <w:tcW w:w="12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33,324,887</w:t>
            </w:r>
          </w:p>
        </w:tc>
        <w:tc>
          <w:tcPr>
            <w:tcW w:w="190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35.49%</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15,143,064</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 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23 Arania Street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20,000,006</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20,000,006</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 /41.52%</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Debentures /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Millenium Tower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Tel-Aviv, Israel 61204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2880" w:type="dxa"/>
            <w:vAlign w:val="bottom"/>
            <w:gridSpan w:val="4"/>
          </w:tcPr>
          <w:p>
            <w:pPr>
              <w:spacing w:after="0"/>
              <w:rPr>
                <w:sz w:val="20"/>
                <w:szCs w:val="20"/>
                <w:color w:val="auto"/>
              </w:rPr>
            </w:pPr>
            <w:r>
              <w:rPr>
                <w:rFonts w:ascii="Arial" w:cs="Arial" w:eastAsia="Arial" w:hAnsi="Arial"/>
                <w:sz w:val="18"/>
                <w:szCs w:val="18"/>
                <w:color w:val="auto"/>
              </w:rPr>
              <w:t xml:space="preserve">Macronix (BVI) Co Ltd. </w:t>
            </w:r>
            <w:r>
              <w:rPr>
                <w:rFonts w:ascii="Arial" w:cs="Arial" w:eastAsia="Arial" w:hAnsi="Arial"/>
                <w:sz w:val="29"/>
                <w:szCs w:val="29"/>
                <w:color w:val="auto"/>
                <w:vertAlign w:val="superscript"/>
              </w:rPr>
              <w:t>8,9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909,090</w:t>
            </w:r>
          </w:p>
        </w:tc>
        <w:tc>
          <w:tcPr>
            <w:tcW w:w="126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9,979,485</w:t>
            </w:r>
          </w:p>
        </w:tc>
        <w:tc>
          <w:tcPr>
            <w:tcW w:w="190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 13.12%</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9,070,395</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Shares / 12.07%</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Arial" w:cs="Arial" w:eastAsia="Arial" w:hAnsi="Arial"/>
                <w:sz w:val="18"/>
                <w:szCs w:val="18"/>
                <w:color w:val="auto"/>
              </w:rPr>
              <w:t>PO Box 957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1,000,000</w:t>
            </w:r>
          </w:p>
        </w:tc>
        <w:tc>
          <w:tcPr>
            <w:tcW w:w="1260" w:type="dxa"/>
            <w:vAlign w:val="bottom"/>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1,000,000</w:t>
            </w:r>
          </w:p>
        </w:tc>
        <w:tc>
          <w:tcPr>
            <w:tcW w:w="1900" w:type="dxa"/>
            <w:vAlign w:val="bottom"/>
          </w:tcPr>
          <w:p>
            <w:pPr>
              <w:ind w:left="120"/>
              <w:spacing w:after="0"/>
              <w:rPr>
                <w:sz w:val="20"/>
                <w:szCs w:val="20"/>
                <w:color w:val="auto"/>
              </w:rPr>
            </w:pPr>
            <w:r>
              <w:rPr>
                <w:rFonts w:ascii="Arial" w:cs="Arial" w:eastAsia="Arial" w:hAnsi="Arial"/>
                <w:sz w:val="18"/>
                <w:szCs w:val="18"/>
                <w:color w:val="auto"/>
              </w:rPr>
              <w:t>Debentures / 2.08%</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Debentures / 0%</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Arial" w:cs="Arial" w:eastAsia="Arial" w:hAnsi="Arial"/>
                <w:sz w:val="18"/>
                <w:szCs w:val="18"/>
                <w:color w:val="auto"/>
              </w:rPr>
              <w:t>Offshore Incorporations Centre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Arial" w:cs="Arial" w:eastAsia="Arial" w:hAnsi="Arial"/>
                <w:sz w:val="18"/>
                <w:szCs w:val="18"/>
                <w:color w:val="auto"/>
              </w:rPr>
              <w:t>Road Town Tortola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4"/>
          </w:tcPr>
          <w:p>
            <w:pPr>
              <w:spacing w:after="0"/>
              <w:rPr>
                <w:sz w:val="20"/>
                <w:szCs w:val="20"/>
                <w:color w:val="auto"/>
              </w:rPr>
            </w:pPr>
            <w:r>
              <w:rPr>
                <w:rFonts w:ascii="Arial" w:cs="Arial" w:eastAsia="Arial" w:hAnsi="Arial"/>
                <w:sz w:val="18"/>
                <w:szCs w:val="18"/>
                <w:color w:val="auto"/>
              </w:rPr>
              <w:t>British Virgin Islands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Alliance Semiconductor</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3,009,818</w:t>
            </w:r>
          </w:p>
        </w:tc>
        <w:tc>
          <w:tcPr>
            <w:tcW w:w="12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14,171,082</w:t>
            </w:r>
          </w:p>
        </w:tc>
        <w:tc>
          <w:tcPr>
            <w:tcW w:w="190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 18.12%</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11,161,264</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 14.84%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Corporation </w:t>
            </w:r>
            <w:r>
              <w:rPr>
                <w:rFonts w:ascii="Arial" w:cs="Arial" w:eastAsia="Arial" w:hAnsi="Arial"/>
                <w:sz w:val="29"/>
                <w:szCs w:val="29"/>
                <w:color w:val="auto"/>
                <w:vertAlign w:val="superscript"/>
              </w:rPr>
              <w:t>8,9</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3,310,800</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3,310,800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 / 6.87%</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Debentures /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2575 Augustine Drive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Santa Clara, CA 95054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2880" w:type="dxa"/>
            <w:vAlign w:val="bottom"/>
            <w:gridSpan w:val="4"/>
          </w:tcPr>
          <w:p>
            <w:pPr>
              <w:spacing w:after="0"/>
              <w:rPr>
                <w:sz w:val="20"/>
                <w:szCs w:val="20"/>
                <w:color w:val="auto"/>
              </w:rPr>
            </w:pPr>
            <w:r>
              <w:rPr>
                <w:rFonts w:ascii="Arial" w:cs="Arial" w:eastAsia="Arial" w:hAnsi="Arial"/>
                <w:sz w:val="18"/>
                <w:szCs w:val="18"/>
                <w:color w:val="auto"/>
              </w:rPr>
              <w:t xml:space="preserve">SanDisk Corporation </w:t>
            </w:r>
            <w:r>
              <w:rPr>
                <w:rFonts w:ascii="Arial" w:cs="Arial" w:eastAsia="Arial" w:hAnsi="Arial"/>
                <w:sz w:val="29"/>
                <w:szCs w:val="29"/>
                <w:color w:val="auto"/>
                <w:vertAlign w:val="superscript"/>
              </w:rPr>
              <w:t>8,9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3,181,818</w:t>
            </w:r>
          </w:p>
        </w:tc>
        <w:tc>
          <w:tcPr>
            <w:tcW w:w="126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86"/>
              </w:rPr>
              <w:t>13,989,245</w:t>
            </w:r>
          </w:p>
        </w:tc>
        <w:tc>
          <w:tcPr>
            <w:tcW w:w="190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 17.85%</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10,807,427</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Shares / 14.37%</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Arial" w:cs="Arial" w:eastAsia="Arial" w:hAnsi="Arial"/>
                <w:sz w:val="18"/>
                <w:szCs w:val="18"/>
                <w:color w:val="auto"/>
              </w:rPr>
              <w:t>140 Caspian Court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3,500,000</w:t>
            </w:r>
          </w:p>
        </w:tc>
        <w:tc>
          <w:tcPr>
            <w:tcW w:w="1260" w:type="dxa"/>
            <w:vAlign w:val="bottom"/>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3,500,000</w:t>
            </w:r>
          </w:p>
        </w:tc>
        <w:tc>
          <w:tcPr>
            <w:tcW w:w="1900" w:type="dxa"/>
            <w:vAlign w:val="bottom"/>
          </w:tcPr>
          <w:p>
            <w:pPr>
              <w:ind w:left="120"/>
              <w:spacing w:after="0"/>
              <w:rPr>
                <w:sz w:val="20"/>
                <w:szCs w:val="20"/>
                <w:color w:val="auto"/>
              </w:rPr>
            </w:pPr>
            <w:r>
              <w:rPr>
                <w:rFonts w:ascii="Arial" w:cs="Arial" w:eastAsia="Arial" w:hAnsi="Arial"/>
                <w:sz w:val="18"/>
                <w:szCs w:val="18"/>
                <w:color w:val="auto"/>
              </w:rPr>
              <w:t>Debentures / 7.27%</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Debentures / 0%</w:t>
            </w:r>
          </w:p>
        </w:tc>
        <w:tc>
          <w:tcPr>
            <w:tcW w:w="0" w:type="dxa"/>
            <w:vAlign w:val="bottom"/>
          </w:tcPr>
          <w:p>
            <w:pPr>
              <w:spacing w:after="0"/>
              <w:rPr>
                <w:sz w:val="1"/>
                <w:szCs w:val="1"/>
                <w:color w:val="auto"/>
              </w:rPr>
            </w:pPr>
          </w:p>
        </w:tc>
      </w:tr>
      <w:tr>
        <w:trPr>
          <w:trHeight w:val="222"/>
        </w:trPr>
        <w:tc>
          <w:tcPr>
            <w:tcW w:w="2880" w:type="dxa"/>
            <w:vAlign w:val="bottom"/>
            <w:gridSpan w:val="4"/>
          </w:tcPr>
          <w:p>
            <w:pPr>
              <w:spacing w:after="0"/>
              <w:rPr>
                <w:sz w:val="20"/>
                <w:szCs w:val="20"/>
                <w:color w:val="auto"/>
              </w:rPr>
            </w:pPr>
            <w:r>
              <w:rPr>
                <w:rFonts w:ascii="Arial" w:cs="Arial" w:eastAsia="Arial" w:hAnsi="Arial"/>
                <w:sz w:val="18"/>
                <w:szCs w:val="18"/>
                <w:color w:val="auto"/>
              </w:rPr>
              <w:t>Sunnyvale, California 94089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Sphera Master Fund LP </w:t>
            </w:r>
            <w:r>
              <w:rPr>
                <w:rFonts w:ascii="Arial" w:cs="Arial" w:eastAsia="Arial" w:hAnsi="Arial"/>
                <w:sz w:val="29"/>
                <w:szCs w:val="29"/>
                <w:color w:val="auto"/>
                <w:vertAlign w:val="superscript"/>
              </w:rPr>
              <w:t>12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2,179,181</w:t>
            </w:r>
          </w:p>
        </w:tc>
        <w:tc>
          <w:tcPr>
            <w:tcW w:w="12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2,179,181</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 2.83%</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21 Haarbaah Street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2,397,100</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2,397,100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 / 4.98%</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Debentures /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Platinum House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Tel-Aviv, Israel 64739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2880" w:type="dxa"/>
            <w:vAlign w:val="bottom"/>
            <w:gridSpan w:val="4"/>
          </w:tcPr>
          <w:p>
            <w:pPr>
              <w:spacing w:after="0"/>
              <w:rPr>
                <w:sz w:val="20"/>
                <w:szCs w:val="20"/>
                <w:color w:val="auto"/>
              </w:rPr>
            </w:pPr>
            <w:r>
              <w:rPr>
                <w:rFonts w:ascii="Arial" w:cs="Arial" w:eastAsia="Arial" w:hAnsi="Arial"/>
                <w:sz w:val="18"/>
                <w:szCs w:val="18"/>
                <w:color w:val="auto"/>
              </w:rPr>
              <w:t xml:space="preserve">Do Tzah Ltd. </w:t>
            </w:r>
            <w:r>
              <w:rPr>
                <w:rFonts w:ascii="Arial" w:cs="Arial" w:eastAsia="Arial" w:hAnsi="Arial"/>
                <w:sz w:val="29"/>
                <w:szCs w:val="29"/>
                <w:color w:val="auto"/>
                <w:vertAlign w:val="superscript"/>
              </w:rPr>
              <w:t>13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474,454</w:t>
            </w:r>
          </w:p>
        </w:tc>
        <w:tc>
          <w:tcPr>
            <w:tcW w:w="126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474,454</w:t>
            </w:r>
          </w:p>
        </w:tc>
        <w:tc>
          <w:tcPr>
            <w:tcW w:w="1900" w:type="dxa"/>
            <w:vAlign w:val="bottom"/>
          </w:tcPr>
          <w:p>
            <w:pPr>
              <w:ind w:left="120"/>
              <w:spacing w:after="0"/>
              <w:rPr>
                <w:sz w:val="20"/>
                <w:szCs w:val="20"/>
                <w:color w:val="auto"/>
              </w:rPr>
            </w:pPr>
            <w:r>
              <w:rPr>
                <w:rFonts w:ascii="Arial" w:cs="Arial" w:eastAsia="Arial" w:hAnsi="Arial"/>
                <w:sz w:val="18"/>
                <w:szCs w:val="18"/>
                <w:color w:val="auto"/>
              </w:rPr>
              <w:t>Shares / 0.63%</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Shares / 0%</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Arial" w:cs="Arial" w:eastAsia="Arial" w:hAnsi="Arial"/>
                <w:sz w:val="18"/>
                <w:szCs w:val="18"/>
                <w:color w:val="auto"/>
              </w:rPr>
              <w:t>37 Menachem Begin Road</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521,900</w:t>
            </w:r>
          </w:p>
        </w:tc>
        <w:tc>
          <w:tcPr>
            <w:tcW w:w="1260" w:type="dxa"/>
            <w:vAlign w:val="bottom"/>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521,900</w:t>
            </w:r>
          </w:p>
        </w:tc>
        <w:tc>
          <w:tcPr>
            <w:tcW w:w="1900" w:type="dxa"/>
            <w:vAlign w:val="bottom"/>
          </w:tcPr>
          <w:p>
            <w:pPr>
              <w:ind w:left="120"/>
              <w:spacing w:after="0"/>
              <w:rPr>
                <w:sz w:val="20"/>
                <w:szCs w:val="20"/>
                <w:color w:val="auto"/>
              </w:rPr>
            </w:pPr>
            <w:r>
              <w:rPr>
                <w:rFonts w:ascii="Arial" w:cs="Arial" w:eastAsia="Arial" w:hAnsi="Arial"/>
                <w:sz w:val="18"/>
                <w:szCs w:val="18"/>
                <w:color w:val="auto"/>
              </w:rPr>
              <w:t>Debentures / 1.08%</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Debentures / 0%</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Arial" w:cs="Arial" w:eastAsia="Arial" w:hAnsi="Arial"/>
                <w:sz w:val="18"/>
                <w:szCs w:val="18"/>
                <w:color w:val="auto"/>
              </w:rPr>
              <w:t>Rubinstein House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4"/>
          </w:tcPr>
          <w:p>
            <w:pPr>
              <w:spacing w:after="0"/>
              <w:rPr>
                <w:sz w:val="20"/>
                <w:szCs w:val="20"/>
                <w:color w:val="auto"/>
              </w:rPr>
            </w:pPr>
            <w:r>
              <w:rPr>
                <w:rFonts w:ascii="Arial" w:cs="Arial" w:eastAsia="Arial" w:hAnsi="Arial"/>
                <w:sz w:val="18"/>
                <w:szCs w:val="18"/>
                <w:color w:val="auto"/>
              </w:rPr>
              <w:t>Tel-Aviv, Israel 67137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Ramco 20 Flexible </w:t>
            </w:r>
            <w:r>
              <w:rPr>
                <w:rFonts w:ascii="Arial" w:cs="Arial" w:eastAsia="Arial" w:hAnsi="Arial"/>
                <w:sz w:val="29"/>
                <w:szCs w:val="29"/>
                <w:color w:val="auto"/>
                <w:vertAlign w:val="superscript"/>
              </w:rPr>
              <w:t>14</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251,890</w:t>
            </w:r>
          </w:p>
        </w:tc>
        <w:tc>
          <w:tcPr>
            <w:tcW w:w="12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251,890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 0.34%</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41 Rotschild Boulevard</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277,080</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277,080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 / 0.58%</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Debentures / 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Zion House - 14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Tel-Aviv, Israel 86784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2880" w:type="dxa"/>
            <w:vAlign w:val="bottom"/>
            <w:gridSpan w:val="4"/>
          </w:tcPr>
          <w:p>
            <w:pPr>
              <w:spacing w:after="0"/>
              <w:rPr>
                <w:sz w:val="20"/>
                <w:szCs w:val="20"/>
                <w:color w:val="auto"/>
              </w:rPr>
            </w:pPr>
            <w:r>
              <w:rPr>
                <w:rFonts w:ascii="Arial" w:cs="Arial" w:eastAsia="Arial" w:hAnsi="Arial"/>
                <w:sz w:val="18"/>
                <w:szCs w:val="18"/>
                <w:color w:val="auto"/>
              </w:rPr>
              <w:t xml:space="preserve">Ramco Stocks </w:t>
            </w:r>
            <w:r>
              <w:rPr>
                <w:rFonts w:ascii="Arial" w:cs="Arial" w:eastAsia="Arial" w:hAnsi="Arial"/>
                <w:sz w:val="29"/>
                <w:szCs w:val="29"/>
                <w:color w:val="auto"/>
                <w:vertAlign w:val="superscript"/>
              </w:rPr>
              <w:t>14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167,927</w:t>
            </w:r>
          </w:p>
        </w:tc>
        <w:tc>
          <w:tcPr>
            <w:tcW w:w="126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167,927</w:t>
            </w:r>
          </w:p>
        </w:tc>
        <w:tc>
          <w:tcPr>
            <w:tcW w:w="1900" w:type="dxa"/>
            <w:vAlign w:val="bottom"/>
          </w:tcPr>
          <w:p>
            <w:pPr>
              <w:ind w:left="120"/>
              <w:spacing w:after="0"/>
              <w:rPr>
                <w:sz w:val="20"/>
                <w:szCs w:val="20"/>
                <w:color w:val="auto"/>
              </w:rPr>
            </w:pPr>
            <w:r>
              <w:rPr>
                <w:rFonts w:ascii="Arial" w:cs="Arial" w:eastAsia="Arial" w:hAnsi="Arial"/>
                <w:sz w:val="18"/>
                <w:szCs w:val="18"/>
                <w:color w:val="auto"/>
              </w:rPr>
              <w:t>Shares / 0.22%</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Shares / 0%</w:t>
            </w:r>
          </w:p>
        </w:tc>
        <w:tc>
          <w:tcPr>
            <w:tcW w:w="0" w:type="dxa"/>
            <w:vAlign w:val="bottom"/>
          </w:tcPr>
          <w:p>
            <w:pPr>
              <w:spacing w:after="0"/>
              <w:rPr>
                <w:sz w:val="1"/>
                <w:szCs w:val="1"/>
                <w:color w:val="auto"/>
              </w:rPr>
            </w:pPr>
          </w:p>
        </w:tc>
      </w:tr>
      <w:tr>
        <w:trPr>
          <w:trHeight w:val="217"/>
        </w:trPr>
        <w:tc>
          <w:tcPr>
            <w:tcW w:w="2880" w:type="dxa"/>
            <w:vAlign w:val="bottom"/>
            <w:gridSpan w:val="4"/>
          </w:tcPr>
          <w:p>
            <w:pPr>
              <w:spacing w:after="0"/>
              <w:rPr>
                <w:sz w:val="20"/>
                <w:szCs w:val="20"/>
                <w:color w:val="auto"/>
              </w:rPr>
            </w:pPr>
            <w:r>
              <w:rPr>
                <w:rFonts w:ascii="Arial" w:cs="Arial" w:eastAsia="Arial" w:hAnsi="Arial"/>
                <w:sz w:val="18"/>
                <w:szCs w:val="18"/>
                <w:color w:val="auto"/>
              </w:rPr>
              <w:t>41 Rotschild Boulevard</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184,720</w:t>
            </w:r>
          </w:p>
        </w:tc>
        <w:tc>
          <w:tcPr>
            <w:tcW w:w="1260" w:type="dxa"/>
            <w:vAlign w:val="bottom"/>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184,720</w:t>
            </w:r>
          </w:p>
        </w:tc>
        <w:tc>
          <w:tcPr>
            <w:tcW w:w="1900" w:type="dxa"/>
            <w:vAlign w:val="bottom"/>
          </w:tcPr>
          <w:p>
            <w:pPr>
              <w:ind w:left="120"/>
              <w:spacing w:after="0"/>
              <w:rPr>
                <w:sz w:val="20"/>
                <w:szCs w:val="20"/>
                <w:color w:val="auto"/>
              </w:rPr>
            </w:pPr>
            <w:r>
              <w:rPr>
                <w:rFonts w:ascii="Arial" w:cs="Arial" w:eastAsia="Arial" w:hAnsi="Arial"/>
                <w:sz w:val="18"/>
                <w:szCs w:val="18"/>
                <w:color w:val="auto"/>
              </w:rPr>
              <w:t>Debentures / 0.38%</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Debentures / 0%</w:t>
            </w:r>
          </w:p>
        </w:tc>
        <w:tc>
          <w:tcPr>
            <w:tcW w:w="0" w:type="dxa"/>
            <w:vAlign w:val="bottom"/>
          </w:tcPr>
          <w:p>
            <w:pPr>
              <w:spacing w:after="0"/>
              <w:rPr>
                <w:sz w:val="1"/>
                <w:szCs w:val="1"/>
                <w:color w:val="auto"/>
              </w:rPr>
            </w:pPr>
          </w:p>
        </w:tc>
      </w:tr>
      <w:tr>
        <w:trPr>
          <w:trHeight w:val="255"/>
        </w:trPr>
        <w:tc>
          <w:tcPr>
            <w:tcW w:w="2880" w:type="dxa"/>
            <w:vAlign w:val="bottom"/>
            <w:gridSpan w:val="4"/>
          </w:tcPr>
          <w:p>
            <w:pPr>
              <w:spacing w:after="0" w:line="255" w:lineRule="exact"/>
              <w:rPr>
                <w:sz w:val="20"/>
                <w:szCs w:val="20"/>
                <w:color w:val="auto"/>
              </w:rPr>
            </w:pPr>
            <w:r>
              <w:rPr>
                <w:rFonts w:ascii="Arial" w:cs="Arial" w:eastAsia="Arial" w:hAnsi="Arial"/>
                <w:sz w:val="18"/>
                <w:szCs w:val="18"/>
                <w:color w:val="auto"/>
              </w:rPr>
              <w:t>Zion House - 14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880" w:type="dxa"/>
            <w:vAlign w:val="bottom"/>
            <w:gridSpan w:val="4"/>
          </w:tcPr>
          <w:p>
            <w:pPr>
              <w:spacing w:after="0"/>
              <w:rPr>
                <w:sz w:val="20"/>
                <w:szCs w:val="20"/>
                <w:color w:val="auto"/>
              </w:rPr>
            </w:pPr>
            <w:r>
              <w:rPr>
                <w:rFonts w:ascii="Arial" w:cs="Arial" w:eastAsia="Arial" w:hAnsi="Arial"/>
                <w:sz w:val="18"/>
                <w:szCs w:val="18"/>
                <w:color w:val="auto"/>
              </w:rPr>
              <w:t>Tel-Aviv, Israel 86784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Bank Hapoalim </w:t>
            </w:r>
            <w:r>
              <w:rPr>
                <w:rFonts w:ascii="Arial" w:cs="Arial" w:eastAsia="Arial" w:hAnsi="Arial"/>
                <w:sz w:val="29"/>
                <w:szCs w:val="29"/>
                <w:color w:val="auto"/>
                <w:vertAlign w:val="superscript"/>
              </w:rPr>
              <w:t>10,11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4,580,530</w:t>
            </w:r>
          </w:p>
        </w:tc>
        <w:tc>
          <w:tcPr>
            <w:tcW w:w="12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4,580,530</w:t>
            </w:r>
          </w:p>
        </w:tc>
        <w:tc>
          <w:tcPr>
            <w:tcW w:w="190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7</w:t>
            </w:r>
            <w:r>
              <w:rPr>
                <w:rFonts w:ascii="Arial" w:cs="Arial" w:eastAsia="Arial" w:hAnsi="Arial"/>
                <w:sz w:val="18"/>
                <w:szCs w:val="18"/>
                <w:color w:val="auto"/>
              </w:rPr>
              <w:t>/ 5.77%</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 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Zion Building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45 Rothschild Boulevard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Tel-Aviv, Israel</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880" w:type="dxa"/>
            <w:vAlign w:val="bottom"/>
            <w:gridSpan w:val="4"/>
          </w:tcPr>
          <w:p>
            <w:pPr>
              <w:spacing w:after="0"/>
              <w:rPr>
                <w:sz w:val="20"/>
                <w:szCs w:val="20"/>
                <w:color w:val="auto"/>
              </w:rPr>
            </w:pPr>
            <w:r>
              <w:rPr>
                <w:rFonts w:ascii="Arial" w:cs="Arial" w:eastAsia="Arial" w:hAnsi="Arial"/>
                <w:sz w:val="18"/>
                <w:szCs w:val="18"/>
                <w:color w:val="auto"/>
              </w:rPr>
              <w:t xml:space="preserve">Bank Leumi </w:t>
            </w:r>
            <w:r>
              <w:rPr>
                <w:rFonts w:ascii="Arial" w:cs="Arial" w:eastAsia="Arial" w:hAnsi="Arial"/>
                <w:sz w:val="29"/>
                <w:szCs w:val="29"/>
                <w:color w:val="auto"/>
                <w:vertAlign w:val="superscript"/>
              </w:rPr>
              <w:t>11,15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4,580,530</w:t>
            </w:r>
          </w:p>
        </w:tc>
        <w:tc>
          <w:tcPr>
            <w:tcW w:w="126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4,580,530</w:t>
            </w:r>
          </w:p>
        </w:tc>
        <w:tc>
          <w:tcPr>
            <w:tcW w:w="190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7</w:t>
            </w:r>
            <w:r>
              <w:rPr>
                <w:rFonts w:ascii="Arial" w:cs="Arial" w:eastAsia="Arial" w:hAnsi="Arial"/>
                <w:sz w:val="18"/>
                <w:szCs w:val="18"/>
                <w:color w:val="auto"/>
              </w:rPr>
              <w:t>/ 5.77%</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Shares / 0%</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Arial" w:cs="Arial" w:eastAsia="Arial" w:hAnsi="Arial"/>
                <w:sz w:val="18"/>
                <w:szCs w:val="18"/>
                <w:color w:val="auto"/>
              </w:rPr>
              <w:t>34 Yehuda Halevi Street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4"/>
          </w:tcPr>
          <w:p>
            <w:pPr>
              <w:spacing w:after="0"/>
              <w:rPr>
                <w:sz w:val="20"/>
                <w:szCs w:val="20"/>
                <w:color w:val="auto"/>
              </w:rPr>
            </w:pPr>
            <w:r>
              <w:rPr>
                <w:rFonts w:ascii="Arial" w:cs="Arial" w:eastAsia="Arial" w:hAnsi="Arial"/>
                <w:sz w:val="18"/>
                <w:szCs w:val="18"/>
                <w:color w:val="auto"/>
              </w:rPr>
              <w:t>Tel-Aviv, Israel</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575"/>
              <w:spacing w:after="0"/>
              <w:rPr>
                <w:sz w:val="20"/>
                <w:szCs w:val="20"/>
                <w:color w:val="auto"/>
              </w:rPr>
            </w:pPr>
            <w:r>
              <w:rPr>
                <w:rFonts w:ascii="Arial" w:cs="Arial" w:eastAsia="Arial" w:hAnsi="Arial"/>
                <w:sz w:val="18"/>
                <w:szCs w:val="18"/>
                <w:color w:val="auto"/>
              </w:rPr>
              <w:t>18</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160" w:right="220" w:hanging="571"/>
        <w:spacing w:after="0" w:line="194" w:lineRule="auto"/>
        <w:tabs>
          <w:tab w:leader="none" w:pos="11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Beneficial ownership is calculated as of February 19, 2006 in accordance with General Instruction F. to Form 20-F. and is based on 74,846,449 ordinary shares outstanding.</w:t>
      </w:r>
    </w:p>
    <w:p>
      <w:pPr>
        <w:ind w:left="1160" w:hanging="571"/>
        <w:spacing w:after="0" w:line="181" w:lineRule="auto"/>
        <w:tabs>
          <w:tab w:leader="none" w:pos="1160"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To be issued upon conversion of debentures at a price of $1.10 aggregate debenture principal amount per share.</w:t>
      </w:r>
    </w:p>
    <w:p>
      <w:pPr>
        <w:ind w:left="1160" w:hanging="571"/>
        <w:spacing w:after="0" w:line="181" w:lineRule="auto"/>
        <w:tabs>
          <w:tab w:leader="none" w:pos="116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Includes 823,654 ordinary shares issuable upon exercise of warrants and 58,906 ordinary shares issuable upon exercise of warrants and</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18,181,823 ordinary shares issuable upon conversion of debentures.</w:t>
      </w:r>
    </w:p>
    <w:p>
      <w:pPr>
        <w:ind w:left="1160" w:hanging="571"/>
        <w:spacing w:after="0" w:line="181" w:lineRule="auto"/>
        <w:tabs>
          <w:tab w:leader="none" w:pos="1160"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Includes 297,000 ordinary shares issuable upon exercise of warrants and 909,090 ordinary shares issuable upon conversion of debentures.</w:t>
      </w:r>
    </w:p>
    <w:p>
      <w:pPr>
        <w:ind w:left="1160" w:hanging="571"/>
        <w:spacing w:after="0" w:line="181" w:lineRule="auto"/>
        <w:tabs>
          <w:tab w:leader="none" w:pos="116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Includes 357,747 ordinary shares issuable upon exercise of warrants and 3,009,818 ordinary shares issuable upon conversion of debentures.</w:t>
      </w:r>
    </w:p>
    <w:p>
      <w:pPr>
        <w:ind w:left="1160" w:hanging="571"/>
        <w:spacing w:after="0" w:line="180" w:lineRule="auto"/>
        <w:tabs>
          <w:tab w:leader="none" w:pos="1160"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Includes 360,312 ordinary shares issuable upon exercise of warrants and 3,181,818 ordinary shares issuable upon conversion of debentures.</w:t>
      </w:r>
    </w:p>
    <w:p>
      <w:pPr>
        <w:spacing w:after="0" w:line="7" w:lineRule="exact"/>
        <w:rPr>
          <w:sz w:val="20"/>
          <w:szCs w:val="20"/>
          <w:color w:val="auto"/>
        </w:rPr>
      </w:pPr>
    </w:p>
    <w:p>
      <w:pPr>
        <w:ind w:left="1160" w:right="280" w:hanging="571"/>
        <w:spacing w:after="0" w:line="221" w:lineRule="auto"/>
        <w:tabs>
          <w:tab w:leader="none" w:pos="1160"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Includes 4,132,232 ordinary shares issuable upon exercise of selling securityholder’s warrants assuming we and our banks will agree, to a rescheduling of the repayment dates for loans drawn down by us under the July 2005 amendment to our facility agreement within 60 days and</w:t>
      </w:r>
    </w:p>
    <w:p>
      <w:pPr>
        <w:sectPr>
          <w:pgSz w:w="11900" w:h="16838" w:orient="portrait"/>
          <w:cols w:equalWidth="0" w:num="1">
            <w:col w:w="11420"/>
          </w:cols>
          <w:pgMar w:left="240" w:top="131" w:right="239" w:bottom="0" w:gutter="0" w:footer="0" w:header="0"/>
        </w:sectPr>
      </w:pPr>
    </w:p>
    <w:bookmarkStart w:id="14" w:name="page15"/>
    <w:bookmarkEnd w:id="14"/>
    <w:p>
      <w:pPr>
        <w:ind w:left="1160" w:right="640"/>
        <w:spacing w:after="0" w:line="254" w:lineRule="auto"/>
        <w:rPr>
          <w:sz w:val="20"/>
          <w:szCs w:val="20"/>
          <w:color w:val="auto"/>
        </w:rPr>
      </w:pPr>
      <w:r>
        <w:rPr>
          <w:rFonts w:ascii="Arial" w:cs="Arial" w:eastAsia="Arial" w:hAnsi="Arial"/>
          <w:sz w:val="18"/>
          <w:szCs w:val="18"/>
          <w:color w:val="auto"/>
        </w:rPr>
        <w:t>448,298 ordinary shares issuable upon exercise of warrants issued to Tarshish Hahzakot Vehashkaot Hapoalim Ltd., a subsidiary of Bank Hapoalim and Bank Leumi Le-Israel.</w:t>
      </w:r>
    </w:p>
    <w:p>
      <w:pPr>
        <w:ind w:left="1160" w:hanging="571"/>
        <w:spacing w:after="0" w:line="180" w:lineRule="auto"/>
        <w:tabs>
          <w:tab w:leader="none" w:pos="1160"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This selling securityholder is a reporting company under the Securities Exchange Act of 1934.</w:t>
      </w:r>
    </w:p>
    <w:p>
      <w:pPr>
        <w:ind w:left="1160" w:hanging="571"/>
        <w:spacing w:after="0" w:line="181" w:lineRule="auto"/>
        <w:tabs>
          <w:tab w:leader="none" w:pos="1160"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Under a shareholders agreement described below, SanDisk Corporation, Israel Corporation, Alliance Semiconductor Ltd. and Macronix</w:t>
      </w:r>
    </w:p>
    <w:p>
      <w:pPr>
        <w:spacing w:after="0" w:line="210" w:lineRule="exact"/>
        <w:rPr>
          <w:sz w:val="20"/>
          <w:szCs w:val="20"/>
          <w:color w:val="auto"/>
        </w:rPr>
      </w:pPr>
    </w:p>
    <w:p>
      <w:pPr>
        <w:ind w:left="1160" w:right="120" w:hanging="571"/>
        <w:spacing w:after="0" w:line="210" w:lineRule="auto"/>
        <w:tabs>
          <w:tab w:leader="none" w:pos="116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This selling securityholder is an affiliate of a broker-dealer. This selling securityholder has represented to us that it (i) purchased the securities in the ordinary course of business and (ii) did not have an agreement or understanding, directly or indirectly, with any person to distribute the securities at the time it purchased the securities.</w:t>
      </w:r>
    </w:p>
    <w:p>
      <w:pPr>
        <w:ind w:left="1160" w:hanging="571"/>
        <w:spacing w:after="0" w:line="180" w:lineRule="auto"/>
        <w:tabs>
          <w:tab w:leader="none" w:pos="116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This selling securityholder is a public company registered with the Israel Securities Authority.</w:t>
      </w:r>
    </w:p>
    <w:p>
      <w:pPr>
        <w:spacing w:after="0" w:line="8" w:lineRule="exact"/>
        <w:rPr>
          <w:rFonts w:ascii="Arial" w:cs="Arial" w:eastAsia="Arial" w:hAnsi="Arial"/>
          <w:sz w:val="25"/>
          <w:szCs w:val="25"/>
          <w:color w:val="auto"/>
          <w:vertAlign w:val="superscript"/>
        </w:rPr>
      </w:pPr>
    </w:p>
    <w:p>
      <w:pPr>
        <w:ind w:left="1160" w:right="220" w:hanging="571"/>
        <w:spacing w:after="0" w:line="188" w:lineRule="auto"/>
        <w:tabs>
          <w:tab w:leader="none" w:pos="116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This selling securityholder is controlled by Sphera G.P.L.P., the general partner of which is controlled by Ron Senator, Doron Breen, and Israel Mor who serve as the directors thereof.</w:t>
      </w:r>
    </w:p>
    <w:p>
      <w:pPr>
        <w:spacing w:after="0" w:line="1" w:lineRule="exact"/>
        <w:rPr>
          <w:rFonts w:ascii="Arial" w:cs="Arial" w:eastAsia="Arial" w:hAnsi="Arial"/>
          <w:sz w:val="29"/>
          <w:szCs w:val="29"/>
          <w:color w:val="auto"/>
          <w:vertAlign w:val="superscript"/>
        </w:rPr>
      </w:pPr>
    </w:p>
    <w:p>
      <w:pPr>
        <w:ind w:left="1160" w:hanging="571"/>
        <w:spacing w:after="0" w:line="180" w:lineRule="auto"/>
        <w:tabs>
          <w:tab w:leader="none" w:pos="116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This selling securityholder is controlled by Yizhak Sultan.</w:t>
      </w:r>
    </w:p>
    <w:p>
      <w:pPr>
        <w:spacing w:after="0" w:line="8" w:lineRule="exact"/>
        <w:rPr>
          <w:rFonts w:ascii="Arial" w:cs="Arial" w:eastAsia="Arial" w:hAnsi="Arial"/>
          <w:sz w:val="25"/>
          <w:szCs w:val="25"/>
          <w:color w:val="auto"/>
          <w:vertAlign w:val="superscript"/>
        </w:rPr>
      </w:pPr>
    </w:p>
    <w:p>
      <w:pPr>
        <w:ind w:left="1160" w:right="120" w:hanging="571"/>
        <w:spacing w:after="0" w:line="188" w:lineRule="auto"/>
        <w:tabs>
          <w:tab w:leader="none" w:pos="116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This selling securityholder is a foreign open end mutual fund managed by Ramco Funds Management (1989) Ltd., which management company is controlled by Rami Rahimi and Cohava Rahimi.</w:t>
      </w:r>
    </w:p>
    <w:p>
      <w:pPr>
        <w:spacing w:after="0" w:line="1" w:lineRule="exact"/>
        <w:rPr>
          <w:rFonts w:ascii="Arial" w:cs="Arial" w:eastAsia="Arial" w:hAnsi="Arial"/>
          <w:sz w:val="29"/>
          <w:szCs w:val="29"/>
          <w:color w:val="auto"/>
          <w:vertAlign w:val="superscript"/>
        </w:rPr>
      </w:pPr>
    </w:p>
    <w:p>
      <w:pPr>
        <w:ind w:left="1160" w:right="120" w:hanging="571"/>
        <w:spacing w:after="0" w:line="208" w:lineRule="auto"/>
        <w:tabs>
          <w:tab w:leader="none" w:pos="116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This selling securityholder is an affiliate of a broker-dealer. This selling securityholder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00" w:lineRule="exact"/>
        <w:rPr>
          <w:sz w:val="20"/>
          <w:szCs w:val="20"/>
          <w:color w:val="auto"/>
        </w:rPr>
      </w:pPr>
    </w:p>
    <w:p>
      <w:pPr>
        <w:spacing w:after="0" w:line="253"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and against the election of any other persons to the Board of Directors. In addition, subject to certain exceptions, each shareholder agreed to restrictions on the transfer of its shares, including certain rights of first refusal, and through January 2008, to maintain minimum shareholdings.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12"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This prospectus relates to the offer and sale of debentures and ordinary shares by the selling securityholders named herein. As used herein, “selling securityholder” includes donees, pledgees, transferees or other successors-in-interest selling securities received after the date of this prospectus from the named selling securityholders as a gift, pledge, partnership distribution or other non-sale related transfer. We will bear all costs, expenses and fees in connection with the registration of the securities offered by this prospectus, other than brokerage commissions and similar selling expenses, if any, attributable to the sale of securities offered hereby which will be borne by the selling securityholders. Sales of the securities offered hereby may be effected by the selling securityholders from time to time in one or more types of transactions (which may include block transactions) on Nasdaq and/or on the Tel Aviv Stock Exchange at prevailing market prices, in the over-the-counter market, in negotiated transactions, through put or call options transactions relating to the shares offered hereby, through short sales of the shares offered hereby, or a combination of such methods of sale, at market prices prevailing at the time of sale, or at negotiated prices. Such transactions may or may not involve brokers or dealers. The selling securityholders have advised us that they have not entered into any agreements, understandings or arrangements with any underwriters or broker-dealers regarding the sale of their securities, nor is there an underwriter or coordinating broker acting in connection with the proposed sale of the securities offered hereby by the selling securityholders.</w:t>
      </w:r>
    </w:p>
    <w:p>
      <w:pPr>
        <w:spacing w:after="0" w:line="18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spacing w:after="0" w:line="19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selling securityholders may effect these transactions by selling the securities offered hereby directly to purchasers or to or through broker-dealers, which may act as agents or principals.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w:t>
      </w:r>
    </w:p>
    <w:p>
      <w:pPr>
        <w:spacing w:after="0" w:line="16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selling securityholders and any broker-dealers that act in connection with the sale of the securities offered hereby might be deemed to be “underwriters” within the meaning of Section 2(11) of the Securities Act, and any commissions received by such broker-dealers and any profit on the resale of the securities offered hereby sold by them while acting as principals might be deemed to be underwriting discounts or commissions under the Securities Act. The selling securityholders may agree to indemnify any agent, dealer or broker-dealer that participates in transactions involving sales of the securities offered hereby against certain liabilities, including liabilities arising under the Securities Act and/or the Israeli Securities Law.</w:t>
      </w:r>
    </w:p>
    <w:p>
      <w:pPr>
        <w:spacing w:after="0" w:line="170" w:lineRule="exact"/>
        <w:rPr>
          <w:sz w:val="20"/>
          <w:szCs w:val="20"/>
          <w:color w:val="auto"/>
        </w:rPr>
      </w:pPr>
    </w:p>
    <w:p>
      <w:pPr>
        <w:ind w:right="780" w:firstLine="351"/>
        <w:spacing w:after="0" w:line="306" w:lineRule="auto"/>
        <w:rPr>
          <w:sz w:val="20"/>
          <w:szCs w:val="20"/>
          <w:color w:val="auto"/>
        </w:rPr>
      </w:pPr>
      <w:r>
        <w:rPr>
          <w:rFonts w:ascii="Arial" w:cs="Arial" w:eastAsia="Arial" w:hAnsi="Arial"/>
          <w:sz w:val="16"/>
          <w:szCs w:val="16"/>
          <w:color w:val="auto"/>
        </w:rPr>
        <w:t>Because the selling securityholders may be deemed to be “underwriters” within the meaning of Section 2(11) of the Securities Act, the selling securityholders will be subject to the prospectus delivery requirements of the Securities Act. We have informed the selling securityholders that the anti-manipulative provisions of Regulation M promulgated under the Exchange Act may apply to their sales in the market.</w:t>
      </w:r>
    </w:p>
    <w:p>
      <w:pPr>
        <w:spacing w:after="0" w:line="16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Subject to the limitations on the transfer of their shares (see “Selling Securityholders” above), the selling securityholders also may resell all or a portion of the securities offered hereby in open market transactions in reliance upon Rule 144 under the Securities Act, provided they meet the criteria and conform to the requirements of Rule 144.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Upon our being notified by any of the selling securityholders that any material arrangement has been entered into with a broker-dealer for the sale of shares offered hereby through a block trade, special offering, exchange distribution or secondary distribution or a purchase by a broker or dealer, a supplement to this prospectus will be filed, if required, pursuant to Rule 424(b) under the Securities Act, disclosing:</w:t>
      </w:r>
    </w:p>
    <w:p>
      <w:pPr>
        <w:sectPr>
          <w:pgSz w:w="11900" w:h="16838" w:orient="portrait"/>
          <w:cols w:equalWidth="0" w:num="1">
            <w:col w:w="11420"/>
          </w:cols>
          <w:pgMar w:left="240" w:top="131" w:right="239" w:bottom="0" w:gutter="0" w:footer="0" w:header="0"/>
        </w:sectPr>
      </w:pPr>
    </w:p>
    <w:bookmarkStart w:id="15" w:name="page16"/>
    <w:bookmarkEnd w:id="15"/>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name of the selling securityholder and of the participating broker-dealer(s);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number and type of securities involved;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initial price at which such securities were sold;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commissions paid or discounts or concessions allowed to such broker-dealer(s), where applicable;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that such broker-dealer(s) did not conduct any investigation to verify the information set out or incorporated by reference in this prospectus;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other facts material to the transaction.</w:t>
      </w:r>
    </w:p>
    <w:p>
      <w:pPr>
        <w:spacing w:after="0" w:line="200" w:lineRule="exact"/>
        <w:rPr>
          <w:sz w:val="20"/>
          <w:szCs w:val="20"/>
          <w:color w:val="auto"/>
        </w:rPr>
      </w:pPr>
    </w:p>
    <w:p>
      <w:pPr>
        <w:spacing w:after="0" w:line="26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the Offering</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incurred, or expect to incur, the following estimated expenses in connection with the sale of the securities covered by this prospectus:</w:t>
      </w:r>
    </w:p>
    <w:p>
      <w:pPr>
        <w:spacing w:after="0" w:line="257"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04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7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86,860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DEBENTURES</w:t>
      </w:r>
    </w:p>
    <w:p>
      <w:pPr>
        <w:spacing w:after="0" w:line="31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debentures were originally issued under an indenture dated as of December 15, 2005 between us and The Bank of New York and Hermetic Trust (1975) Ltd., as co-trustees. The terms of the debentures include all the terms required to be made part of the indenture under the Israel Securities Law – 1968 and the Trust Indenture Act of 1939, as amended. The debentures are subject to all the terms of the indenture, and holders of the debentures are referred to the indenture for a statement thereof.</w:t>
      </w:r>
    </w:p>
    <w:p>
      <w:pPr>
        <w:spacing w:after="0" w:line="197"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have summarized selected provisions of the indenture below. This summary is not complete. The form of the indenture has been filed with the Israel Securities Authority, the Securities and Exchange Commission and the Israeli Registrar of Companies and will be available for review at our registered office. You should read the entire indenture for provisions that may be important to you.</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Accrual of Interest</w:t>
      </w:r>
    </w:p>
    <w:p>
      <w:pPr>
        <w:spacing w:after="0" w:line="31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debentures are general unsecured obligations. The debentures bear interest at the rate per annum of 5%. Principal of the debentures is payable, together with accrued interest, in one installment (in the aggregate maximum amount of approximately $65 million) on January 12, 2012. On January 12, 2012, the cumulative interest rate on the debentures will be 34.0096%. Instruments representing the debentures will be issued in denominations of $1.00 and integral multiples thereof.</w:t>
      </w:r>
    </w:p>
    <w:p>
      <w:pPr>
        <w:spacing w:after="0" w:line="197"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Interest is being accrued from January 13, 2006, and is computed on the basis of a 365-day year. Accrued interest will not be payable by us upon conversion of the debentures into our ordinary shares and you will lose your right to any accrued interest upon conversion of the debentures into our ordinary shares.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w:t>
      </w:r>
    </w:p>
    <w:p>
      <w:pPr>
        <w:spacing w:after="0" w:line="29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Until December 27, 2011 (inclusive) (16 days prior to the maturity date of the debentures, but if such date is not a trading day on the Tel Aviv Stock Exchange, then the last date to convert the debentures will be the first trading day on the Tel Aviv Stock Exchange after such date), the debentures are convertible into our ordinary shares at a conversion price of one ordinary share per each $1.10 amount of outstanding principal of the debentures. Debentures may only be converted in integral multiples of $1.00 amounts.</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86"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Accrued interest will not be payable by us upon conversion of the debentures into our ordinary shares and you will lose your right to any accrued interest upon conversion of the debentures into our ordinary shares. Consequently, the effective conversion price applicable to your debentures would be increased to reflect the amount of interest being forfeited upon conversion. For example, if you convert your debentures on December 27, 2011 (the last day on which debentures may be converted), the effective conversion price applicable to your debentures, assuming no adjustments are made to the conversion price, would be approximately $1.34.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Price Following a Future Financing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price will be adjusted if either of the following two scenarios occurs:</w:t>
      </w:r>
    </w:p>
    <w:p>
      <w:pPr>
        <w:spacing w:after="0" w:line="225" w:lineRule="exact"/>
        <w:rPr>
          <w:sz w:val="20"/>
          <w:szCs w:val="20"/>
          <w:color w:val="auto"/>
        </w:rPr>
      </w:pPr>
    </w:p>
    <w:p>
      <w:pPr>
        <w:ind w:left="1720" w:right="10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December 20, 2006, we consummate one or more financings (excluding the rights offering completed in January 2006) in which we receive gross proceeds from each such financing of at least $5 million, the conversion price of the debentures will be adjusted to 90% of the lowest price per share (as calculated below) at which we sold securities in any one of these financings, if the</w:t>
      </w:r>
    </w:p>
    <w:p>
      <w:pPr>
        <w:sectPr>
          <w:pgSz w:w="11900" w:h="16945" w:orient="portrait"/>
          <w:cols w:equalWidth="0" w:num="1">
            <w:col w:w="11380"/>
          </w:cols>
          <w:pgMar w:left="240" w:top="131" w:right="279" w:bottom="0" w:gutter="0" w:footer="0" w:header="0"/>
        </w:sectPr>
      </w:pPr>
    </w:p>
    <w:bookmarkStart w:id="16" w:name="page17"/>
    <w:bookmarkEnd w:id="16"/>
    <w:p>
      <w:pPr>
        <w:ind w:left="1720" w:right="100"/>
        <w:spacing w:after="0" w:line="256" w:lineRule="auto"/>
        <w:rPr>
          <w:sz w:val="20"/>
          <w:szCs w:val="20"/>
          <w:color w:val="auto"/>
        </w:rPr>
      </w:pPr>
      <w:r>
        <w:rPr>
          <w:rFonts w:ascii="Arial" w:cs="Arial" w:eastAsia="Arial" w:hAnsi="Arial"/>
          <w:sz w:val="18"/>
          <w:szCs w:val="18"/>
          <w:color w:val="auto"/>
        </w:rPr>
        <w:t>lowest price per share at which we sold securities in any one of these financings would be lower than the original conversion price. We will issue a press release to announce the adjusted conversion price on the fifth Tel Aviv Stock Exchange trading day after December 20, 2006 and the adjustment will take effect on the first Tel Aviv Stock Exchange trading day following the twenty first day after the date of the press release.</w:t>
      </w:r>
    </w:p>
    <w:p>
      <w:pPr>
        <w:spacing w:after="0" w:line="224" w:lineRule="exact"/>
        <w:rPr>
          <w:sz w:val="20"/>
          <w:szCs w:val="20"/>
          <w:color w:val="auto"/>
        </w:rPr>
      </w:pPr>
    </w:p>
    <w:p>
      <w:pPr>
        <w:ind w:left="1720" w:hanging="567"/>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December 20, 2006, we do not receive in any one financing (excluding the rights offering completed in January 2006) gross proceeds of at least $5 million, but execute prior to December 20, 2006 one or more agreements relating to transactions which have not closed, letters of intent, memorandums of understanding or similar agreements or understandings, for a proposed financing or financings, which have not been abandoned prior to December 20, 2006, and we receive in any one of these financings gross proceeds of at least $5 million by June 20, 2007, then, the conversion price will be adjusted to 90% of the lowest price per share (as calculated below) at which we sold securities in any of these financings, if the lowest price per share at which we sold securities in any one of these financings would be lower than the original conversion price. We will issue a press release to announce the adjusted conversion price on the fifth Tel Aviv Stock Exchange trading day after June 20, 2007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price to the debentures shall under no circumstances be lower than $0.01.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financing for purposes of adjustments to the conversion price means:</w:t>
      </w:r>
    </w:p>
    <w:p>
      <w:pPr>
        <w:spacing w:after="0" w:line="225" w:lineRule="exact"/>
        <w:rPr>
          <w:sz w:val="20"/>
          <w:szCs w:val="20"/>
          <w:color w:val="auto"/>
        </w:rPr>
      </w:pPr>
    </w:p>
    <w:p>
      <w:pPr>
        <w:ind w:left="1720" w:right="660" w:hanging="567"/>
        <w:spacing w:after="0" w:line="268" w:lineRule="auto"/>
        <w:rPr>
          <w:sz w:val="20"/>
          <w:szCs w:val="20"/>
          <w:color w:val="auto"/>
        </w:rPr>
      </w:pPr>
      <w:r>
        <w:rPr>
          <w:rFonts w:ascii="Arial" w:cs="Arial" w:eastAsia="Arial" w:hAnsi="Arial"/>
          <w:sz w:val="18"/>
          <w:szCs w:val="18"/>
          <w:color w:val="auto"/>
        </w:rPr>
        <w:t>—the sale of our shares, warrants or additional convertible debentures, other than employee options, existing outstanding warrants, employee options, convertible debentures or other rights; and</w:t>
      </w:r>
    </w:p>
    <w:p>
      <w:pPr>
        <w:spacing w:after="0" w:line="212" w:lineRule="exact"/>
        <w:rPr>
          <w:sz w:val="20"/>
          <w:szCs w:val="20"/>
          <w:color w:val="auto"/>
        </w:rPr>
      </w:pPr>
    </w:p>
    <w:p>
      <w:pPr>
        <w:ind w:left="1720" w:right="520" w:hanging="567"/>
        <w:spacing w:after="0" w:line="268" w:lineRule="auto"/>
        <w:rPr>
          <w:sz w:val="20"/>
          <w:szCs w:val="20"/>
          <w:color w:val="auto"/>
        </w:rPr>
      </w:pPr>
      <w:r>
        <w:rPr>
          <w:rFonts w:ascii="Arial" w:cs="Arial" w:eastAsia="Arial" w:hAnsi="Arial"/>
          <w:sz w:val="18"/>
          <w:szCs w:val="18"/>
          <w:color w:val="auto"/>
        </w:rPr>
        <w:t>—the conversion of existing debt into equity, other than the conversion of existing wafer credits into our ordinary shares and existing convertible debentures.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We will calculate the price per share for the purposes of the adjustment to the conversion price as set forth below. The examples presented below are for illustration only and are not based on any forecasts, assumptions or actual calculations of economic values and should not be relied upon for any other purpose.</w:t>
      </w:r>
    </w:p>
    <w:p>
      <w:pPr>
        <w:spacing w:after="0" w:line="116" w:lineRule="exact"/>
        <w:rPr>
          <w:sz w:val="20"/>
          <w:szCs w:val="20"/>
          <w:color w:val="auto"/>
        </w:rPr>
      </w:pPr>
    </w:p>
    <w:p>
      <w:pPr>
        <w:ind w:left="1720" w:right="140" w:hanging="567"/>
        <w:spacing w:after="0" w:line="268" w:lineRule="auto"/>
        <w:rPr>
          <w:sz w:val="20"/>
          <w:szCs w:val="20"/>
          <w:color w:val="auto"/>
        </w:rPr>
      </w:pPr>
      <w:r>
        <w:rPr>
          <w:rFonts w:ascii="Arial" w:cs="Arial" w:eastAsia="Arial" w:hAnsi="Arial"/>
          <w:sz w:val="18"/>
          <w:szCs w:val="18"/>
          <w:color w:val="auto"/>
        </w:rPr>
        <w:t>—If, in the financing or financings we issue only shares, the price per share for the purposes of calculating the adjustment will be the price per share in the financing or financings.</w:t>
      </w:r>
    </w:p>
    <w:p>
      <w:pPr>
        <w:spacing w:after="0" w:line="212" w:lineRule="exact"/>
        <w:rPr>
          <w:sz w:val="20"/>
          <w:szCs w:val="20"/>
          <w:color w:val="auto"/>
        </w:rPr>
      </w:pPr>
    </w:p>
    <w:p>
      <w:pPr>
        <w:ind w:left="1720" w:right="160" w:hanging="567"/>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only convertible debentures, the price per share for the purposes of calculating the adjustment will be the result of dividing the purchase price of the debentures issued in the financing or financings less the present value of the cumulative amount of interest payable prior to the last conversion date of the debentures issued in the financing or financings, by the number of shares issuable upon conversion of the debentures issued in the financing or financings.</w:t>
      </w:r>
    </w:p>
    <w:p>
      <w:pPr>
        <w:spacing w:after="0" w:line="193" w:lineRule="exact"/>
        <w:rPr>
          <w:sz w:val="20"/>
          <w:szCs w:val="20"/>
          <w:color w:val="auto"/>
        </w:rPr>
      </w:pPr>
    </w:p>
    <w:p>
      <w:pPr>
        <w:ind w:left="1720" w:right="60"/>
        <w:spacing w:after="0" w:line="306" w:lineRule="auto"/>
        <w:rPr>
          <w:sz w:val="20"/>
          <w:szCs w:val="20"/>
          <w:color w:val="auto"/>
        </w:rPr>
      </w:pPr>
      <w:r>
        <w:rPr>
          <w:rFonts w:ascii="Arial" w:cs="Arial" w:eastAsia="Arial" w:hAnsi="Arial"/>
          <w:sz w:val="16"/>
          <w:szCs w:val="16"/>
          <w:color w:val="auto"/>
        </w:rPr>
        <w:t>By way of illustration, if the purchase price of the debentures issued in the financing or financings is $1.10, the present value of the cumulative amount of interest payable prior to the last conversion date is $0.25 and the number of shares issuable upon conversion of the debentures issued in the financing or financings is 0.8 shares, the price per share would be ($1.10-$0.25)/0.8=$1.06.</w:t>
      </w:r>
    </w:p>
    <w:p>
      <w:pPr>
        <w:spacing w:after="0" w:line="187" w:lineRule="exact"/>
        <w:rPr>
          <w:sz w:val="20"/>
          <w:szCs w:val="20"/>
          <w:color w:val="auto"/>
        </w:rPr>
      </w:pPr>
    </w:p>
    <w:p>
      <w:pPr>
        <w:ind w:left="1720" w:right="40" w:hanging="567"/>
        <w:spacing w:after="0" w:line="259" w:lineRule="auto"/>
        <w:rPr>
          <w:sz w:val="20"/>
          <w:szCs w:val="20"/>
          <w:color w:val="auto"/>
        </w:rPr>
      </w:pPr>
      <w:r>
        <w:rPr>
          <w:rFonts w:ascii="Arial" w:cs="Arial" w:eastAsia="Arial" w:hAnsi="Arial"/>
          <w:sz w:val="18"/>
          <w:szCs w:val="18"/>
          <w:color w:val="auto"/>
        </w:rPr>
        <w:t>—If, in the financing or financings we issue only warrants, the price per share for the purposes of calculating the adjustment will be the purchase price of the warrants less the difference between the economic value of the warrants and the purchase price of the warrants, plus the present value of the exercise price of the warrants.</w:t>
      </w:r>
    </w:p>
    <w:p>
      <w:pPr>
        <w:spacing w:after="0" w:line="221" w:lineRule="exact"/>
        <w:rPr>
          <w:sz w:val="20"/>
          <w:szCs w:val="20"/>
          <w:color w:val="auto"/>
        </w:rPr>
      </w:pPr>
    </w:p>
    <w:p>
      <w:pPr>
        <w:ind w:left="1720" w:right="280"/>
        <w:spacing w:after="0" w:line="259" w:lineRule="auto"/>
        <w:rPr>
          <w:sz w:val="20"/>
          <w:szCs w:val="20"/>
          <w:color w:val="auto"/>
        </w:rPr>
      </w:pPr>
      <w:r>
        <w:rPr>
          <w:rFonts w:ascii="Arial" w:cs="Arial" w:eastAsia="Arial" w:hAnsi="Arial"/>
          <w:sz w:val="18"/>
          <w:szCs w:val="18"/>
          <w:color w:val="auto"/>
        </w:rPr>
        <w:t>By way of illustration, if the purchase price per warrant is $0.60, the economic value per warrant is $0.70, and the present value of the exercise price per warrant is $0.50, then the price per share for the purposes of calculating the adjustment would be $0.60-($0.70-$0.60)+$0.50=$1.00.</w:t>
      </w:r>
    </w:p>
    <w:p>
      <w:pPr>
        <w:spacing w:after="0" w:line="221" w:lineRule="exact"/>
        <w:rPr>
          <w:sz w:val="20"/>
          <w:szCs w:val="20"/>
          <w:color w:val="auto"/>
        </w:rPr>
      </w:pPr>
    </w:p>
    <w:p>
      <w:pPr>
        <w:ind w:left="1720" w:right="20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units consisting of shares and warrants, the price per share for the purposes of calculating the adjustment will be the result of dividing the purchase price per unit in the financing or financings, less the economic value of the warrants, by the number of shares in each unit (not including the number of shares issuable upon exercise of the warrants).</w:t>
      </w:r>
    </w:p>
    <w:p>
      <w:pPr>
        <w:spacing w:after="0" w:line="187" w:lineRule="exact"/>
        <w:rPr>
          <w:sz w:val="20"/>
          <w:szCs w:val="20"/>
          <w:color w:val="auto"/>
        </w:rPr>
      </w:pPr>
    </w:p>
    <w:p>
      <w:pPr>
        <w:ind w:left="1720" w:right="160"/>
        <w:spacing w:after="0" w:line="332" w:lineRule="auto"/>
        <w:rPr>
          <w:sz w:val="20"/>
          <w:szCs w:val="20"/>
          <w:color w:val="auto"/>
        </w:rPr>
      </w:pPr>
      <w:r>
        <w:rPr>
          <w:rFonts w:ascii="Arial" w:cs="Arial" w:eastAsia="Arial" w:hAnsi="Arial"/>
          <w:sz w:val="16"/>
          <w:szCs w:val="16"/>
          <w:color w:val="auto"/>
        </w:rPr>
        <w:t>By way of illustration, if the purchase price of a unit is $2.00, the economic value per warrant is $0.70 and the number of shares in each unit was 1 share, the price per share for the purposes of calculating the adjustment would be ($2.00-$0.70)/1=$1.30.</w:t>
      </w:r>
    </w:p>
    <w:p>
      <w:pPr>
        <w:spacing w:after="0" w:line="166" w:lineRule="exact"/>
        <w:rPr>
          <w:sz w:val="20"/>
          <w:szCs w:val="20"/>
          <w:color w:val="auto"/>
        </w:rPr>
      </w:pPr>
    </w:p>
    <w:p>
      <w:pPr>
        <w:ind w:left="1720" w:right="40" w:hanging="567"/>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units consisting of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issuable upon conversion of the debentures issued in the financing or financings, but not including the number of shares issuable upon exercise of the warrants.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260"/>
        <w:spacing w:after="0" w:line="306" w:lineRule="auto"/>
        <w:rPr>
          <w:sz w:val="20"/>
          <w:szCs w:val="20"/>
          <w:color w:val="auto"/>
        </w:rPr>
      </w:pPr>
      <w:r>
        <w:rPr>
          <w:rFonts w:ascii="Arial" w:cs="Arial" w:eastAsia="Arial" w:hAnsi="Arial"/>
          <w:sz w:val="16"/>
          <w:szCs w:val="16"/>
          <w:color w:val="auto"/>
        </w:rPr>
        <w:t>By way of illustration, if the purchase price of the unit is $1.70, the present value of the cumulative amount of interest payable prior to the last conversion date is $0.25, the economic value per warrant is $0.70, and the number of shares issuable upon conversion of the debentures issued in the financing or financings is 0.8 shares, the price per share would be ($1.70-$0.25-$0.7)/0.8=$0.94.</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in the financing or financings we issue units consisting of shares and convertible debentures, the price per share for the purposes of</w:t>
      </w:r>
    </w:p>
    <w:p>
      <w:pPr>
        <w:sectPr>
          <w:pgSz w:w="11900" w:h="16838" w:orient="portrait"/>
          <w:cols w:equalWidth="0" w:num="1">
            <w:col w:w="11420"/>
          </w:cols>
          <w:pgMar w:left="240" w:top="131" w:right="239" w:bottom="0" w:gutter="0" w:footer="0" w:header="0"/>
        </w:sectPr>
      </w:pPr>
    </w:p>
    <w:bookmarkStart w:id="17" w:name="page18"/>
    <w:bookmarkEnd w:id="17"/>
    <w:p>
      <w:pPr>
        <w:ind w:left="1720"/>
        <w:spacing w:after="0" w:line="256" w:lineRule="auto"/>
        <w:rPr>
          <w:sz w:val="20"/>
          <w:szCs w:val="20"/>
          <w:color w:val="auto"/>
        </w:rPr>
      </w:pPr>
      <w:r>
        <w:rPr>
          <w:rFonts w:ascii="Arial" w:cs="Arial" w:eastAsia="Arial" w:hAnsi="Arial"/>
          <w:sz w:val="18"/>
          <w:szCs w:val="18"/>
          <w:color w:val="auto"/>
        </w:rPr>
        <w:t>calculating the adjustment will be the result of dividing the purchase price per unit in the financing or financings, less the present value of the cumulative amount of interest payable prior to the last conversion date of the debentures issued in the financing or financings, by the number of shares in each unit including the number of shares issuable upon conversion of the debentures issued in the financing or financings.</w:t>
      </w:r>
    </w:p>
    <w:p>
      <w:pPr>
        <w:spacing w:after="0" w:line="224" w:lineRule="exact"/>
        <w:rPr>
          <w:sz w:val="20"/>
          <w:szCs w:val="20"/>
          <w:color w:val="auto"/>
        </w:rPr>
      </w:pPr>
    </w:p>
    <w:p>
      <w:pPr>
        <w:ind w:left="1720" w:right="240"/>
        <w:spacing w:after="0" w:line="306" w:lineRule="auto"/>
        <w:rPr>
          <w:sz w:val="20"/>
          <w:szCs w:val="20"/>
          <w:color w:val="auto"/>
        </w:rPr>
      </w:pPr>
      <w:r>
        <w:rPr>
          <w:rFonts w:ascii="Arial" w:cs="Arial" w:eastAsia="Arial" w:hAnsi="Arial"/>
          <w:sz w:val="16"/>
          <w:szCs w:val="16"/>
          <w:color w:val="auto"/>
        </w:rPr>
        <w:t>By way of illustration, if the purchase price of the unit is $2.10, the present value of the cumulative amount of interest payable prior to the last conversion date is $0.25 and the number of shares in each unit is 1 and the number of shares issuable upon conversion of the debentures issued in the financing or financings is 0.8 shares, the price per share would be ($2.10-$0.25)/(1+0.8)=$1.03.</w:t>
      </w:r>
    </w:p>
    <w:p>
      <w:pPr>
        <w:spacing w:after="0" w:line="188" w:lineRule="exact"/>
        <w:rPr>
          <w:sz w:val="20"/>
          <w:szCs w:val="20"/>
          <w:color w:val="auto"/>
        </w:rPr>
      </w:pPr>
    </w:p>
    <w:p>
      <w:pPr>
        <w:ind w:left="1720" w:hanging="567"/>
        <w:spacing w:after="0" w:line="254" w:lineRule="auto"/>
        <w:rPr>
          <w:sz w:val="20"/>
          <w:szCs w:val="20"/>
          <w:color w:val="auto"/>
        </w:rPr>
      </w:pPr>
      <w:r>
        <w:rPr>
          <w:rFonts w:ascii="Arial" w:cs="Arial" w:eastAsia="Arial" w:hAnsi="Arial"/>
          <w:sz w:val="18"/>
          <w:szCs w:val="18"/>
          <w:color w:val="auto"/>
        </w:rPr>
        <w:t>—If, in the financing or financings we issue units consisting of shares,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including the number of shares issuable upon conversion of the debentures issued in the financing or financings, but not including the number of shares issuable upon exercise of the warrants.</w:t>
      </w:r>
    </w:p>
    <w:p>
      <w:pPr>
        <w:spacing w:after="0" w:line="225" w:lineRule="exact"/>
        <w:rPr>
          <w:sz w:val="20"/>
          <w:szCs w:val="20"/>
          <w:color w:val="auto"/>
        </w:rPr>
      </w:pPr>
    </w:p>
    <w:p>
      <w:pPr>
        <w:ind w:left="1720"/>
        <w:spacing w:after="0" w:line="256" w:lineRule="auto"/>
        <w:rPr>
          <w:sz w:val="20"/>
          <w:szCs w:val="20"/>
          <w:color w:val="auto"/>
        </w:rPr>
      </w:pPr>
      <w:r>
        <w:rPr>
          <w:rFonts w:ascii="Arial" w:cs="Arial" w:eastAsia="Arial" w:hAnsi="Arial"/>
          <w:sz w:val="18"/>
          <w:szCs w:val="18"/>
          <w:color w:val="auto"/>
        </w:rPr>
        <w:t>By way of illustration, if the purchase price of the unit is $2.80, the present value of the cumulative amount of interest payable prior to the last conversion date is $0.25, the economic value per warrant is $0.70, the number of shares in each unit is 1 and the number of shares issuable upon conversion of the debentures issued in the financing or financings is 0.8 shares, the price per share would be ($2.80-$0.25-$0.70)/(1+0.8)=$1.03.</w:t>
      </w:r>
    </w:p>
    <w:p>
      <w:pPr>
        <w:spacing w:after="0" w:line="200" w:lineRule="exact"/>
        <w:rPr>
          <w:sz w:val="20"/>
          <w:szCs w:val="20"/>
          <w:color w:val="auto"/>
        </w:rPr>
      </w:pPr>
    </w:p>
    <w:p>
      <w:pPr>
        <w:spacing w:after="0" w:line="24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For the purposes of the adjustments set forth above, the “economic value” of the warrants will be calculated according to the Black and Scholes model as set forth in the Tel Aviv Stock Exchange Rules for registered companies based on the average closing price of our ordinary shares on NASDAQ (or such other stock exchange or quotation system on which our ordinary shares are listed in the event that they cease to be traded on NASDAQ) during the 15 consecutive trading days immediately prior to the date on which the financing agreement is signed. The interest rate for this calculation will be the interest rate as published by the Tel Aviv Stock Exchange on the date of the relevant financing.</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the purposes of the adjustments set forth above, the “present value” will be calculated using the interest rate then applicable to the long term loans under our credit facility agreement. In the event that the financing or financings is denominated in a currency other than United States dollars, the amounts in the financing or financings will be converted to United States dollars according to the last known exchange rate on the date of the consummation of the relevant financing.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price to the debentures shall under no circumstances be lower than $0.01.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Price Following Issuance of Bonus Shares, Rights Offerings and Other Events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conversion price is also subject to adjustment as set forth in the indenture in certain events, including the issuance of our capital stock as a dividend (bonus shares), subdivisions, combinations and reclassifications of our ordinary shares and rights offerings. In the event of the distribution of bonus shares, the number of our ordinary shares issuable upon the conversion of each debenture will be increased by such number of our ordinary shares that the debenture holder would have received if such debenture holder had converted his debentures on the record date fixed for the bonus share distribution. In the event of a rights offering to our shareholders of any type of our securities at any time from the date of this prospectus but prior to the conversion of the debentures, the number of our ordinary shares to be issued upon the conversion of the debentures shall be adjusted to take into account the element of economic benefit in the future rights offering as is represented by the ratio between the price per share of our ordinary shares on the effective date of the future rights offering and the opening price per share of our ordinary shares that is established by the Tel Aviv Stock Exchange on the following trading day. If the Tel Aviv Stock Exchange does not establish an opening price per share of our ordinary shares, no adjustment in the number of shares issuable upon conversion of the debentures will be made with respect to such future rights offering. In the event of our consolidation or merger as a result of which our company is not the surviving entity, we will provide notice to the Trustees prior to the date of consummation of such consolidation or merger. The successor entity shall assume the obligation to repay the principal of and interest on the debentures in accordance with their terms. Debentures which are not converted prior to the date of consummation of such consolidation or merger shall no longer be convertible.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Redemption of Debentures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Redemption at the Discretion of the Company</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at our option announce the early redemption of the debentures, provided that the outstanding aggregate balance of principal on account of the debentures is equal to or less than $500,000. In the event we choose to redeem the debentures, the minimum portion of the debentures we will redeem is 100% of the then outstanding debentures. We will provide the debenture holders with advance notice of at least 30 days prior to any such redemption. Upon such early redemption, we will pay to the holders of the debentures the amount of outstanding principal of their debentures and interest accrued as of the redemption date. A resolution to announce an early redemption of the debentures will be adopted by our board of directors and we will provide notice of such resolution on Form 6-K, and in an immediate report in Israel as well as a notice to be published in two Israeli newspapers. The date of the early redemption will be between 30 to 45 days after the date of our notification.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facility agreement, we are not permitted to redeem debentures.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Debentures</w:t>
      </w:r>
    </w:p>
    <w:p>
      <w:pPr>
        <w:spacing w:after="0" w:line="299"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described below, the payment of the principal of and interest on the debentures is subordinated to the prior payment of all amounts payable by us to the banks under the facility agreement, whether outstanding on the date of the indenture or thereafter created, incurred or assumed. Upon our dissolution, winding up, liquidation or reorganization, the banks will be entitled to receive payment in full of all amounts due to them under the facility agreement before the holders of debentures are entitled to receive any payment.</w:t>
      </w:r>
    </w:p>
    <w:p>
      <w:pPr>
        <w:sectPr>
          <w:pgSz w:w="11900" w:h="16838" w:orient="portrait"/>
          <w:cols w:equalWidth="0" w:num="1">
            <w:col w:w="11400"/>
          </w:cols>
          <w:pgMar w:left="240" w:top="131" w:right="259" w:bottom="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Possible Postponement of Payments under the Debentures</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addition to the subordination of the debentures to the amounts payable by us to the banks under the facility agreement, upon dissolution, winding up, liquidation or reorganization, the debentures and the indenture provide, in accordance with the requirements of the facility agreement, that the dates for payment of interest and principal on the debentures may be postponed (with interest continuing to accrue at regular rates), depending on various scenarios relating to our relations with the banks as detailed below. In the event of such postponement in payments on the debentures, we will extend the conversion period for the debentures. The terms of the indenture permit the Co-Trustees to initiate legal proceedings against us only in a limited number of cases, and always provided that advance notice is given to us and to our banks. The indenture provides that each debenture holder waives any right or claim against the Co-Trustees based on the grounds that they should have initiated any proceeding or act in any other way in spite of such provisions of the indenture while claiming that such provisions do not comply with applicable law.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Under the facility agreement, the payment dates of interest and principal to the banks fall on the last business day of each calendar quarter (a “Bank Payment Date”).</w:t>
      </w:r>
    </w:p>
    <w:p>
      <w:pPr>
        <w:spacing w:after="0" w:line="186"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In the event of the existence of an Event of Default, as such term is defined below, on a Bank Payment Date, then, subject to the provisions below, no payment of principal or interest on the debentures shall be made and the debenture holders and any person or entity acting on their behalf (including the Co-Trustees) shall not be entitled to take any action against us in connection with such non-payment, unless such non-payment shall continue for a period of more than 6 (six) months commencing on the applicable Bank Payment Date (a “Six Month Period”). To illustrate, if December 31, 2011 is a Bank Payment Date and on such date an Event of Default exists, the Six Month Period applicable to the payment to be made on the debentures on January 12, 2012 will be calculated beginning on December 31, 2011. For a description of additional events of default contained in our facility agreement, see “Events of Default under the Facility Agreement.”</w:t>
      </w:r>
    </w:p>
    <w:p>
      <w:pPr>
        <w:spacing w:after="0" w:line="201"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facility agreement further provides that after the conclusion of a Six Month Period, we may not make payments of principal and interest on the debentures unless we have either (i) paid the banks amounts then owing in full; or (ii) the holders of the debentures obtained a final judgment requiring us to make payment to them.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aforementioned Six Month Period, the following shall apply:</w:t>
      </w:r>
    </w:p>
    <w:p>
      <w:pPr>
        <w:spacing w:after="0" w:line="225" w:lineRule="exact"/>
        <w:rPr>
          <w:sz w:val="20"/>
          <w:szCs w:val="20"/>
          <w:color w:val="auto"/>
        </w:rPr>
      </w:pPr>
    </w:p>
    <w:p>
      <w:pPr>
        <w:ind w:right="260" w:firstLine="351"/>
        <w:spacing w:after="0" w:line="323" w:lineRule="auto"/>
        <w:rPr>
          <w:sz w:val="20"/>
          <w:szCs w:val="20"/>
          <w:color w:val="auto"/>
        </w:rPr>
      </w:pPr>
      <w:r>
        <w:rPr>
          <w:rFonts w:ascii="Arial" w:cs="Arial" w:eastAsia="Arial" w:hAnsi="Arial"/>
          <w:sz w:val="15"/>
          <w:szCs w:val="15"/>
          <w:color w:val="auto"/>
        </w:rPr>
        <w:t>If during such period, we shall make any payment to the banks on account of interest or principal under the facility agreement, then, on the date of such payment to the banks, we shall make a payment on account of interest or principal (as the case may be) then due and payable in respect of the debentures, such payment to be made at the same percentage of the interest or principal then due and payable on the debentures proportionate to the portion of the payment actually made to the banks to the amount (interest or principal as the case may be) due and payable under the facility agreement as of the payment date;</w:t>
      </w:r>
    </w:p>
    <w:p>
      <w:pPr>
        <w:spacing w:after="0" w:line="152"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In the event that during such Six Month Period the banks and us shall reach an agreement regarding a rescheduling of payments by us to the banks under the facility agreement, such rescheduling (whether of principal or interest) shall apply pro rata also to payments of principal and/or interest, as the case may be, in respect of the debentures and the holders of the debentures shall be bound by such rescheduling agreement. According to our facility agreement, such rescheduling agreement will apply only to payments (principal and interest) scheduled to be made on the debentures during the period of 12 (twelve) months beginning on the applicable Bank Payment Date, and shall postpone each payment on the debentures for no longer than 12 months. Pursuant to any such rescheduling agreement, we shall, in such 12 month period, pay to the holders of the debentures, such amounts on account of principal and/or interest at the same percentage of the scheduled repayments of principal or interest, during such 12 period in respect of the debentures, proportionate to the portion of the payments to be made to the banks during such 12 month period under such rescheduling agreement to the scheduled repayments of principal or of interest to the banks pursuant to the facility agreement for such 12 month period. Alternatively, such rescheduling agreement may provide that payments of principal and/or interest on account of the debentures shall, with effect from the termination of such Six Month Period, be made to the holders of the debentures in accordance with the original schedule under the terms of the debentures, provided that amounts not paid during such Six Month Period, or prior thereto shall be postponed to be paid pro rata to those payments not made to the banks during such Six Month Period or prior thereto and the holders of the debentures shall be bound by such an agreement. If during the rescheduling period another Event of Default under the facility agreement shall occur, the aforementioned provisions shall again apply. Notwithstanding the above, if, on a date scheduled for the payment of principal or interest on the debentures, any of the below events occur, then no amount of whatsoever nature shall be payable by us in respect of the debentures (whether in respect of principal, interest or any other amount) until all amounts owed by us under the facility agreement shall have been paid in full. In the event that, contrary to the above, the holders of the debentures (or, as applicable, any person or entity acting on their behalf, including a trustee) shall receive, during a period under which there is an Event of Default, any payment, distribution or benefit, the recipient thereof shall be deemed to hold same on trust for the banks and shall forthwith pay or transfer to the banks any payment, distribution or benefit so received. The events are as follows: (A) The existence of any of the following events: (i) our inability or admission of our inability to pay our debts as they fall due, (ii) the commencement of winding-up proceedings against us (including the granting of an order of receivership or any similar order against or in respect of us or any of our assets), provided that such proceedings are not cancelled or withdrawn within 60 days, (iii) any execution, attachment or sequestration or other process arises out of any third party claim against us where the amount being the subject of the relevant proceeding is in excess of $2.5 million; (B) If the banks shall declare that all loans and/or other credits received under the facility agreement are immediately due and payable, (C) In the event that the holders of the debentures (or any person or entity acting on their behalf, including the Co-Trustees), shall institute any legal proceedings against us other than in connection with excluded proceedings, and in accordance with the terms of the debentures. Excluded proceedings mean (i) proceedings where the sole claim relates to our failure to make payments of principal or interest on the debentures for more than 14 business days from the date on which we are required to make them, as these dates may be postponed in accordance with the above provisions; or (ii) proceedings in connection with a claim of “misleading information” in this prospectus.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Subordination to Secured Obligations; Statutory Priorities</w:t>
      </w:r>
    </w:p>
    <w:p>
      <w:pPr>
        <w:spacing w:after="0" w:line="225"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Under the laws of the State of Israel, the following have priority over general unsecured creditors: unpaid wages to a specified limit plus severance payments to a specified limit if not covered by national insurance; certain past due taxes to the government; past due rent for a maximum of one year; and secured indebtedness in which the security interest (which may be a floating charge) is registered as required under the laws of Israel. As of September 30, 2005, we estimate that these statutory priorities would amount to approximately $5.4 million. As of the date of this prospectus, in addition to the first ranking charge which we granted to the banks under the facility agreement (see “Risk Factors – The payment of principal of and interest on the debentures is subordinated to our indebtedness to our banks and obligations to secured creditors.”), our assets are subject to a second ranking floating charge in favor of the government of the State of Israel, which secures our compliance with the terms of our grants in connection with our government “Approved Enterprise” programs for Fab 1 and Fab 2</w:t>
      </w:r>
    </w:p>
    <w:p>
      <w:pPr>
        <w:sectPr>
          <w:pgSz w:w="11900" w:h="16838" w:orient="portrait"/>
          <w:cols w:equalWidth="0" w:num="1">
            <w:col w:w="11420"/>
          </w:cols>
          <w:pgMar w:left="240" w:top="131" w:right="239" w:bottom="0" w:gutter="0" w:footer="0" w:header="0"/>
        </w:sectPr>
      </w:pPr>
    </w:p>
    <w:bookmarkStart w:id="19" w:name="page20"/>
    <w:bookmarkEnd w:id="19"/>
    <w:p>
      <w:pPr>
        <w:spacing w:after="0" w:line="1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(approximately $263 million received and approximately $7.3 million receivables, as of December 31, 2005) and Siliconix Technology C.V., one of our customers, which has a first ranking charge on a bank account into which Siliconix deposited in 2004, $20 million for the purchase of equipment and other expenses in connection with the performance of our obligations under our agreement with Siliconix (of which as of December 31, 2005, there is a balance of approximately $10 million) and over the equipment which has been or which may be subsequently purchased with such funds. The indenture does not limit the amount of additional indebtedness which we can create, incur, assume or guarantee nor our ability to create any security to secure our obligations to any third party.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 under the Facility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constitute Events of Default under our facility agreement:</w:t>
      </w:r>
    </w:p>
    <w:p>
      <w:pPr>
        <w:spacing w:after="0" w:line="225" w:lineRule="exact"/>
        <w:rPr>
          <w:sz w:val="20"/>
          <w:szCs w:val="20"/>
          <w:color w:val="auto"/>
        </w:rPr>
      </w:pPr>
    </w:p>
    <w:p>
      <w:pPr>
        <w:ind w:right="80" w:firstLine="8"/>
        <w:spacing w:after="0" w:line="268" w:lineRule="auto"/>
        <w:tabs>
          <w:tab w:leader="none" w:pos="56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Failure to make a payment: </w:t>
      </w:r>
      <w:r>
        <w:rPr>
          <w:rFonts w:ascii="Arial" w:cs="Arial" w:eastAsia="Arial" w:hAnsi="Arial"/>
          <w:sz w:val="18"/>
          <w:szCs w:val="18"/>
          <w:color w:val="auto"/>
        </w:rPr>
        <w:t>Our failure to pay any amount payable to our banks under the facility agreement within seven business days or ten days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payment. Payments under the facility agreement include payments of principal and interest.</w:t>
      </w:r>
    </w:p>
    <w:p>
      <w:pPr>
        <w:spacing w:after="0" w:line="185" w:lineRule="exact"/>
        <w:rPr>
          <w:rFonts w:ascii="Arial" w:cs="Arial" w:eastAsia="Arial" w:hAnsi="Arial"/>
          <w:sz w:val="18"/>
          <w:szCs w:val="18"/>
          <w:color w:val="auto"/>
        </w:rPr>
      </w:pPr>
    </w:p>
    <w:p>
      <w:pPr>
        <w:ind w:left="620" w:hanging="612"/>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Failure to meet production milestone</w:t>
      </w:r>
      <w:r>
        <w:rPr>
          <w:rFonts w:ascii="Arial" w:cs="Arial" w:eastAsia="Arial" w:hAnsi="Arial"/>
          <w:sz w:val="18"/>
          <w:szCs w:val="18"/>
          <w:color w:val="auto"/>
        </w:rPr>
        <w:t>: Fab 2 must reach production capacity of 33,000 wafers per month by December 31, 2007.</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Failure to raise additional funding within the agreed timetable:</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obligated to raise $8 million by June 30, 2006 from specified sources. The sources of this $8 million of funding are limited to: (a) investments in our equity; (b) proceeds, net of taxes paid and related expenses, from the sale of securities we own in Azalea Microelectronics Corporation; and (c) wafer prepayments under certain prepayment contracts.</w:t>
      </w:r>
    </w:p>
    <w:p>
      <w:pPr>
        <w:spacing w:after="0" w:line="194" w:lineRule="exact"/>
        <w:rPr>
          <w:sz w:val="20"/>
          <w:szCs w:val="20"/>
          <w:color w:val="auto"/>
        </w:rPr>
      </w:pPr>
    </w:p>
    <w:p>
      <w:pPr>
        <w:ind w:right="120" w:firstLine="8"/>
        <w:spacing w:after="0" w:line="30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Investment Center Grants</w:t>
      </w:r>
      <w:r>
        <w:rPr>
          <w:rFonts w:ascii="Arial" w:cs="Arial" w:eastAsia="Arial" w:hAnsi="Arial"/>
          <w:sz w:val="16"/>
          <w:szCs w:val="16"/>
          <w:color w:val="auto"/>
        </w:rPr>
        <w:t>. We must comply with the terms and conditions of the approval to receive grants for Fab 2 from the Investment Center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Ministry of Industry, Trade and Labor and must receive these Fab 2 grants in accordance with the timetable set forth in the amended facility agreement. The facility agreement allows us to replace up to $50 million of the Fab 2 grants with paid in equity or wafer prepayments.</w:t>
      </w:r>
    </w:p>
    <w:p>
      <w:pPr>
        <w:spacing w:after="0" w:line="160" w:lineRule="exact"/>
        <w:rPr>
          <w:rFonts w:ascii="Arial" w:cs="Arial" w:eastAsia="Arial" w:hAnsi="Arial"/>
          <w:sz w:val="16"/>
          <w:szCs w:val="16"/>
          <w:color w:val="auto"/>
        </w:rPr>
      </w:pPr>
    </w:p>
    <w:p>
      <w:pPr>
        <w:ind w:right="20" w:firstLine="8"/>
        <w:spacing w:after="0" w:line="288" w:lineRule="auto"/>
        <w:tabs>
          <w:tab w:leader="none" w:pos="6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Failure to comply with certain financial ratios and covenants: </w:t>
      </w:r>
      <w:r>
        <w:rPr>
          <w:rFonts w:ascii="Arial" w:cs="Arial" w:eastAsia="Arial" w:hAnsi="Arial"/>
          <w:sz w:val="16"/>
          <w:szCs w:val="16"/>
          <w:color w:val="auto"/>
        </w:rPr>
        <w:t>Under the terms of the amended facility agreement, we must meet certain financial ratios</w:t>
      </w:r>
      <w:r>
        <w:rPr>
          <w:rFonts w:ascii="Arial" w:cs="Arial" w:eastAsia="Arial" w:hAnsi="Arial"/>
          <w:sz w:val="16"/>
          <w:szCs w:val="16"/>
          <w:i w:val="1"/>
          <w:iCs w:val="1"/>
          <w:color w:val="auto"/>
        </w:rPr>
        <w:t xml:space="preserve"> </w:t>
      </w:r>
      <w:r>
        <w:rPr>
          <w:rFonts w:ascii="Arial" w:cs="Arial" w:eastAsia="Arial" w:hAnsi="Arial"/>
          <w:sz w:val="16"/>
          <w:szCs w:val="16"/>
          <w:color w:val="auto"/>
        </w:rPr>
        <w:t>and covenants, including financial covenants relating to periodic sales, quarterly earnings before interest, taxes, depreciation and amortization (quarterly EBITDA), net cash flow as compared with total debt and equity as compared to total assets. In January 2005, we signed a waiver letter agreement with our banks according to which the banks waived our non-compliance with certain financial ratios and covenants for the fourth quarter of 2004 and which amended certain of the financial ratios and covenants for 2005. Under the terms of the July 2005 amendment to our credit facility agreement, our banks agreed to amend our financial ratios and covenants through the third quarter of 2006. As of today, we are in full compliance with our financial ratios and covenants. We anticipate that we will not be in compliance with all of the financial ratios and covenants under the amended facility agreement commencing in the fourth quarter of 2006. See “Risk Factors – If we do not raise the funds required by the amendment to our credit facility agreement or fail to satisfy the covenants set forth in our amended credit facility, our banks will be able to call our loans.”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Changes to and compliance with material contracts: </w:t>
      </w:r>
      <w:r>
        <w:rPr>
          <w:rFonts w:ascii="Arial" w:cs="Arial" w:eastAsia="Arial" w:hAnsi="Arial"/>
          <w:sz w:val="16"/>
          <w:szCs w:val="16"/>
          <w:color w:val="auto"/>
        </w:rPr>
        <w:t>We may not amend, cancel, terminate or waive any term of a material contract unless the</w:t>
      </w:r>
    </w:p>
    <w:p>
      <w:pPr>
        <w:spacing w:after="0" w:line="38"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aforementioned actions are not materially adverse to the interests of our banks. We also must materially comply with the terms of our material contracts. Subject to certain exceptions, certain of our material contracts must remain in full force and effect.</w:t>
      </w:r>
    </w:p>
    <w:p>
      <w:pPr>
        <w:spacing w:after="0" w:line="191" w:lineRule="exact"/>
        <w:rPr>
          <w:rFonts w:ascii="Arial" w:cs="Arial" w:eastAsia="Arial" w:hAnsi="Arial"/>
          <w:sz w:val="16"/>
          <w:szCs w:val="16"/>
          <w:color w:val="auto"/>
        </w:rPr>
      </w:pPr>
    </w:p>
    <w:p>
      <w:pPr>
        <w:ind w:left="700" w:hanging="69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Use of excess cash flow from Fab 2: </w:t>
      </w:r>
      <w:r>
        <w:rPr>
          <w:rFonts w:ascii="Arial" w:cs="Arial" w:eastAsia="Arial" w:hAnsi="Arial"/>
          <w:sz w:val="18"/>
          <w:szCs w:val="18"/>
          <w:color w:val="auto"/>
        </w:rPr>
        <w:t>We must invest the operating cash flow derived from Fab 2 in the Fab 2 project.</w:t>
      </w:r>
    </w:p>
    <w:p>
      <w:pPr>
        <w:spacing w:after="0" w:line="225" w:lineRule="exact"/>
        <w:rPr>
          <w:rFonts w:ascii="Arial" w:cs="Arial" w:eastAsia="Arial" w:hAnsi="Arial"/>
          <w:sz w:val="18"/>
          <w:szCs w:val="18"/>
          <w:color w:val="auto"/>
        </w:rPr>
      </w:pPr>
    </w:p>
    <w:p>
      <w:pPr>
        <w:ind w:right="40" w:firstLine="8"/>
        <w:spacing w:after="0" w:line="306" w:lineRule="auto"/>
        <w:tabs>
          <w:tab w:leader="none" w:pos="746"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Creation of encumbrances: </w:t>
      </w:r>
      <w:r>
        <w:rPr>
          <w:rFonts w:ascii="Arial" w:cs="Arial" w:eastAsia="Arial" w:hAnsi="Arial"/>
          <w:sz w:val="16"/>
          <w:szCs w:val="16"/>
          <w:color w:val="auto"/>
        </w:rPr>
        <w:t>We may not provide security interests in or otherwise encumber our assets, other than in favor of our banks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of the State of Israel in connection with grants from the Investment Center of the Ministry of Industry, Trade and Labor for Fab 1 and Fab 2 or unless approved by our banks, as was the case with the first ranking charges on certain of our Fab 1 assets in favor of Siliconix Technology C.V., one of our customers.</w:t>
      </w:r>
    </w:p>
    <w:p>
      <w:pPr>
        <w:spacing w:after="0" w:line="160" w:lineRule="exact"/>
        <w:rPr>
          <w:rFonts w:ascii="Arial" w:cs="Arial" w:eastAsia="Arial" w:hAnsi="Arial"/>
          <w:sz w:val="16"/>
          <w:szCs w:val="16"/>
          <w:color w:val="auto"/>
        </w:rPr>
      </w:pPr>
    </w:p>
    <w:p>
      <w:pPr>
        <w:ind w:firstLine="8"/>
        <w:spacing w:after="0" w:line="291"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Payment of dividends: </w:t>
      </w:r>
      <w:r>
        <w:rPr>
          <w:rFonts w:ascii="Arial" w:cs="Arial" w:eastAsia="Arial" w:hAnsi="Arial"/>
          <w:sz w:val="16"/>
          <w:szCs w:val="16"/>
          <w:color w:val="auto"/>
        </w:rPr>
        <w:t>We are not permitted to undertake to declare or pay a dividend or any other distribution (as defined in the Companies Law –</w:t>
      </w:r>
      <w:r>
        <w:rPr>
          <w:rFonts w:ascii="Arial" w:cs="Arial" w:eastAsia="Arial" w:hAnsi="Arial"/>
          <w:sz w:val="16"/>
          <w:szCs w:val="16"/>
          <w:i w:val="1"/>
          <w:iCs w:val="1"/>
          <w:color w:val="auto"/>
        </w:rPr>
        <w:t xml:space="preserve"> </w:t>
      </w:r>
      <w:r>
        <w:rPr>
          <w:rFonts w:ascii="Arial" w:cs="Arial" w:eastAsia="Arial" w:hAnsi="Arial"/>
          <w:sz w:val="16"/>
          <w:szCs w:val="16"/>
          <w:color w:val="auto"/>
        </w:rPr>
        <w:t>1999) or to redeem any of our shares or convertible securities (including the debentures issued in our 2002 and 2006 rights offerings) unless the facility agreement specifically grants us this right. The facility agreement provides that we may declare and pay a dividend on or in respect of our share capital provided that: (a) no such distribution shall take place prior to January 1, 2008 and prior to any such distribution, we must have placed on deposit with our banks an amount equal to the debt service for the quarter in which the distribution is to be made and pledged such deposit in favor of our banks, and (b) we must have complied with certain financial ratios and covenants. In addition, we may only declare and pay a dividend provided that:</w:t>
      </w:r>
    </w:p>
    <w:p>
      <w:pPr>
        <w:spacing w:after="0" w:line="174"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1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facility agreement; and</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right="120" w:firstLine="8"/>
        <w:spacing w:after="0" w:line="256"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Incurrence of financial indebtedness: </w:t>
      </w:r>
      <w:r>
        <w:rPr>
          <w:rFonts w:ascii="Arial" w:cs="Arial" w:eastAsia="Arial" w:hAnsi="Arial"/>
          <w:sz w:val="18"/>
          <w:szCs w:val="18"/>
          <w:color w:val="auto"/>
        </w:rPr>
        <w:t>We may not incur any financial indebtedness, unless we are specifically permitted to do so under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Examples of financial indebtedness which we are permitted to incur according to the terms of the facility agreement are: an amount of up to $40 million in respect of a credit facility for Fab 1, an amount of up to $10 million in respect of operating leases relating to Fab 2, the debt we incurred in connection with the issuance of convertible debentures in January 2002 and in January 2006.</w:t>
      </w:r>
    </w:p>
    <w:p>
      <w:pPr>
        <w:spacing w:after="0" w:line="197" w:lineRule="exact"/>
        <w:rPr>
          <w:rFonts w:ascii="Arial" w:cs="Arial" w:eastAsia="Arial" w:hAnsi="Arial"/>
          <w:sz w:val="18"/>
          <w:szCs w:val="18"/>
          <w:color w:val="auto"/>
        </w:rPr>
      </w:pPr>
    </w:p>
    <w:p>
      <w:pPr>
        <w:ind w:right="140" w:firstLine="8"/>
        <w:spacing w:after="0" w:line="332"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Purchase of shares or assets of another company: </w:t>
      </w:r>
      <w:r>
        <w:rPr>
          <w:rFonts w:ascii="Arial" w:cs="Arial" w:eastAsia="Arial" w:hAnsi="Arial"/>
          <w:sz w:val="16"/>
          <w:szCs w:val="16"/>
          <w:color w:val="auto"/>
        </w:rPr>
        <w:t>We may not purchase any interest in the share capital or the business or assets constituting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 another company unless the aggregate amount of all such investments or purchases does not exceed $5 million.</w:t>
      </w:r>
    </w:p>
    <w:p>
      <w:pPr>
        <w:spacing w:after="0" w:line="139" w:lineRule="exact"/>
        <w:rPr>
          <w:rFonts w:ascii="Arial" w:cs="Arial" w:eastAsia="Arial" w:hAnsi="Arial"/>
          <w:sz w:val="16"/>
          <w:szCs w:val="16"/>
          <w:color w:val="auto"/>
        </w:rPr>
      </w:pPr>
    </w:p>
    <w:p>
      <w:pPr>
        <w:ind w:right="100" w:firstLine="8"/>
        <w:spacing w:after="0" w:line="306" w:lineRule="auto"/>
        <w:tabs>
          <w:tab w:leader="none" w:pos="697"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Suspension or cancellation of approvals and permits</w:t>
      </w:r>
      <w:r>
        <w:rPr>
          <w:rFonts w:ascii="Arial" w:cs="Arial" w:eastAsia="Arial" w:hAnsi="Arial"/>
          <w:sz w:val="16"/>
          <w:szCs w:val="16"/>
          <w:color w:val="auto"/>
        </w:rPr>
        <w:t>: We must obtain all of the permits, approvals or licenses necessary for the performance of the Fab</w:t>
      </w:r>
      <w:r>
        <w:rPr>
          <w:rFonts w:ascii="Arial" w:cs="Arial" w:eastAsia="Arial" w:hAnsi="Arial"/>
          <w:sz w:val="16"/>
          <w:szCs w:val="16"/>
          <w:i w:val="1"/>
          <w:iCs w:val="1"/>
          <w:color w:val="auto"/>
        </w:rPr>
        <w:t xml:space="preserve"> </w:t>
      </w:r>
      <w:r>
        <w:rPr>
          <w:rFonts w:ascii="Arial" w:cs="Arial" w:eastAsia="Arial" w:hAnsi="Arial"/>
          <w:sz w:val="16"/>
          <w:szCs w:val="16"/>
          <w:color w:val="auto"/>
        </w:rPr>
        <w:t>2 project and must ensure that they are not suspended, cancelled, revoked or lapse without our having obtained adequate replacements. In addition, we must comply with the terms of such permits, approvals or licenses and their terms cannot be modified in a material adverse respect.</w:t>
      </w:r>
    </w:p>
    <w:p>
      <w:pPr>
        <w:spacing w:after="0" w:line="160" w:lineRule="exact"/>
        <w:rPr>
          <w:rFonts w:ascii="Arial" w:cs="Arial" w:eastAsia="Arial" w:hAnsi="Arial"/>
          <w:sz w:val="16"/>
          <w:szCs w:val="16"/>
          <w:color w:val="auto"/>
        </w:rPr>
      </w:pPr>
    </w:p>
    <w:p>
      <w:pPr>
        <w:ind w:right="220" w:firstLine="8"/>
        <w:spacing w:after="0" w:line="306" w:lineRule="auto"/>
        <w:tabs>
          <w:tab w:leader="none" w:pos="746"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A “change of ownership”: </w:t>
      </w:r>
      <w:r>
        <w:rPr>
          <w:rFonts w:ascii="Arial" w:cs="Arial" w:eastAsia="Arial" w:hAnsi="Arial"/>
          <w:sz w:val="16"/>
          <w:szCs w:val="16"/>
          <w:color w:val="auto"/>
        </w:rPr>
        <w:t>The facility agreement provides that certain events would be considered to be a change of ownership of our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would constitute an event of default. These events include limitations of the number of our shares that the Israel Corp. and our major wafer partners (SanDisk Corporation, Alliance Semiconductor Corporation and Macronix Co. Ltd.) may sell or hold and the composition of our board of directors including that:</w:t>
      </w:r>
    </w:p>
    <w:p>
      <w:pPr>
        <w:sectPr>
          <w:pgSz w:w="11900" w:h="16850" w:orient="portrait"/>
          <w:cols w:equalWidth="0" w:num="1">
            <w:col w:w="11420"/>
          </w:cols>
          <w:pgMar w:left="240" w:top="131" w:right="239" w:bottom="0" w:gutter="0" w:footer="0" w:header="0"/>
        </w:sectPr>
      </w:pPr>
    </w:p>
    <w:bookmarkStart w:id="20" w:name="page21"/>
    <w:bookmarkEnd w:id="20"/>
    <w:p>
      <w:pPr>
        <w:spacing w:after="0" w:line="54" w:lineRule="exact"/>
        <w:rPr>
          <w:sz w:val="20"/>
          <w:szCs w:val="20"/>
          <w:color w:val="auto"/>
        </w:rPr>
      </w:pPr>
    </w:p>
    <w:p>
      <w:pPr>
        <w:ind w:left="1712" w:right="160" w:hanging="567"/>
        <w:spacing w:after="0" w:line="268" w:lineRule="auto"/>
        <w:rPr>
          <w:sz w:val="20"/>
          <w:szCs w:val="20"/>
          <w:color w:val="auto"/>
        </w:rPr>
      </w:pPr>
      <w:r>
        <w:rPr>
          <w:rFonts w:ascii="Arial" w:cs="Arial" w:eastAsia="Arial" w:hAnsi="Arial"/>
          <w:sz w:val="18"/>
          <w:szCs w:val="18"/>
          <w:color w:val="auto"/>
        </w:rPr>
        <w:t>—From December 16, 2003 through January 29, 2006, Israel Corp. must hold at least the higher of (i) eight million of our ordinary shares or (ii) 16.5% of our issued share capital less two million ordinary shares.</w:t>
      </w:r>
    </w:p>
    <w:p>
      <w:pPr>
        <w:spacing w:after="0" w:line="212" w:lineRule="exact"/>
        <w:rPr>
          <w:sz w:val="20"/>
          <w:szCs w:val="20"/>
          <w:color w:val="auto"/>
        </w:rPr>
      </w:pPr>
    </w:p>
    <w:p>
      <w:pPr>
        <w:ind w:left="1712" w:right="160" w:hanging="567"/>
        <w:spacing w:after="0" w:line="268" w:lineRule="auto"/>
        <w:rPr>
          <w:sz w:val="20"/>
          <w:szCs w:val="20"/>
          <w:color w:val="auto"/>
        </w:rPr>
      </w:pPr>
      <w:r>
        <w:rPr>
          <w:rFonts w:ascii="Arial" w:cs="Arial" w:eastAsia="Arial" w:hAnsi="Arial"/>
          <w:sz w:val="18"/>
          <w:szCs w:val="18"/>
          <w:color w:val="auto"/>
        </w:rPr>
        <w:t>—During the three-year period beginning January 29, 2006, Israel Corp. may gradually sell between 25% to 100% of the shares held by it on December 16, 2003, less the amount of shares it was entitled to sell through January 29, 2006.</w:t>
      </w:r>
    </w:p>
    <w:p>
      <w:pPr>
        <w:spacing w:after="0" w:line="212" w:lineRule="exact"/>
        <w:rPr>
          <w:sz w:val="20"/>
          <w:szCs w:val="20"/>
          <w:color w:val="auto"/>
        </w:rPr>
      </w:pPr>
    </w:p>
    <w:p>
      <w:pPr>
        <w:ind w:left="1712" w:right="40" w:hanging="567"/>
        <w:spacing w:after="0" w:line="259" w:lineRule="auto"/>
        <w:rPr>
          <w:sz w:val="20"/>
          <w:szCs w:val="20"/>
          <w:color w:val="auto"/>
        </w:rPr>
      </w:pPr>
      <w:r>
        <w:rPr>
          <w:rFonts w:ascii="Arial" w:cs="Arial" w:eastAsia="Arial" w:hAnsi="Arial"/>
          <w:sz w:val="18"/>
          <w:szCs w:val="18"/>
          <w:color w:val="auto"/>
        </w:rPr>
        <w:t>—Until January 29, 2006, SanDisk Corporation, Alliance Semiconductor Corporation and Macronix Co. Ltd. cannot sell more than 30% of the number of our shares held by them on January 29, 2004 which were purchased pursuant to the year 2000 investment agreements with us.</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12" w:right="100" w:hanging="567"/>
        <w:spacing w:after="0" w:line="256" w:lineRule="auto"/>
        <w:rPr>
          <w:sz w:val="20"/>
          <w:szCs w:val="20"/>
          <w:color w:val="auto"/>
        </w:rPr>
      </w:pPr>
      <w:r>
        <w:rPr>
          <w:rFonts w:ascii="Arial" w:cs="Arial" w:eastAsia="Arial" w:hAnsi="Arial"/>
          <w:sz w:val="18"/>
          <w:szCs w:val="18"/>
          <w:color w:val="auto"/>
        </w:rPr>
        <w:t>—At any time during the period between January 30, 2006, and at least 12 months from January 29, 2006, the aggregate shareholdings of SanDisk Corporation, Alliance Semiconductor Corporation and Macronix Co. Ltd. must equal at least 60% of the amount of their aggregate shareholdings on January 29, 2006 (which may be reduced under certain conditions) less an amount of shares equal to 30% of the number of our shares held by them on January 29, 2004.</w:t>
      </w:r>
    </w:p>
    <w:p>
      <w:pPr>
        <w:spacing w:after="0" w:line="224" w:lineRule="exact"/>
        <w:rPr>
          <w:sz w:val="20"/>
          <w:szCs w:val="20"/>
          <w:color w:val="auto"/>
        </w:rPr>
      </w:pPr>
    </w:p>
    <w:p>
      <w:pPr>
        <w:ind w:left="1712" w:right="20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maximum number of directors that Israel Corp. may nominate may not exceed the number of directors nominated by SanDisk Corporation, Alliance Semiconductor Corporation and Macronix Co. Ltd. For the purpose of this calculation external directors and our office holders that are also directors are not taken into account as members of our board of directors.</w:t>
      </w:r>
    </w:p>
    <w:p>
      <w:pPr>
        <w:spacing w:after="0" w:line="187" w:lineRule="exact"/>
        <w:rPr>
          <w:sz w:val="20"/>
          <w:szCs w:val="20"/>
          <w:color w:val="auto"/>
        </w:rPr>
      </w:pPr>
    </w:p>
    <w:p>
      <w:pPr>
        <w:ind w:left="1712" w:right="220" w:hanging="567"/>
        <w:spacing w:after="0" w:line="256" w:lineRule="auto"/>
        <w:rPr>
          <w:sz w:val="20"/>
          <w:szCs w:val="20"/>
          <w:color w:val="auto"/>
        </w:rPr>
      </w:pPr>
      <w:r>
        <w:rPr>
          <w:rFonts w:ascii="Arial" w:cs="Arial" w:eastAsia="Arial" w:hAnsi="Arial"/>
          <w:sz w:val="18"/>
          <w:szCs w:val="18"/>
          <w:color w:val="auto"/>
        </w:rPr>
        <w:t>—Israel Corp. may not hold for more than 7 days ordinary shares that it acquires through the conversion of convertible debentures if, at such time, the number of our ordinary shares held by it exceeds the sum of the number of our ordinary shares held by it on January 18, 2001 (the date the facility agreement was signed) and the number of our ordinary shares purchased by Israel Corp. pursuant to its December 2000 investment agreements with us.</w:t>
      </w:r>
    </w:p>
    <w:p>
      <w:pPr>
        <w:spacing w:after="0" w:line="224" w:lineRule="exact"/>
        <w:rPr>
          <w:sz w:val="20"/>
          <w:szCs w:val="20"/>
          <w:color w:val="auto"/>
        </w:rPr>
      </w:pPr>
    </w:p>
    <w:p>
      <w:pPr>
        <w:ind w:left="1712" w:right="40" w:hanging="567"/>
        <w:spacing w:after="0" w:line="259" w:lineRule="auto"/>
        <w:rPr>
          <w:sz w:val="20"/>
          <w:szCs w:val="20"/>
          <w:color w:val="auto"/>
        </w:rPr>
      </w:pPr>
      <w:r>
        <w:rPr>
          <w:rFonts w:ascii="Arial" w:cs="Arial" w:eastAsia="Arial" w:hAnsi="Arial"/>
          <w:sz w:val="18"/>
          <w:szCs w:val="18"/>
          <w:color w:val="auto"/>
        </w:rPr>
        <w:t>—SanDisk Corporation, Alliance Semiconductor Corporation, Macronix Co. Ltd., and Israel Corp., no longer nominate in excess of half of our directors. For the purpose of this calculation external directors and our office holders that are also directors are not taken into account as members of our board of directors.</w:t>
      </w:r>
    </w:p>
    <w:p>
      <w:pPr>
        <w:spacing w:after="0" w:line="200" w:lineRule="exact"/>
        <w:rPr>
          <w:sz w:val="20"/>
          <w:szCs w:val="20"/>
          <w:color w:val="auto"/>
        </w:rPr>
      </w:pPr>
    </w:p>
    <w:p>
      <w:pPr>
        <w:spacing w:after="0" w:line="237" w:lineRule="exact"/>
        <w:rPr>
          <w:sz w:val="20"/>
          <w:szCs w:val="20"/>
          <w:color w:val="auto"/>
        </w:rPr>
      </w:pPr>
    </w:p>
    <w:p>
      <w:pPr>
        <w:ind w:left="-8" w:right="80" w:firstLine="8"/>
        <w:spacing w:after="0" w:line="268" w:lineRule="auto"/>
        <w:tabs>
          <w:tab w:leader="none" w:pos="72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Purpose of Credits: </w:t>
      </w:r>
      <w:r>
        <w:rPr>
          <w:rFonts w:ascii="Arial" w:cs="Arial" w:eastAsia="Arial" w:hAnsi="Arial"/>
          <w:sz w:val="18"/>
          <w:szCs w:val="18"/>
          <w:color w:val="auto"/>
        </w:rPr>
        <w:t>We may not use the different forms of credits available under the facility agreement other than for the purposes permitted therefor,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generally relate to costs and expenses associated with the Fab 2 project.</w:t>
      </w:r>
    </w:p>
    <w:p>
      <w:pPr>
        <w:spacing w:after="0" w:line="185" w:lineRule="exact"/>
        <w:rPr>
          <w:rFonts w:ascii="Arial" w:cs="Arial" w:eastAsia="Arial" w:hAnsi="Arial"/>
          <w:sz w:val="18"/>
          <w:szCs w:val="18"/>
          <w:color w:val="auto"/>
        </w:rPr>
      </w:pPr>
    </w:p>
    <w:p>
      <w:pPr>
        <w:ind w:left="-8" w:right="120" w:firstLine="8"/>
        <w:spacing w:after="0" w:line="268"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We may not create any obligations to any third party that rank senior in right and priority of payment to the banks or in priority of security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banks, other than obligations which are mandatorily preferred by law applying to companies generally.</w:t>
      </w:r>
    </w:p>
    <w:p>
      <w:pPr>
        <w:spacing w:after="0" w:line="185" w:lineRule="exact"/>
        <w:rPr>
          <w:rFonts w:ascii="Arial" w:cs="Arial" w:eastAsia="Arial" w:hAnsi="Arial"/>
          <w:sz w:val="18"/>
          <w:szCs w:val="18"/>
          <w:color w:val="auto"/>
        </w:rPr>
      </w:pPr>
    </w:p>
    <w:p>
      <w:pPr>
        <w:ind w:left="-8" w:firstLine="8"/>
        <w:spacing w:after="0" w:line="298" w:lineRule="auto"/>
        <w:tabs>
          <w:tab w:leader="none" w:pos="728"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All of our properties and assets must be insured with reputable insurance companies or underwriters approved by the banks. We must also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insurance which is generally and customarily maintained by companies carrying on a business similar to ours. The proceeds payable under the insurance polices in the event of loss of Fab 2 must equal at least 110% of the aggregate amount of debt we owe our banks under the facility agreement at any given time. In addition, the insurance policies are to be assigned by way of charge in favor of the banks and the banks are to be joined as an additional insured.</w:t>
      </w:r>
    </w:p>
    <w:p>
      <w:pPr>
        <w:spacing w:after="0" w:line="166" w:lineRule="exact"/>
        <w:rPr>
          <w:rFonts w:ascii="Arial" w:cs="Arial" w:eastAsia="Arial" w:hAnsi="Arial"/>
          <w:sz w:val="16"/>
          <w:szCs w:val="16"/>
          <w:color w:val="auto"/>
        </w:rPr>
      </w:pPr>
    </w:p>
    <w:p>
      <w:pPr>
        <w:ind w:left="-8" w:right="340" w:firstLine="8"/>
        <w:spacing w:after="0" w:line="259" w:lineRule="auto"/>
        <w:tabs>
          <w:tab w:leader="none" w:pos="777"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Contract: </w:t>
      </w:r>
      <w:r>
        <w:rPr>
          <w:rFonts w:ascii="Arial" w:cs="Arial" w:eastAsia="Arial" w:hAnsi="Arial"/>
          <w:sz w:val="18"/>
          <w:szCs w:val="18"/>
          <w:color w:val="auto"/>
        </w:rPr>
        <w:t>We may not terminate or exercise any right or suspension under our agreement with our Fab 2 contractor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banks. In addition, the suspension of performance under the agreement with our Fab 2 contractor for a continuous period of more than ninety days or the abandonment of the Fab 2 project or a material part thereof are events of default.</w:t>
      </w:r>
    </w:p>
    <w:p>
      <w:pPr>
        <w:spacing w:after="0" w:line="194" w:lineRule="exact"/>
        <w:rPr>
          <w:rFonts w:ascii="Arial" w:cs="Arial" w:eastAsia="Arial" w:hAnsi="Arial"/>
          <w:sz w:val="18"/>
          <w:szCs w:val="18"/>
          <w:color w:val="auto"/>
        </w:rPr>
      </w:pPr>
    </w:p>
    <w:p>
      <w:pPr>
        <w:ind w:left="-8" w:right="20" w:firstLine="8"/>
        <w:spacing w:after="0" w:line="306" w:lineRule="auto"/>
        <w:tabs>
          <w:tab w:leader="none" w:pos="826"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Agreements providing for wafer order rights</w:t>
      </w:r>
      <w:r>
        <w:rPr>
          <w:rFonts w:ascii="Arial" w:cs="Arial" w:eastAsia="Arial" w:hAnsi="Arial"/>
          <w:sz w:val="16"/>
          <w:szCs w:val="16"/>
          <w:color w:val="auto"/>
        </w:rPr>
        <w:t>: We must have binding agreements providing for a wafer order right providing for the sale of a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in Fab 2 in aggregate of at least 15,733 wafer starts per month for the three year period commencing after Fab 2 reaches production capacity of 10,000 wafer starts per month. At the present time, this obligation is satisfied as a result of the foundry agreements with our wafer partners.</w:t>
      </w:r>
    </w:p>
    <w:p>
      <w:pPr>
        <w:spacing w:after="0" w:line="160" w:lineRule="exact"/>
        <w:rPr>
          <w:rFonts w:ascii="Arial" w:cs="Arial" w:eastAsia="Arial" w:hAnsi="Arial"/>
          <w:sz w:val="16"/>
          <w:szCs w:val="16"/>
          <w:color w:val="auto"/>
        </w:rPr>
      </w:pPr>
    </w:p>
    <w:p>
      <w:pPr>
        <w:ind w:left="-8" w:right="100" w:firstLine="8"/>
        <w:spacing w:after="0" w:line="323" w:lineRule="auto"/>
        <w:tabs>
          <w:tab w:leader="none" w:pos="728"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Representation and warranties</w:t>
      </w:r>
      <w:r>
        <w:rPr>
          <w:rFonts w:ascii="Arial" w:cs="Arial" w:eastAsia="Arial" w:hAnsi="Arial"/>
          <w:sz w:val="15"/>
          <w:szCs w:val="15"/>
          <w:color w:val="auto"/>
        </w:rPr>
        <w:t>: Prior to the closing of the facility agreement with the banks, we made certain representations and warranties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banks and we were deemed to have been repeated certain of those representations and warranties to the banks each time we delivered a request to borrow money under the facility agreement. We also made certain representations and warranties to the banks in connection with the amendments to our facility agreement the last of which is dated December 2005. When made, the representations and warranties must have been correct and not misleading in a material manner.</w:t>
      </w:r>
    </w:p>
    <w:p>
      <w:pPr>
        <w:spacing w:after="0" w:line="1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 w:right="40" w:firstLine="8"/>
        <w:spacing w:after="0" w:line="268"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Continuous legal validity of the facility agreement</w:t>
      </w:r>
      <w:r>
        <w:rPr>
          <w:rFonts w:ascii="Arial" w:cs="Arial" w:eastAsia="Arial" w:hAnsi="Arial"/>
          <w:sz w:val="18"/>
          <w:szCs w:val="18"/>
          <w:color w:val="auto"/>
        </w:rPr>
        <w:t>: The facility agreement or any of its ancillary agreements shall not cease to be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any respect or fail to provide the intended perfected security over our assets in favor of our banks.</w:t>
      </w:r>
    </w:p>
    <w:p>
      <w:pPr>
        <w:spacing w:after="0" w:line="185" w:lineRule="exact"/>
        <w:rPr>
          <w:rFonts w:ascii="Arial" w:cs="Arial" w:eastAsia="Arial" w:hAnsi="Arial"/>
          <w:sz w:val="18"/>
          <w:szCs w:val="18"/>
          <w:color w:val="auto"/>
        </w:rPr>
      </w:pPr>
    </w:p>
    <w:p>
      <w:pPr>
        <w:ind w:left="-8" w:right="60" w:firstLine="8"/>
        <w:spacing w:after="0" w:line="306" w:lineRule="auto"/>
        <w:tabs>
          <w:tab w:leader="none" w:pos="728"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Liquidation; Insolvency</w:t>
      </w:r>
      <w:r>
        <w:rPr>
          <w:rFonts w:ascii="Arial" w:cs="Arial" w:eastAsia="Arial" w:hAnsi="Arial"/>
          <w:sz w:val="16"/>
          <w:szCs w:val="16"/>
          <w:color w:val="auto"/>
        </w:rPr>
        <w:t>: Our becoming insolvent or admitting to being insolvent or our commencement of negotiations with any one or more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with a view to a general readjustment or rescheduling of our indebtedness. In addition, any steps taken for our liquidation, winding up or similar events, including our seeking protection from our creditors, and any proceedings or orders with respect thereto must be cancelled or withdrawn within sixty days.</w:t>
      </w:r>
    </w:p>
    <w:p>
      <w:pPr>
        <w:spacing w:after="0" w:line="160" w:lineRule="exact"/>
        <w:rPr>
          <w:rFonts w:ascii="Arial" w:cs="Arial" w:eastAsia="Arial" w:hAnsi="Arial"/>
          <w:sz w:val="16"/>
          <w:szCs w:val="16"/>
          <w:color w:val="auto"/>
        </w:rPr>
      </w:pPr>
    </w:p>
    <w:p>
      <w:pPr>
        <w:ind w:left="-8" w:right="140" w:firstLine="8"/>
        <w:spacing w:after="0" w:line="332" w:lineRule="auto"/>
        <w:tabs>
          <w:tab w:leader="none" w:pos="777"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Cross acceleration of other indebtedness</w:t>
      </w:r>
      <w:r>
        <w:rPr>
          <w:rFonts w:ascii="Arial" w:cs="Arial" w:eastAsia="Arial" w:hAnsi="Arial"/>
          <w:sz w:val="16"/>
          <w:szCs w:val="16"/>
          <w:color w:val="auto"/>
        </w:rPr>
        <w:t>: We may not fail to make payments regarding any of our other financial indebtedness which aggregates $20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more. In addition, $20 million or more of our other financial indebtedness cannot become prematurely due and payable or be placed on demand.</w:t>
      </w:r>
    </w:p>
    <w:p>
      <w:pPr>
        <w:spacing w:after="0" w:line="139" w:lineRule="exact"/>
        <w:rPr>
          <w:rFonts w:ascii="Arial" w:cs="Arial" w:eastAsia="Arial" w:hAnsi="Arial"/>
          <w:sz w:val="16"/>
          <w:szCs w:val="16"/>
          <w:color w:val="auto"/>
        </w:rPr>
      </w:pPr>
    </w:p>
    <w:p>
      <w:pPr>
        <w:ind w:left="-8" w:right="80" w:firstLine="8"/>
        <w:spacing w:after="0" w:line="306" w:lineRule="auto"/>
        <w:tabs>
          <w:tab w:leader="none" w:pos="82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Breach of Convertible Debentures</w:t>
      </w:r>
      <w:r>
        <w:rPr>
          <w:rFonts w:ascii="Arial" w:cs="Arial" w:eastAsia="Arial" w:hAnsi="Arial"/>
          <w:sz w:val="16"/>
          <w:szCs w:val="16"/>
          <w:color w:val="auto"/>
        </w:rPr>
        <w:t>. Our default under or breach of any of the terms and conditions of the convertible debentures we issued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2002 or the convertible debentures issued in January 2006 or our making any payment in relation thereto which is not permitted under the facility agreement or the institution by the holders of the debentures (or anyone acting on their behalf, including a trustee) of proceedings against us.</w:t>
      </w:r>
    </w:p>
    <w:p>
      <w:pPr>
        <w:spacing w:after="0" w:line="160" w:lineRule="exact"/>
        <w:rPr>
          <w:rFonts w:ascii="Arial" w:cs="Arial" w:eastAsia="Arial" w:hAnsi="Arial"/>
          <w:sz w:val="16"/>
          <w:szCs w:val="16"/>
          <w:color w:val="auto"/>
        </w:rPr>
      </w:pPr>
    </w:p>
    <w:p>
      <w:pPr>
        <w:ind w:left="-8" w:right="20" w:firstLine="8"/>
        <w:spacing w:after="0" w:line="268" w:lineRule="auto"/>
        <w:tabs>
          <w:tab w:leader="none" w:pos="81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Execution, Attachment, Sequestration: </w:t>
      </w:r>
      <w:r>
        <w:rPr>
          <w:rFonts w:ascii="Arial" w:cs="Arial" w:eastAsia="Arial" w:hAnsi="Arial"/>
          <w:sz w:val="18"/>
          <w:szCs w:val="18"/>
          <w:color w:val="auto"/>
        </w:rPr>
        <w:t>We may not permit any execution, attachment, sequestration or other similar process taken against us to subsist</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than 45 days.</w:t>
      </w:r>
    </w:p>
    <w:p>
      <w:pPr>
        <w:sectPr>
          <w:pgSz w:w="11900" w:h="16892" w:orient="portrait"/>
          <w:cols w:equalWidth="0" w:num="1">
            <w:col w:w="11392"/>
          </w:cols>
          <w:pgMar w:left="248" w:top="131" w:right="259" w:bottom="0" w:gutter="0" w:footer="0" w:header="0"/>
        </w:sectPr>
      </w:pPr>
    </w:p>
    <w:bookmarkStart w:id="21" w:name="page22"/>
    <w:bookmarkEnd w:id="21"/>
    <w:p>
      <w:pPr>
        <w:ind w:right="280" w:firstLine="8"/>
        <w:spacing w:after="0" w:line="268" w:lineRule="auto"/>
        <w:tabs>
          <w:tab w:leader="none" w:pos="77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The existence of any litigation or other proceedings involving us, or any event or series of events, which is likely to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on our company.</w:t>
      </w:r>
    </w:p>
    <w:p>
      <w:pPr>
        <w:spacing w:after="0" w:line="185" w:lineRule="exact"/>
        <w:rPr>
          <w:rFonts w:ascii="Arial" w:cs="Arial" w:eastAsia="Arial" w:hAnsi="Arial"/>
          <w:sz w:val="18"/>
          <w:szCs w:val="18"/>
          <w:color w:val="auto"/>
        </w:rPr>
      </w:pPr>
    </w:p>
    <w:p>
      <w:pPr>
        <w:ind w:right="540" w:firstLine="8"/>
        <w:spacing w:after="0" w:line="268" w:lineRule="auto"/>
        <w:tabs>
          <w:tab w:leader="none" w:pos="82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Fab 2 being declared a total loss: </w:t>
      </w:r>
      <w:r>
        <w:rPr>
          <w:rFonts w:ascii="Arial" w:cs="Arial" w:eastAsia="Arial" w:hAnsi="Arial"/>
          <w:sz w:val="18"/>
          <w:szCs w:val="18"/>
          <w:color w:val="auto"/>
        </w:rPr>
        <w:t>Fab 2 or a substantial portion thereof is rendered inoperable or declared by our insurers to be a total loss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constructive total loss.</w:t>
      </w:r>
    </w:p>
    <w:p>
      <w:pPr>
        <w:spacing w:after="0" w:line="185" w:lineRule="exact"/>
        <w:rPr>
          <w:rFonts w:ascii="Arial" w:cs="Arial" w:eastAsia="Arial" w:hAnsi="Arial"/>
          <w:sz w:val="18"/>
          <w:szCs w:val="18"/>
          <w:color w:val="auto"/>
        </w:rPr>
      </w:pPr>
    </w:p>
    <w:p>
      <w:pPr>
        <w:ind w:right="400" w:firstLine="8"/>
        <w:spacing w:after="0" w:line="268" w:lineRule="auto"/>
        <w:tabs>
          <w:tab w:leader="none" w:pos="87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Government action against us</w:t>
      </w:r>
      <w:r>
        <w:rPr>
          <w:rFonts w:ascii="Arial" w:cs="Arial" w:eastAsia="Arial" w:hAnsi="Arial"/>
          <w:sz w:val="18"/>
          <w:szCs w:val="18"/>
          <w:color w:val="auto"/>
        </w:rPr>
        <w:t>: Any nationalization, seizure or expropriation of all or any substantial or material part of our assets,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by any governmental authority.</w:t>
      </w:r>
    </w:p>
    <w:p>
      <w:pPr>
        <w:spacing w:after="0" w:line="185" w:lineRule="exact"/>
        <w:rPr>
          <w:rFonts w:ascii="Arial" w:cs="Arial" w:eastAsia="Arial" w:hAnsi="Arial"/>
          <w:sz w:val="18"/>
          <w:szCs w:val="18"/>
          <w:color w:val="auto"/>
        </w:rPr>
      </w:pPr>
    </w:p>
    <w:p>
      <w:pPr>
        <w:ind w:right="300" w:firstLine="8"/>
        <w:spacing w:after="0" w:line="268" w:lineRule="auto"/>
        <w:tabs>
          <w:tab w:leader="none" w:pos="92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Restrictions on the free exchange of NIS for United States dollars</w:t>
      </w:r>
      <w:r>
        <w:rPr>
          <w:rFonts w:ascii="Arial" w:cs="Arial" w:eastAsia="Arial" w:hAnsi="Arial"/>
          <w:sz w:val="18"/>
          <w:szCs w:val="18"/>
          <w:color w:val="auto"/>
        </w:rPr>
        <w:t>: The imposition of restrictions by an Israeli governmental authority on the free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NIS for United States dollars or United States dollars for NIS.</w:t>
      </w:r>
    </w:p>
    <w:p>
      <w:pPr>
        <w:spacing w:after="0" w:line="185" w:lineRule="exact"/>
        <w:rPr>
          <w:rFonts w:ascii="Arial" w:cs="Arial" w:eastAsia="Arial" w:hAnsi="Arial"/>
          <w:sz w:val="18"/>
          <w:szCs w:val="18"/>
          <w:color w:val="auto"/>
        </w:rPr>
      </w:pPr>
    </w:p>
    <w:p>
      <w:pPr>
        <w:ind w:left="840" w:hanging="832"/>
        <w:spacing w:after="0"/>
        <w:tabs>
          <w:tab w:leader="none" w:pos="84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Claim that we defaulted under certain prepayment contracts: </w:t>
      </w:r>
      <w:r>
        <w:rPr>
          <w:rFonts w:ascii="Arial" w:cs="Arial" w:eastAsia="Arial" w:hAnsi="Arial"/>
          <w:sz w:val="16"/>
          <w:szCs w:val="16"/>
          <w:color w:val="auto"/>
        </w:rPr>
        <w:t>The counter party to certain prepayment contracts makes a claim that we defaulted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9" w:lineRule="exact"/>
        <w:rPr>
          <w:sz w:val="20"/>
          <w:szCs w:val="20"/>
          <w:color w:val="auto"/>
        </w:rPr>
      </w:pPr>
    </w:p>
    <w:p>
      <w:pPr>
        <w:ind w:left="880" w:hanging="872"/>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Additional Restrictions: </w:t>
      </w:r>
      <w:r>
        <w:rPr>
          <w:rFonts w:ascii="Arial" w:cs="Arial" w:eastAsia="Arial" w:hAnsi="Arial"/>
          <w:sz w:val="16"/>
          <w:szCs w:val="16"/>
          <w:color w:val="auto"/>
        </w:rPr>
        <w:t>Without the prior written consent of our banks or as permitted under the facility agreement, we are restricted from:</w:t>
      </w:r>
    </w:p>
    <w:p>
      <w:pPr>
        <w:spacing w:after="0" w:line="24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altering the Fab 2 business plan;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entering into or resolving to approve any merger, reorganization or transfer of any part our business;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amending our articles of association in a manner which is materially adverse to the interests of our banks;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making any payment or transferring our assets to our shareholders or their affiliates;</w:t>
      </w:r>
    </w:p>
    <w:p>
      <w:pPr>
        <w:spacing w:after="0" w:line="252" w:lineRule="exact"/>
        <w:rPr>
          <w:rFonts w:ascii="Arial" w:cs="Arial" w:eastAsia="Arial" w:hAnsi="Arial"/>
          <w:sz w:val="16"/>
          <w:szCs w:val="16"/>
          <w:color w:val="auto"/>
        </w:rPr>
      </w:pPr>
    </w:p>
    <w:p>
      <w:pPr>
        <w:ind w:left="1720" w:right="400" w:hanging="567"/>
        <w:spacing w:after="0" w:line="268" w:lineRule="auto"/>
        <w:rPr>
          <w:rFonts w:ascii="Arial" w:cs="Arial" w:eastAsia="Arial" w:hAnsi="Arial"/>
          <w:sz w:val="16"/>
          <w:szCs w:val="16"/>
          <w:color w:val="auto"/>
        </w:rPr>
      </w:pPr>
      <w:r>
        <w:rPr>
          <w:rFonts w:ascii="Arial" w:cs="Arial" w:eastAsia="Arial" w:hAnsi="Arial"/>
          <w:sz w:val="18"/>
          <w:szCs w:val="18"/>
          <w:color w:val="auto"/>
        </w:rPr>
        <w:t>—disposing of our assets other than in the ordinary course of business or other than to replace such assets with comparable or superior assets;</w:t>
      </w:r>
    </w:p>
    <w:p>
      <w:pPr>
        <w:spacing w:after="0" w:line="212" w:lineRule="exact"/>
        <w:rPr>
          <w:rFonts w:ascii="Arial" w:cs="Arial" w:eastAsia="Arial" w:hAnsi="Arial"/>
          <w:sz w:val="16"/>
          <w:szCs w:val="16"/>
          <w:color w:val="auto"/>
        </w:rPr>
      </w:pPr>
    </w:p>
    <w:p>
      <w:pPr>
        <w:ind w:left="1720" w:right="60" w:hanging="567"/>
        <w:spacing w:after="0" w:line="256" w:lineRule="auto"/>
        <w:rPr>
          <w:rFonts w:ascii="Arial" w:cs="Arial" w:eastAsia="Arial" w:hAnsi="Arial"/>
          <w:sz w:val="16"/>
          <w:szCs w:val="16"/>
          <w:color w:val="auto"/>
        </w:rPr>
      </w:pPr>
      <w:r>
        <w:rPr>
          <w:rFonts w:ascii="Arial" w:cs="Arial" w:eastAsia="Arial" w:hAnsi="Arial"/>
          <w:sz w:val="18"/>
          <w:szCs w:val="18"/>
          <w:color w:val="auto"/>
        </w:rPr>
        <w:t>—selling, transferring or licensing on an exclusive basis any of our intellectual property assets which are material to the Fab 2 project or over which the banks have received a fixed security interest; however, we may enter into exclusive license arrangements on arms’ length bases which are in the ordinary course of business, provided that such arrangements do not adversely affect the interests of the banks or the conduct of the Fab 2 project;</w:t>
      </w:r>
    </w:p>
    <w:p>
      <w:pPr>
        <w:spacing w:after="0" w:line="224"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incurring any capital expenditures other than for the Fab 2 project or for Fab 1;</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delegating the management of the Fab 2 project to any other person;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abandoning all or any part of the Fab 2 project; and</w:t>
      </w:r>
    </w:p>
    <w:p>
      <w:pPr>
        <w:spacing w:after="0" w:line="252" w:lineRule="exact"/>
        <w:rPr>
          <w:sz w:val="20"/>
          <w:szCs w:val="20"/>
          <w:color w:val="auto"/>
        </w:rPr>
      </w:pPr>
    </w:p>
    <w:p>
      <w:pPr>
        <w:ind w:left="1720" w:hanging="567"/>
        <w:spacing w:after="0" w:line="268" w:lineRule="auto"/>
        <w:rPr>
          <w:sz w:val="20"/>
          <w:szCs w:val="20"/>
          <w:color w:val="auto"/>
        </w:rPr>
      </w:pPr>
      <w:r>
        <w:rPr>
          <w:rFonts w:ascii="Arial" w:cs="Arial" w:eastAsia="Arial" w:hAnsi="Arial"/>
          <w:sz w:val="18"/>
          <w:szCs w:val="18"/>
          <w:color w:val="auto"/>
        </w:rPr>
        <w:t>—maintaining any bank accounts other than the accounts with our banks and all payments related to the Fab 2 project shall be made from or to those accounts.</w:t>
      </w:r>
    </w:p>
    <w:p>
      <w:pPr>
        <w:spacing w:after="0" w:line="200" w:lineRule="exact"/>
        <w:rPr>
          <w:sz w:val="20"/>
          <w:szCs w:val="20"/>
          <w:color w:val="auto"/>
        </w:rPr>
      </w:pPr>
    </w:p>
    <w:p>
      <w:pPr>
        <w:spacing w:after="0" w:line="229" w:lineRule="exact"/>
        <w:rPr>
          <w:sz w:val="20"/>
          <w:szCs w:val="20"/>
          <w:color w:val="auto"/>
        </w:rPr>
      </w:pPr>
    </w:p>
    <w:p>
      <w:pPr>
        <w:jc w:val="both"/>
        <w:ind w:right="200" w:firstLine="348"/>
        <w:spacing w:after="0" w:line="298" w:lineRule="auto"/>
        <w:rPr>
          <w:sz w:val="20"/>
          <w:szCs w:val="20"/>
          <w:color w:val="auto"/>
        </w:rPr>
      </w:pPr>
      <w:r>
        <w:rPr>
          <w:rFonts w:ascii="Arial" w:cs="Arial" w:eastAsia="Arial" w:hAnsi="Arial"/>
          <w:sz w:val="16"/>
          <w:szCs w:val="16"/>
          <w:color w:val="auto"/>
        </w:rPr>
        <w:t>We must notify the banks of any event of default of which we are aware and report on the steps, if any, being taken by us to remedy such event of default. With respect to the majority of the aforementioned events of default, the facility agreement provides that if such event of default is capable of remedy, or if our failure to comply with other obligations under the facility agreement is capable of remedy, then such events will not entitle our banks to exercise their remedies under the facility agreement if we cure such breach within the period or time set forth in the facility agreement (generally 7 or 14 days).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 Under the Debentures Due 2012</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Event of Default under the debentures is:</w:t>
      </w:r>
    </w:p>
    <w:p>
      <w:pPr>
        <w:spacing w:after="0" w:line="225" w:lineRule="exact"/>
        <w:rPr>
          <w:sz w:val="20"/>
          <w:szCs w:val="20"/>
          <w:color w:val="auto"/>
        </w:rPr>
      </w:pPr>
    </w:p>
    <w:p>
      <w:pPr>
        <w:ind w:left="1720" w:right="140" w:hanging="567"/>
        <w:spacing w:after="0" w:line="255" w:lineRule="auto"/>
        <w:rPr>
          <w:sz w:val="20"/>
          <w:szCs w:val="20"/>
          <w:color w:val="auto"/>
        </w:rPr>
      </w:pPr>
      <w:r>
        <w:rPr>
          <w:rFonts w:ascii="Arial" w:cs="Arial" w:eastAsia="Arial" w:hAnsi="Arial"/>
          <w:sz w:val="18"/>
          <w:szCs w:val="18"/>
          <w:color w:val="auto"/>
        </w:rPr>
        <w:t>—Any corporate action taken by us or other steps taken or proceedings started or consented to or any order made for our winding up, administration or re-organization (or for the suspension of payments generally or any process giving protection against creditors), or for the appointment of a liquidator, receiver, administrator, administrative receiver or similar officer for all or any part of our revenues or assets or such a person is appointed, which action, steps, proceedings or order are not cancelled or withdrawn within 60 days of the occurrence or the institution thereof.</w:t>
      </w:r>
    </w:p>
    <w:p>
      <w:pPr>
        <w:spacing w:after="0" w:line="223" w:lineRule="exact"/>
        <w:rPr>
          <w:sz w:val="20"/>
          <w:szCs w:val="20"/>
          <w:color w:val="auto"/>
        </w:rPr>
      </w:pPr>
    </w:p>
    <w:p>
      <w:pPr>
        <w:ind w:left="172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Our failure to pay an amount of principal or interest in respect of the debentures within 14 Business Days (as defined below) of the date we are required to make the payment under the debentures as such date may be postponed in accordance with the terms of the debentures.</w:t>
      </w:r>
    </w:p>
    <w:p>
      <w:pPr>
        <w:spacing w:after="0" w:line="360"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accordance with the terms of the facility agreement, the indenture provides that no action may be taken by the debenture holders and/or the Co-Trustees with respect to an Event of Default under the debentures unless we have not remedied such Event of Default within 39 days after the later of (i) the date of our receipt of a demand to cure such default, and (ii) the date of the receipt by our banks of the copy of a demand to cure such default, which must be sent to our banks that are or become a party to the facility agreement on the same day as we receive service.</w:t>
      </w:r>
    </w:p>
    <w:p>
      <w:pPr>
        <w:spacing w:after="0" w:line="167"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“Business Day” is a day on which the banks that are or become a party to the facility agreement are open for trading in Israel in US dollars and banks generally are open for trading in US dollars in London and New York.</w:t>
      </w:r>
    </w:p>
    <w:p>
      <w:pPr>
        <w:sectPr>
          <w:pgSz w:w="11900" w:h="16838" w:orient="portrait"/>
          <w:cols w:equalWidth="0" w:num="1">
            <w:col w:w="11400"/>
          </w:cols>
          <w:pgMar w:left="240" w:top="131" w:right="259" w:bottom="0" w:gutter="0" w:footer="0" w:header="0"/>
        </w:sectPr>
      </w:pPr>
    </w:p>
    <w:bookmarkStart w:id="22" w:name="page23"/>
    <w:bookmarkEnd w:id="22"/>
    <w:p>
      <w:pPr>
        <w:ind w:right="20" w:firstLine="351"/>
        <w:spacing w:after="0" w:line="318" w:lineRule="auto"/>
        <w:rPr>
          <w:sz w:val="20"/>
          <w:szCs w:val="20"/>
          <w:color w:val="auto"/>
        </w:rPr>
      </w:pPr>
      <w:r>
        <w:rPr>
          <w:rFonts w:ascii="Arial" w:cs="Arial" w:eastAsia="Arial" w:hAnsi="Arial"/>
          <w:sz w:val="15"/>
          <w:szCs w:val="15"/>
          <w:color w:val="auto"/>
        </w:rPr>
        <w:t>Holders of the debentures and the Co-Trustees on their behalf may not enforce the indenture or the debentures except as provided in the indenture. Subject to certain limitations, the holders of a majority of the aggregate principal amount of the debentures may direct the Co-Trustees in their exercise of any trust or power under the indenture. In addition to other documents that we are required to deliver to the Co-trustees under the Securities Law, we undertook in the indenture to provide the Co-Trustees (i) annually a statement regarding compliance with the indenture, and (ii) upon becoming aware of any default or Event of Default under the indenture, with a statement specifying such default and further stating what action we have taken, are taking or propose to take with respect to such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Indenture; Supplemental Indentures; Waiver of Defaults</w:t>
      </w:r>
    </w:p>
    <w:p>
      <w:pPr>
        <w:spacing w:after="0" w:line="31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certain exceptions, the indenture or the debentures may be amended or supplemented at a duly convened meeting of the debenture holders with the approval of (a) the holders of a majority of the aggregate principal amount of the debentures and (b) at least 75% of the debenture holders participating in such meeting. Subject to certain exceptions, an Event of Default under the indenture may be waived, by a duly convened meeting of the debenture holders, if (a) the holders of a majority of the aggregate principal amount of the debentures, and (b) at least 75% of the debenture holders participating in such meeting vote in favor of such waiver. We may not amend or modify any term, covenant or provisions of the Indenture which under the provisions of the Trust Indenture Act cannot be modified or amended without the consent of the holders of each or all debentures then outstanding or affected thereby, without the consent of the holder of each debenture so affected. We may not amend the conversion price, the manner in which the conversion rate may be adjusted, the number of shares issuable upon conversion of the debentures or the maturity date of the debentures, except as disclosed in this prospectus or by way of an arrangement pursuant to Section 350 and following of the Israeli Companies Law – 1999 or in the context of a statutory merger under the Companies Law.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 prior to January 1, 2008, and before any such distribution, we must have placed on deposit with our banks in an amount equal to the debt service for the quarter in which the distribution is to be made and charged such deposit in favor of our banks, and we must have complied with financial ratios and covenants. In addition, we may only declare and pay a dividend provided that:</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credit facility agreement;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sz w:val="20"/>
          <w:szCs w:val="20"/>
          <w:color w:val="auto"/>
        </w:rPr>
      </w:pPr>
    </w:p>
    <w:p>
      <w:pPr>
        <w:spacing w:after="0" w:line="26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312"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following is a summary of the certain tax consequences in Israel and the United States to individual and corporate residents of Israel and the United States resulting from the sale of debentures that are convertible into our ordinary shares or of ordinary shares issued by us. Since our bank credit facility prohibits the payment of dividends on our ordinary shares, this summary does not discuss the tax consequences in Israel or the United States that would result from the payment of dividends. To the extent that the discussion is based on tax legislation that has not been subject to judicial or administrative interpretation, we cannot assure you that the tax authorities will accept the views expressed in this summary. This summary is not intended, and should not be construed, as legal or professional tax advice and is not exhaustive of all possible tax consequences that may be relevant to each person’s decision to exercise or sell the rights we are distributing, the convertible debentures to be issued once the rights are exercised, or the sale of our ordinary shares issued upon the conversion of the convertible debentures.</w:t>
      </w:r>
    </w:p>
    <w:p>
      <w:pPr>
        <w:spacing w:after="0" w:line="172" w:lineRule="exact"/>
        <w:rPr>
          <w:sz w:val="20"/>
          <w:szCs w:val="20"/>
          <w:color w:val="auto"/>
        </w:rPr>
      </w:pPr>
    </w:p>
    <w:p>
      <w:pPr>
        <w:ind w:right="840" w:firstLine="351"/>
        <w:spacing w:after="0" w:line="332" w:lineRule="auto"/>
        <w:rPr>
          <w:sz w:val="20"/>
          <w:szCs w:val="20"/>
          <w:color w:val="auto"/>
        </w:rPr>
      </w:pPr>
      <w:r>
        <w:rPr>
          <w:rFonts w:ascii="Arial" w:cs="Arial" w:eastAsia="Arial" w:hAnsi="Arial"/>
          <w:sz w:val="16"/>
          <w:szCs w:val="16"/>
          <w:color w:val="auto"/>
        </w:rPr>
        <w:t>Prospective purchasers of our ordinary shares and other securities should consult their own tax advisors as to the United States, Israel or other tax consequences of the purchase, ownership and disposition of our securities, including, in particular, the effect of any foreign, state or local taxes.</w:t>
      </w:r>
    </w:p>
    <w:p>
      <w:pPr>
        <w:spacing w:after="0" w:line="139"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In August 2005, the Israeli parliament approved an amendment to the Israeli tax regime, which became effective on January 1, 2006 (“the 2006 Tax Reform”). The 2006 Tax Reform significantly changed the tax rates applicable to income derived from our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31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Israeli law imposes a capital gains tax on the sale of capital assets, including securities and debentures. In general, the conversion of the debentures into ordinary shares will not be subject to Israeli tax.</w:t>
      </w:r>
    </w:p>
    <w:p>
      <w:pPr>
        <w:spacing w:after="0" w:line="186" w:lineRule="exact"/>
        <w:rPr>
          <w:sz w:val="20"/>
          <w:szCs w:val="20"/>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Israeli Capital Gains Tax</w:t>
      </w:r>
    </w:p>
    <w:p>
      <w:pPr>
        <w:spacing w:after="0" w:line="200" w:lineRule="exact"/>
        <w:rPr>
          <w:sz w:val="20"/>
          <w:szCs w:val="20"/>
          <w:color w:val="auto"/>
        </w:rPr>
      </w:pPr>
    </w:p>
    <w:p>
      <w:pPr>
        <w:spacing w:after="0" w:line="268"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According to the 2006 Tax Reform, an individual will be subject to a 20% tax on real capital gains on the sale of securities, including debentures, warrants and shares, so long the individual is not a controlling shareholder (generally a shareholder with 10% or more in the right to profits, right to nominate a director and voting rights) in the company issuing the securities. This implies an increase in the tax rate on the gains from publicly traded securities from 15%, which was applicable to sales before January 1, 2006, to 20%.</w:t>
      </w:r>
    </w:p>
    <w:p>
      <w:pPr>
        <w:sectPr>
          <w:pgSz w:w="11900" w:h="16838" w:orient="portrait"/>
          <w:cols w:equalWidth="0" w:num="1">
            <w:col w:w="11420"/>
          </w:cols>
          <w:pgMar w:left="240" w:top="131" w:right="239" w:bottom="333"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333" w:gutter="0" w:footer="0" w:header="0"/>
          <w:type w:val="continuous"/>
        </w:sectPr>
      </w:pPr>
    </w:p>
    <w:bookmarkStart w:id="23" w:name="page24"/>
    <w:bookmarkEnd w:id="23"/>
    <w:p>
      <w:pPr>
        <w:spacing w:after="0" w:line="47"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 controlling shareholder will be subject to tax at a rate of 25% in respect of real capital gains derived from the sale of securities issued by the controlled company. The determination of whether the individual is a controlling shareholder will be made on the date the securities are sold. Nevertheless, the individual will be viewed as a controlling shareholder even if at any time during the 12 months preceding this date he had been a controlling shareholder.</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Corporations will be subject to corporate tax rates in respect of total income, including capital gains, with the corporate tax rate reduced gradually from 31% in 2006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(“Dollar Regulations”) will generally be taxed at a rate of 25% on their capital gains from the sale of their securities.</w:t>
      </w:r>
    </w:p>
    <w:p>
      <w:pPr>
        <w:spacing w:after="0" w:line="170"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Non-residents of Israel will be exempt from any capital gains tax from the sale of our securities, so long as the gains are not derived through a permanent establishment that the non-resident maintains in Israel. A non-resident corporation will generally not enjoy this exemption if Israeli residents are: (1) its controlling shareholders, as defined for the purpose of section 68 of the Israeli Income Tax Ordinance, or (2) directly or indirectly eligible to receive or are beneficial owners of 25% or more of the income or the profits of the non-resident corporation.</w:t>
      </w:r>
    </w:p>
    <w:p>
      <w:pPr>
        <w:spacing w:after="0" w:line="16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any event, under the US-Israel Tax Treaty, a person who qualifies as a resident of the United States within the meaning of the Tax Treaty and who is entitled to claim benefits under the Treaty, will in general not be taxable in Israel on capital gains from the sale of securities, unless that US treaty resident is both selling shares and holds 10% or more of the voting power in our company (subject to the provisions of Israeli domestic law as described above).</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computing a capital gain derived from the sale of our shares originating from a converted debenture, the “purchase date” and “balance of its original cost” will be deemed as the convertible debenture purchase date and cost (plus any additional related costs), respectively.</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These provisions dealing with capital gains are not applicable to an Israeli resident whose gains from selling or otherwise disposing of our securities are deemed to be business income.</w:t>
      </w:r>
    </w:p>
    <w:p>
      <w:pPr>
        <w:spacing w:after="0" w:line="186" w:lineRule="exact"/>
        <w:rPr>
          <w:sz w:val="20"/>
          <w:szCs w:val="20"/>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on Income Paid on our Debentures</w:t>
      </w:r>
    </w:p>
    <w:p>
      <w:pPr>
        <w:spacing w:after="0" w:line="200" w:lineRule="exact"/>
        <w:rPr>
          <w:sz w:val="20"/>
          <w:szCs w:val="20"/>
          <w:color w:val="auto"/>
        </w:rPr>
      </w:pPr>
    </w:p>
    <w:p>
      <w:pPr>
        <w:spacing w:after="0" w:line="26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Interest and Original Issuance Discount (OID) on our convertible debentures purchased after January 1, 2006, will, in general, be subject to Israeli tax of up to 20% if received by an individual who is not a “controlling shareholder” in the company from which the income is derived. Interest received by an individual from a company of which he is a controlling shareholder will be taxed based on the recipient’s marginal tax rates which will be reduced gradually from the current 49% rate to 44% in 2010. The 2006 Tax Reform does not specify the date in which a controlling shareholder should be determined as such if that controlling shareholder receives interest.</w:t>
      </w:r>
    </w:p>
    <w:p>
      <w:pPr>
        <w:spacing w:after="0" w:line="197"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Despite the above, interest income in the hands of an individual will be taxed based on his marginal tax rate in the following instances: (i) the individual claimed interest expenses against this income; (ii) the interest income is business income in his hands or it is such that requires inclusion in the books; and (iii) special relations exist between the payer of the interest and its recipient (for example: that of supplier/customer/employee).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Corporations will be subject to corporate tax rates in respect of total income, including interest income.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Withholding tax at source from debenture interest and OID paid to resident individuals will, in general, be at a rate of 20%, however the payment of interest to an individual who is a controlling shareholder, an employee, contractor or supplier of the company will be subject to withholding tax at the individual’s maximum marginal tax rate according to section 121 of the Israeli Income Tax Ordinance (which will decline from 49% in 2006 to 44% in 2010). Interest paid to holders of convertible debentures which are corporations will be subject to withholding tax at the current corporate tax rate (which will decline from 31% in 2006 to 25% in 2010). Withholding tax at source from debenture interest and OID paid to non-resident individuals or corporations will be at a rate of 25% or less, subject to any relevant tax treaty relating to their domicile country.</w:t>
      </w:r>
    </w:p>
    <w:p>
      <w:pPr>
        <w:spacing w:after="0" w:line="174"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In any event, under the US-Israel Tax Treaty, the maximum Israeli tax withheld on interest and OID paid on our convertible debentures to a US treaty resident (other than a US bank, savings institution or company) is 17.5%.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Interest accrued upon redemption of the debentures will be deemed as part of the proceeds from the redemption and not as interest income, if the redemption resulted in a capital loss and it is not in the hands of a controlling shareholder or a holder of the debentures from allotment date and on – up to the ceiling of the capital loss.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United States Tax Considerations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Subject to the limitations described in the next paragraph, the following describes the United States federal income tax consequences resulting from the purchase, ownership, conversion or disposition of debentures and the ownership or disposition of ordinary shares by a “U.S. Holder.” For purposes of this discussion, a U.S. Holder means any U.S. person who acquires debentures or ordinary shares issued upon the conversion of such debentures from a prior holder. For purposes of our discussion, a U.S. person is: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citizen or resident of the United States;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corporation created or organized in the United States or under the laws of the United States or any State;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estate, the income of which is includable in gross income for U.S. federal income tax purposes regardless of its source; or</w:t>
      </w:r>
    </w:p>
    <w:p>
      <w:pPr>
        <w:spacing w:after="0" w:line="9" w:lineRule="exact"/>
        <w:rPr>
          <w:sz w:val="20"/>
          <w:szCs w:val="20"/>
          <w:color w:val="auto"/>
        </w:rPr>
      </w:pPr>
    </w:p>
    <w:p>
      <w:pPr>
        <w:ind w:left="1160" w:hanging="567"/>
        <w:spacing w:after="0" w:line="255" w:lineRule="auto"/>
        <w:rPr>
          <w:sz w:val="20"/>
          <w:szCs w:val="20"/>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the authority to control all substantial decisions of the trust or if the trust has validly elected to be treated as a U.S. person under applicable Treasury regulations.</w:t>
      </w:r>
    </w:p>
    <w:p>
      <w:pPr>
        <w:spacing w:after="0" w:line="200" w:lineRule="exact"/>
        <w:rPr>
          <w:sz w:val="20"/>
          <w:szCs w:val="20"/>
          <w:color w:val="auto"/>
        </w:rPr>
      </w:pPr>
    </w:p>
    <w:p>
      <w:pPr>
        <w:spacing w:after="0" w:line="241"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The discussion is based on current provisions of the Internal Revenue Code of 1986, or the Code, as amended, current and proposed Treasury regulations promulgated thereunder, and administrative and judicial decisions as of the date hereof, all of which are subject to change, possibly on a retroactive basis. This discussion is not a representation of, nor does it address, all aspects of United States federal income taxation that may be relevant to any particular U.S. Holder based on such U.S. Holder’s individual circumstances. In particular, this discussion considers only U.S. Holders that will own the debentures, or ordinary shares</w:t>
      </w:r>
    </w:p>
    <w:p>
      <w:pPr>
        <w:sectPr>
          <w:pgSz w:w="11900" w:h="16886" w:orient="portrait"/>
          <w:cols w:equalWidth="0" w:num="1">
            <w:col w:w="11400"/>
          </w:cols>
          <w:pgMar w:left="240" w:top="131" w:right="259" w:bottom="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as capital assets at all relevant times and does not address the potential application of the alternative minimum tax or U.S. federal income tax consequences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Holders that are subject to special treatment, including U.S. Holders that:</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are broker-dealers or insurance companies;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elected mark-to-market accounting;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are financial institutions or financial services entities;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hold rights, debentures, or ordinary shares as part of a straddle, hedge or conversion transaction with other investments;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own directly, indirectly or by attribution at least 10% of our voting power; or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a functional currency that is not the U.S. dollar.</w:t>
      </w:r>
    </w:p>
    <w:p>
      <w:pPr>
        <w:spacing w:after="0" w:line="200" w:lineRule="exact"/>
        <w:rPr>
          <w:sz w:val="20"/>
          <w:szCs w:val="20"/>
          <w:color w:val="auto"/>
        </w:rPr>
      </w:pPr>
    </w:p>
    <w:p>
      <w:pPr>
        <w:spacing w:after="0" w:line="262"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Additionally, the discussion does not consider the tax treatment of persons who hold debentures or ordinary shares through a partnership or other pass-through entity or the possible application of U.S. federal gift or estate tax.</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this discussion does not address any aspect of state, local or non-U.S. tax laws.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Debt Characterization of the Debentures</w:t>
      </w:r>
    </w:p>
    <w:p>
      <w:pPr>
        <w:spacing w:after="0" w:line="231"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Certain characteristics of the debentures raise an issue of whether such debentures should be treated as debt or equity for U.S. income tax purposes. Such characteristics include subordination, the absence of interest payments prior to maturity, provisions for optional conversion into our ordinary shares, and the absence, in certain circumstances, of a fixed maturity date. Tower intend to take the position that the debentures are characterized as debt for U.S. income tax purposes, but this conclusion is not free of doubt. Due to the fact-intensive nature of the issue, and in particular to the characteristics described in the second preceding sentence, it is unclear whether the debentures should be characterized as debt for U.S. income tax purposes.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40" w:firstLine="351"/>
        <w:spacing w:after="0" w:line="306" w:lineRule="auto"/>
        <w:rPr>
          <w:sz w:val="20"/>
          <w:szCs w:val="20"/>
          <w:color w:val="auto"/>
        </w:rPr>
      </w:pPr>
      <w:r>
        <w:rPr>
          <w:rFonts w:ascii="Arial" w:cs="Arial" w:eastAsia="Arial" w:hAnsi="Arial"/>
          <w:sz w:val="16"/>
          <w:szCs w:val="16"/>
          <w:color w:val="auto"/>
        </w:rPr>
        <w:t>In any case, if the debentures were determined to be characterized as equity for U.S. tax purposes, the U.S. income tax consequences to U.S. Holders generally should not be materially less favorable than those described herein. The consequences of the debentures being characterized as equity for U.S. tax purposes are addressed in greater detail below under the subheading “Tax Consequences if the Debentures Are Characterized as Equity.”</w:t>
      </w:r>
    </w:p>
    <w:p>
      <w:pPr>
        <w:spacing w:after="0" w:line="16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discussion below, other than under the subheading “Tax Consequences if the Debentures Are Characterized as Equity” assumes that the debentures are characterized as debt for U.S. income tax purposes.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Conversion of Debentures</w:t>
      </w:r>
    </w:p>
    <w:p>
      <w:pPr>
        <w:spacing w:after="0" w:line="231"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 U.S. Holder will not recognize gain or loss upon the conversion of the debentures (except with respect to any cash received in lieu of a fractional share). A U.S. Holder’s basis in the ordinary shares received upon conversion will equal the U.S. Holder’s basis in such debentures. A U.S. Holder’s holding period for the ordinary shares received upon exercise of a debenture should include the U.S. Holder’s holding period for the debenture.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Disposition of Debentures, or Ordinary Shares Issued Upon the Conversion of Debentures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discussion is qualified by the discussions below under the subheading “Tax Consequences if We Are a Passive Foreign Investment Company.”</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Upon the sale, exchange or other disposition of debentures or ordinary shares issued upon the conversion of debentures, a U.S. Holder generally will recognize capital gain or loss in an amount equal to the difference between the amount realized and such U.S. Holder’s basis in the debentures or ordinary shares. In the case of a U.S. Holder who purchases a debenture at a market discount, however, any gain attributable to accrued market discount will be treated as ordinary income. See the discussion below under the subheading “Original Issue Discount, Acquisition Premium and Market Discount.”</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Capital gain from the sale, exchange or other disposition of debentures or ordinary shares for which the U.S. Holder has a holding period of more than one year will be long-term capital gain. In the case of a U.S. Holder that is an individual, estate or trust, long-term capital gains generally are eligible for taxation at reduced rates. For taxable years beginning before 2009, the maximum federal income tax rate for long-term capital gains earned by a noncorporate U.S. Holder is 15%. The deductibility of capital losses is subject to limitations.</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Gains and losses recognized by a U.S. Holder on a sale, exchange or other disposition debentures, or ordinary shares generally will have a U.S. source for foreign tax credit purposes.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Original Issue Discount, Acquisition Premium and Market Discount</w:t>
      </w:r>
    </w:p>
    <w:p>
      <w:pPr>
        <w:spacing w:after="0" w:line="231"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U.S. Holder of debentures will accrue original issue discount (“OID”), and include such OID in income on a current basis, regardless of the U.S. Holder’s regular method of accounting. The amount of OID accrued for each accrual period generally is determined by multiplying the debenture’s yield-to-maturity (adjusted for the length of the accrual period) by its adjusted issue price at the beginning of the accrual period. The amount of OID so determined will then be allocated on a ratable basis to each day in the accrual period on which the U.S. Holder holds the debenture. A U.S. Holder’s adjusted tax basis in the debenture will be increased by the amount of any OID included in income with respect thereto and decreased by any payments received thereon. The adjusted issue price of a debenture at the beginning of any accrual period is equal to the issue price of the debenture increased by the amount of OID accrued, and reduced by any interest paid, during all prior accrual periods.</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Special rules will apply to a U.S. Holder who purchases a debenture for an amount other than its adjusted issue price. If the purchase price paid by the U.S. Holder exceeds the adjusted issue price of the debenture, the debenture is considered to have “acquisition premium,” and the amount of OID otherwise allocable to an accrual period is reduced by a portion of such acquisition premium. If the purchase price paid by the U.S. Holder is less than the adjusted issue price of the debenture, the debenture is considered to have “market discount.” Any gain recognized by a U.S. Holder upon the disposition of a debenture purchased at a market discount will be treated as ordinary income to the extent of the market discount accrued through the date of the disposition. Market discount generally accrues ratably, </w:t>
      </w:r>
      <w:r>
        <w:rPr>
          <w:rFonts w:ascii="Arial" w:cs="Arial" w:eastAsia="Arial" w:hAnsi="Arial"/>
          <w:sz w:val="16"/>
          <w:szCs w:val="16"/>
          <w:i w:val="1"/>
          <w:iCs w:val="1"/>
          <w:color w:val="auto"/>
        </w:rPr>
        <w:t>i.e.</w:t>
      </w:r>
      <w:r>
        <w:rPr>
          <w:rFonts w:ascii="Arial" w:cs="Arial" w:eastAsia="Arial" w:hAnsi="Arial"/>
          <w:sz w:val="16"/>
          <w:szCs w:val="16"/>
          <w:color w:val="auto"/>
        </w:rPr>
        <w:t>, with the same amount of discount allocable to each day during the holding period of the U.S. Holder. Alternatively, a U.S. Holder may elect to accrue market discount on the basis of a constant interest rate. Under this alternative method, market discount accrues under rules similar to the rules described above governing the accrual of OID. This election is irrevocable once made with respect to a debenture.</w:t>
      </w:r>
    </w:p>
    <w:p>
      <w:pPr>
        <w:sectPr>
          <w:pgSz w:w="11900" w:h="16838" w:orient="portrait"/>
          <w:cols w:equalWidth="0" w:num="1">
            <w:col w:w="11400"/>
          </w:cols>
          <w:pgMar w:left="240" w:top="131" w:right="259" w:bottom="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Constructive Dividends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noted above, the conversion price of the debentures is subject to adjustment under certain circumstances. Under Section 305 of the Code and applicable Treasury regulations, an adjustment to the conversion price, or a failure to adjust the conversion price, may in certain circumstances result in a constructive distribution to a U.S. Holder if, and to the extent that, such adjustment to the conversion price, or failure to adjust the conversion price, increases the proportionate interest of a U.S. Holder in our earnings and profits or assets, whether or not such U.S. Holder ever converts his, her or its debentures into ordinary shares. Any such constructive distribution would be taxable to the U.S. Holder as a dividend to the extent of our current or accumulated earnings and profits, as determined under U.S. federal income tax principles, with any excess treated as a tax-free return of capital up to such U.S. Holder’s tax basis in his, her or its debentures, and then as capital gain.</w:t>
      </w:r>
    </w:p>
    <w:p>
      <w:pPr>
        <w:spacing w:after="0" w:line="20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Dividends generally are taxed as ordinary income. In the case of a noncorporate U.S. Holder, certain “qualified dividends” are taxable at the same reduced rates as are applicable to long-term capital gains for taxable years beginning before 2009. It is not clear whether a constructive dividend with respect to our ordinary shares would be treated as a qualified dividend eligible for such reduced rate. In addition, the reduced rate will not apply if we are treated as a passive foreign investment company in the year that a dividend (or constructive dividend) is paid or in the prior year. See the discussion below under the heading “Tax Consequences if We Are a Passive Foreign Investment Company.”</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Tax Consequences if We Are a Passive Foreign Investment Company</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quarterly over the year and ordinarily determined based on fair market value and including the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offerings. If we are a PFIC, and a U.S. Holder does not make an election to treat us as a qualified electing fund (as described below) or a mark to market election (as described below):</w:t>
      </w:r>
    </w:p>
    <w:p>
      <w:pPr>
        <w:spacing w:after="0" w:line="172" w:lineRule="exact"/>
        <w:rPr>
          <w:sz w:val="20"/>
          <w:szCs w:val="20"/>
          <w:color w:val="auto"/>
        </w:rPr>
      </w:pPr>
    </w:p>
    <w:p>
      <w:pPr>
        <w:ind w:left="1160" w:right="100" w:hanging="5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Excess distributions by us to a U.S. Holder will be taxed in a special way. Excess distributions are amounts received by a U.S. Holder with respect to our stock in any taxable year that exceed 125% of the average distributions received by such U.S. Holder from us in the shorter of either the three previous years or such U.S. Holder’s holding period for ordinary shares before the present taxable year. This amount may exceed our current or accumulated earnings and profits. Excess distributions must be allocated ratably to each day that a U.S. Holder has held our stock. A U.S. Holder must include amounts allocated to the current taxable year (or to any year prior to the first year in which we were a PFIC) in its gross 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underpayments of income tax.</w:t>
      </w:r>
    </w:p>
    <w:p>
      <w:pPr>
        <w:spacing w:after="0" w:line="5" w:lineRule="exact"/>
        <w:rPr>
          <w:sz w:val="20"/>
          <w:szCs w:val="20"/>
          <w:color w:val="auto"/>
        </w:rPr>
      </w:pPr>
    </w:p>
    <w:p>
      <w:pPr>
        <w:ind w:left="1160" w:right="640" w:hanging="567"/>
        <w:spacing w:after="0" w:line="250" w:lineRule="auto"/>
        <w:rPr>
          <w:sz w:val="20"/>
          <w:szCs w:val="20"/>
          <w:color w:val="auto"/>
        </w:rPr>
      </w:pPr>
      <w:r>
        <w:rPr>
          <w:rFonts w:ascii="Arial" w:cs="Arial" w:eastAsia="Arial" w:hAnsi="Arial"/>
          <w:sz w:val="18"/>
          <w:szCs w:val="18"/>
          <w:color w:val="auto"/>
        </w:rPr>
        <w:t>—The entire amount of gain realized by a U.S. Holder upon the sale or other disposition of ordinary shares will also be treated as an excess distribution and will be subject to tax as described above.</w:t>
      </w:r>
    </w:p>
    <w:p>
      <w:pPr>
        <w:ind w:left="1160" w:right="240" w:hanging="567"/>
        <w:spacing w:after="0" w:line="250" w:lineRule="auto"/>
        <w:rPr>
          <w:sz w:val="20"/>
          <w:szCs w:val="20"/>
          <w:color w:val="auto"/>
        </w:rPr>
      </w:pPr>
      <w:r>
        <w:rPr>
          <w:rFonts w:ascii="Arial" w:cs="Arial" w:eastAsia="Arial" w:hAnsi="Arial"/>
          <w:sz w:val="18"/>
          <w:szCs w:val="18"/>
          <w:color w:val="auto"/>
        </w:rPr>
        <w:t>—A subsequent holder’s tax basis in shares of our stock that are acquired from a decedent will not receive a step-up to fair market value as of the date of the decedent’s death but would instead be equal to the decedent’s basis, if lower.</w:t>
      </w:r>
    </w:p>
    <w:p>
      <w:pPr>
        <w:ind w:left="1160" w:right="200" w:hanging="567"/>
        <w:spacing w:after="0" w:line="254" w:lineRule="auto"/>
        <w:rPr>
          <w:sz w:val="20"/>
          <w:szCs w:val="20"/>
          <w:color w:val="auto"/>
        </w:rPr>
      </w:pPr>
      <w:r>
        <w:rPr>
          <w:rFonts w:ascii="Arial" w:cs="Arial" w:eastAsia="Arial" w:hAnsi="Arial"/>
          <w:sz w:val="18"/>
          <w:szCs w:val="18"/>
          <w:color w:val="auto"/>
        </w:rPr>
        <w:t>—If we are a PFIC, and any foreign subsidiary or other foreign company in which we own shares is also a PFIC, then a U.S. Holder of our shares will also be treated as owning shares of that lower-tier PFIC. For purposes of the above-described rules relating to dispositions of PFIC shares, certain proposed Treasury regulations generally would treat any transaction that reduces a U.S. Holder’s proportionate interest in a lower-tier PFIC as a disposition of shares of such lower-tier PFIC.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60" w:hanging="567"/>
        <w:spacing w:after="0" w:line="268" w:lineRule="auto"/>
        <w:rPr>
          <w:sz w:val="20"/>
          <w:szCs w:val="20"/>
          <w:color w:val="auto"/>
        </w:rPr>
      </w:pPr>
      <w:r>
        <w:rPr>
          <w:rFonts w:ascii="Arial" w:cs="Arial" w:eastAsia="Arial" w:hAnsi="Arial"/>
          <w:sz w:val="18"/>
          <w:szCs w:val="18"/>
          <w:color w:val="auto"/>
        </w:rPr>
        <w:t>—Under proposed Treasury regulations, a U.S. Holder of a convertible debenture would be treated as owning ordinary shares for purposes of the PFIC rules above.</w:t>
      </w:r>
    </w:p>
    <w:p>
      <w:pPr>
        <w:spacing w:after="0" w:line="200" w:lineRule="exact"/>
        <w:rPr>
          <w:sz w:val="20"/>
          <w:szCs w:val="20"/>
          <w:color w:val="auto"/>
        </w:rPr>
      </w:pPr>
    </w:p>
    <w:p>
      <w:pPr>
        <w:spacing w:after="0" w:line="229"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provide the Internal Revenue Service, or IRS, with information regarding our earnings; a late (retroactive) election may be made 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IRS. A shareholder makes a QEF election by attaching a completed IRS Form 8621, including the PFIC annual information statement, to a timely filed U.S. federal income tax return or, if no federal income tax return is required to be filed, by filing such form with the IRS Service Center in Philadelphia, Pennsylvania. Even if a QEF election is not made, a shareholder in a PFIC who is a U.S. person must file a completed IRS Form 8621 every year.</w:t>
      </w:r>
    </w:p>
    <w:p>
      <w:pPr>
        <w:spacing w:after="0" w:line="177"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 the lower-tier PFIC provides the IRS with information regarding its earnings. A QEF election with respect to our shares does not constitute an election with respect to any lower-tier PFIC.</w:t>
      </w:r>
    </w:p>
    <w:p>
      <w:pPr>
        <w:spacing w:after="0" w:line="197"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noted above, the proposed regulations would treat a U.S. Holder of a convertible debenture as if the holder held ordinary shares for purposes of the PFIC rules. A convertible debenture holder, however, may not make a QEF election. If we are considered a PFIC (presently or in the future), a U.S. Holder of a convertible debenture might be unable to make a timely QEF election for our shares or for shares of any lower-tier PFIC.</w:t>
      </w:r>
    </w:p>
    <w:p>
      <w:pPr>
        <w:spacing w:after="0" w:line="161"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 U.S. Holder of PFIC stock which is publicly traded could elect to mark the stock to market annually, recognizing as ordinary income or loss each year an amount equal to the difference as of the close of the taxable year between the fair market value of the PFIC stock and the holder’s adjusted basis in the PFIC</w:t>
      </w:r>
    </w:p>
    <w:p>
      <w:pPr>
        <w:sectPr>
          <w:pgSz w:w="11900" w:h="16838" w:orient="portrait"/>
          <w:cols w:equalWidth="0" w:num="1">
            <w:col w:w="11420"/>
          </w:cols>
          <w:pgMar w:left="240" w:top="131" w:right="239" w:bottom="0" w:gutter="0" w:footer="0" w:header="0"/>
        </w:sectPr>
      </w:pPr>
    </w:p>
    <w:bookmarkStart w:id="26" w:name="page27"/>
    <w:bookmarkEnd w:id="26"/>
    <w:p>
      <w:pPr>
        <w:ind w:right="60"/>
        <w:spacing w:after="0" w:line="332" w:lineRule="auto"/>
        <w:rPr>
          <w:sz w:val="20"/>
          <w:szCs w:val="20"/>
          <w:color w:val="auto"/>
        </w:rPr>
      </w:pPr>
      <w:r>
        <w:rPr>
          <w:rFonts w:ascii="Arial" w:cs="Arial" w:eastAsia="Arial" w:hAnsi="Arial"/>
          <w:sz w:val="16"/>
          <w:szCs w:val="16"/>
          <w:color w:val="auto"/>
        </w:rPr>
        <w:t>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do not believe that we currently are a PFIC.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there can be no assurance that we will not become a PFIC. If we determine that we have become a PFIC, we will 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 or mark-to-market election. U.S. Holders are urged to consult their tax advisors about the PFIC rules, including the consequences to them of making a mark-to-market or QEF election with respect to our ordinary shares in the event that we qualify as a PFIC.</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Tax Consequences if the Debentures Are Characterized as Equity</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the U.S. income tax consequences to U.S. Holders generally would not be materially less favorable than those described herein. The principal consequences would be as follows: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Conversion of Debentures</w:t>
      </w:r>
    </w:p>
    <w:p>
      <w:pPr>
        <w:spacing w:after="0" w:line="225"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to a U.S. Holder upon a conversion of debentures into our ordinary shares.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Disposition of Debentures or Ordinary Shares Issued Upon the Conversion of Debentures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as described above, to a U.S. Holder who disposes of debentures or ordinary shares issued upon conversion of debentures, except that the special rules described above regarding market discount would not apply.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Original Issue Discount, Acquisition Premium and Market Discount; Constructive Dividends</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If the debentures were characterized as equity for U.S. tax purposes, the rules described above regarding original issue discount, acquisition premium and market discount would not apply. However, the excess of the amount to be paid at maturity to a U.S. Holder of a debenture over the issue price of the debenture (the “redemption premium”) likely would be treated as a constructive distribution to the U.S. Holder under Section 305 of the Code. Such redemption premium would be taken into account under timing rules similar to those discussed above governing the accrual of original issue discount on a debt instrument. It is also possible that, in certain circumstances, the characterization of the debentures as equity for U.S. tax purposes could affect the determination of whether, under Section 305 of the Code and the applicable Treasury regulations, an adjustment to the conversion price, or a failure to adjust the conversion price, results in a constructive distribution to a U.S. Holder.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Consequences if We Are a Passive Foreign Investment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debentures were characterized as equity for U.S. tax purposes, this generally would not affect the application of the PFIC rules, except that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of debentures would be able to make a QEF or mark-to-market election.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authorized share capital consists of 500 million ordinary shares, par value NIS 1.00 per share. Under our articles of association, the ordinary shares do not have preemptive rights, however, we have granted preemptive rights to a number of our Fab 2 investors, regarding which we will seek waivers in connection with this offering. We may from time to time, by approval of a majority of our shareholders, increase our authorized share capital. All ordinary shares are registered shares, rather than bearer shares.</w:t>
      </w:r>
    </w:p>
    <w:p>
      <w:pPr>
        <w:sectPr>
          <w:pgSz w:w="11900" w:h="16838" w:orient="portrait"/>
          <w:cols w:equalWidth="0" w:num="1">
            <w:col w:w="11400"/>
          </w:cols>
          <w:pgMar w:left="240" w:top="131" w:right="259" w:bottom="454"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454" w:gutter="0" w:footer="0" w:header="0"/>
          <w:type w:val="continuous"/>
        </w:sectPr>
      </w:pPr>
    </w:p>
    <w:bookmarkStart w:id="27" w:name="page28"/>
    <w:bookmarkEnd w:id="27"/>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right="800" w:firstLine="341"/>
        <w:spacing w:after="0" w:line="332" w:lineRule="auto"/>
        <w:rPr>
          <w:sz w:val="20"/>
          <w:szCs w:val="20"/>
          <w:color w:val="auto"/>
        </w:rPr>
      </w:pPr>
      <w:r>
        <w:rPr>
          <w:rFonts w:ascii="Arial" w:cs="Arial" w:eastAsia="Arial" w:hAnsi="Arial"/>
          <w:sz w:val="16"/>
          <w:szCs w:val="16"/>
          <w:color w:val="auto"/>
        </w:rPr>
        <w:t>As of December 31, 2004, 65,699,796 of our ordinary shares were outstanding. As of December 31, 2005, 66,932,056 of our ordinary shares were outstanding. The above numbers of outstanding ordinary shares do not include 1.3 million treasury shares held by us through a trustee.</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validity of the securities offered in this prospectus will be passed upon for us by Yigal Arnon &amp; Co., our Israeli counsel, and by Eilenberg &amp; Krause LLP, New York, New York, our United States counsel.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312"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consolidated financial statements incorporated in this prospectus by reference from the company’s Annual Report on Form 20-F for the year ended December 31, 2004, and the company’s report on Form 6-K filed on February 2, 2006, have been audited by Brightman Almagor &amp; Co., a member firm of Deloitte Touche Tohmatsu, an independent registered public accounting firm, as stated in their reports, which are incorporated herein by reference (which reports express an unqualified opinion and include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300"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BY REFERENCE</w:t>
      </w:r>
    </w:p>
    <w:p>
      <w:pPr>
        <w:spacing w:after="0" w:line="300" w:lineRule="exact"/>
        <w:rPr>
          <w:sz w:val="20"/>
          <w:szCs w:val="20"/>
          <w:color w:val="auto"/>
        </w:rPr>
      </w:pPr>
    </w:p>
    <w:p>
      <w:pPr>
        <w:ind w:right="340" w:firstLine="348"/>
        <w:spacing w:after="0" w:line="335" w:lineRule="auto"/>
        <w:rPr>
          <w:sz w:val="20"/>
          <w:szCs w:val="20"/>
          <w:color w:val="auto"/>
        </w:rPr>
      </w:pPr>
      <w:r>
        <w:rPr>
          <w:rFonts w:ascii="Arial" w:cs="Arial" w:eastAsia="Arial" w:hAnsi="Arial"/>
          <w:sz w:val="15"/>
          <w:szCs w:val="15"/>
          <w:color w:val="auto"/>
        </w:rPr>
        <w:t>We have filed a registration statement on Form F-3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100 F Street N.E., Washington, D.C. 20549. Please call the</w:t>
      </w:r>
    </w:p>
    <w:p>
      <w:pPr>
        <w:sectPr>
          <w:pgSz w:w="11900" w:h="16838" w:orient="portrait"/>
          <w:cols w:equalWidth="0" w:num="1">
            <w:col w:w="11420"/>
          </w:cols>
          <w:pgMar w:left="240" w:top="131" w:right="239" w:bottom="0" w:gutter="0" w:footer="0" w:header="0"/>
        </w:sectPr>
      </w:pPr>
    </w:p>
    <w:bookmarkStart w:id="28" w:name="page29"/>
    <w:bookmarkEnd w:id="28"/>
    <w:p>
      <w:pPr>
        <w:ind w:right="440"/>
        <w:spacing w:after="0" w:line="332" w:lineRule="auto"/>
        <w:rPr>
          <w:sz w:val="20"/>
          <w:szCs w:val="20"/>
          <w:color w:val="auto"/>
        </w:rPr>
      </w:pPr>
      <w:r>
        <w:rPr>
          <w:rFonts w:ascii="Arial" w:cs="Arial" w:eastAsia="Arial" w:hAnsi="Arial"/>
          <w:sz w:val="16"/>
          <w:szCs w:val="16"/>
          <w:color w:val="auto"/>
        </w:rPr>
        <w:t>Securities and Exchange Commission at 1-800-SEC-0330 for further information on the Public Reference Room. Our Securities and Exchange Commission filings are also available to the public at the Securities and Exchange Commission’s Internet 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We incorporate by reference the documents listed below and amendments to them. These documents and their amendments were previously filed with the Securities and Exchange Commission.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our registration on Form 8-A filed on November 22, 2005, as amended on December 29, 2005;</w:t>
      </w:r>
    </w:p>
    <w:p>
      <w:pPr>
        <w:spacing w:after="0" w:line="252" w:lineRule="exact"/>
        <w:rPr>
          <w:sz w:val="20"/>
          <w:szCs w:val="20"/>
          <w:color w:val="auto"/>
        </w:rPr>
      </w:pPr>
    </w:p>
    <w:p>
      <w:pPr>
        <w:ind w:left="1160" w:right="60" w:hanging="567"/>
        <w:spacing w:after="0" w:line="268" w:lineRule="auto"/>
        <w:rPr>
          <w:sz w:val="20"/>
          <w:szCs w:val="20"/>
          <w:color w:val="auto"/>
        </w:rPr>
      </w:pPr>
      <w:r>
        <w:rPr>
          <w:rFonts w:ascii="Arial" w:cs="Arial" w:eastAsia="Arial" w:hAnsi="Arial"/>
          <w:sz w:val="18"/>
          <w:szCs w:val="18"/>
          <w:color w:val="auto"/>
        </w:rPr>
        <w:t>—our annual report on Form 20-F for the year ended December 31, 2004, filed on June 29, 2005, to the extent the information in that report has not been updated or superseded by this prospectus;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—our report on Form 6-K filed on August 3, 2005, as amended on Form 6-K/A filed on September 22, 2005 and on Form 6-K/A filed on November 7, 2005;</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November 8, 2005, as amended on Form 6-K/A filed on November 22, 2005;</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December 19, 2005;</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January 3, 2006;</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January 9, 2006;</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January 17, 2006;</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February 2, 2006; and</w:t>
      </w:r>
    </w:p>
    <w:p>
      <w:pPr>
        <w:spacing w:after="0" w:line="252"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—any report on Form 6-K, or parts thereof, meeting the requirements of Form F-3 filed after the date of the initial registration statement and prior to its effectiveness, which states that it, or any part thereof, is being incorporated by reference herein.</w:t>
      </w:r>
    </w:p>
    <w:p>
      <w:pPr>
        <w:spacing w:after="0" w:line="200" w:lineRule="exact"/>
        <w:rPr>
          <w:sz w:val="20"/>
          <w:szCs w:val="20"/>
          <w:color w:val="auto"/>
        </w:rPr>
      </w:pPr>
    </w:p>
    <w:p>
      <w:pPr>
        <w:spacing w:after="0" w:line="229"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This prospectus shall also be deemed to incorporate by reference all subsequent annual reports filed on Form 20-F, Form 40-F or Form 10-K, and all subsequent filings on Forms 10-Q and 8-K filed by the registrant pursuant to the Exchange Act, prior to the termination of the offering made by this prospectus. We may incorporate by reference into this prospectus, any Form 6-K meeting the requirements of Form F-3 which is submitted to the Securities and Exchange Commission after the date of this prospectus meeting the requirements of this Form. Any such Form 6-K which we intend to so incorporate shall state in such form that it is being incorporated by reference into this Form.</w:t>
      </w:r>
    </w:p>
    <w:p>
      <w:pPr>
        <w:spacing w:after="0" w:line="197"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6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copy of this prospectus, our memorandum of association, our articles of association and the documents filed as exhibits, are available for inspection at our offices at Hamada Avenue, Ramat Gavriel Industrial Park, Migdal Haemek, Israel.</w:t>
      </w:r>
    </w:p>
    <w:p>
      <w:pPr>
        <w:spacing w:after="0" w:line="186"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294005</wp:posOffset>
            </wp:positionV>
            <wp:extent cx="1715135" cy="565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ectPr>
          <w:pgSz w:w="11900" w:h="16838" w:orient="portrait"/>
          <w:cols w:equalWidth="0" w:num="1">
            <w:col w:w="11420"/>
          </w:cols>
          <w:pgMar w:left="240" w:top="131" w:right="239" w:bottom="2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$31,191,606 of Convertible Debentures due 2012</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37,517,065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133350</wp:posOffset>
            </wp:positionV>
            <wp:extent cx="1106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131" w:right="239" w:bottom="218"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202565</wp:posOffset>
            </wp:positionV>
            <wp:extent cx="11061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60" w:right="100"/>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is not permitted. You should not assume that the information in this prospectus is accurate as of any date other than the date that appears below.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___,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0" w:lineRule="exact"/>
        <w:rPr>
          <w:sz w:val="20"/>
          <w:szCs w:val="20"/>
          <w:color w:val="auto"/>
        </w:rPr>
      </w:pPr>
    </w:p>
    <w:p>
      <w:pPr>
        <w:spacing w:after="0" w:line="2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Israeli Companies Law-1999, or the Companies Law, which entered into effect on February 1, 2000 and was amended most recently in March 2005, provides that a company may include in its articles of association provisions allowing it to:</w:t>
      </w:r>
    </w:p>
    <w:p>
      <w:pPr>
        <w:spacing w:after="0" w:line="186" w:lineRule="exact"/>
        <w:rPr>
          <w:sz w:val="20"/>
          <w:szCs w:val="20"/>
          <w:color w:val="auto"/>
        </w:rPr>
      </w:pPr>
    </w:p>
    <w:p>
      <w:pPr>
        <w:jc w:val="both"/>
        <w:ind w:left="580" w:right="80" w:hanging="572"/>
        <w:spacing w:after="0" w:line="259"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20" w:hanging="571"/>
        <w:spacing w:after="0" w:line="332" w:lineRule="auto"/>
        <w:tabs>
          <w:tab w:leader="none" w:pos="11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w:t>
      </w:r>
    </w:p>
    <w:p>
      <w:pPr>
        <w:spacing w:after="0" w:line="166" w:lineRule="exact"/>
        <w:rPr>
          <w:rFonts w:ascii="Arial" w:cs="Arial" w:eastAsia="Arial" w:hAnsi="Arial"/>
          <w:sz w:val="16"/>
          <w:szCs w:val="16"/>
          <w:color w:val="auto"/>
        </w:rPr>
      </w:pPr>
    </w:p>
    <w:p>
      <w:pPr>
        <w:ind w:left="1160" w:hanging="571"/>
        <w:spacing w:after="0" w:line="256" w:lineRule="auto"/>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 and</w:t>
      </w:r>
    </w:p>
    <w:p>
      <w:pPr>
        <w:spacing w:after="0" w:line="224" w:lineRule="exact"/>
        <w:rPr>
          <w:rFonts w:ascii="Arial" w:cs="Arial" w:eastAsia="Arial" w:hAnsi="Arial"/>
          <w:sz w:val="18"/>
          <w:szCs w:val="18"/>
          <w:color w:val="auto"/>
        </w:rPr>
      </w:pPr>
    </w:p>
    <w:p>
      <w:pPr>
        <w:jc w:val="both"/>
        <w:ind w:left="1160" w:right="20" w:hanging="571"/>
        <w:spacing w:after="0" w:line="294" w:lineRule="auto"/>
        <w:tabs>
          <w:tab w:leader="none" w:pos="11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180" w:hanging="571"/>
        <w:spacing w:after="0" w:line="306" w:lineRule="auto"/>
        <w:tabs>
          <w:tab w:leader="none" w:pos="1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breach of his fiduciary duty, except to the extent described above;</w:t>
      </w:r>
    </w:p>
    <w:p>
      <w:pPr>
        <w:sectPr>
          <w:pgSz w:w="11900" w:h="16838" w:orient="portrait"/>
          <w:cols w:equalWidth="0" w:num="1">
            <w:col w:w="11420"/>
          </w:cols>
          <w:pgMar w:left="240" w:top="111" w:right="239" w:bottom="0" w:gutter="0" w:footer="0" w:header="0"/>
        </w:sectPr>
      </w:pPr>
    </w:p>
    <w:bookmarkStart w:id="30" w:name="page31"/>
    <w:bookmarkEnd w:id="30"/>
    <w:p>
      <w:pPr>
        <w:ind w:left="1720" w:right="80" w:hanging="567"/>
        <w:spacing w:after="0" w:line="268" w:lineRule="auto"/>
        <w:rPr>
          <w:sz w:val="20"/>
          <w:szCs w:val="20"/>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act or omission done with the intent to unlawfully realize personal gain; or</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jc w:val="both"/>
        <w:ind w:right="580" w:firstLine="351"/>
        <w:spacing w:after="0" w:line="259" w:lineRule="auto"/>
        <w:rPr>
          <w:sz w:val="20"/>
          <w:szCs w:val="20"/>
          <w:color w:val="auto"/>
        </w:rPr>
      </w:pPr>
      <w:r>
        <w:rPr>
          <w:rFonts w:ascii="Arial" w:cs="Arial" w:eastAsia="Arial" w:hAnsi="Arial"/>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19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w:t>
            </w: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r>
      <w:tr>
        <w:trPr>
          <w:trHeight w:val="74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20" w:type="dxa"/>
            <w:vAlign w:val="bottom"/>
          </w:tcPr>
          <w:p>
            <w:pPr>
              <w:ind w:left="1780"/>
              <w:spacing w:after="0"/>
              <w:rPr>
                <w:sz w:val="20"/>
                <w:szCs w:val="20"/>
                <w:color w:val="auto"/>
              </w:rPr>
            </w:pPr>
            <w:r>
              <w:rPr>
                <w:rFonts w:ascii="Arial" w:cs="Arial" w:eastAsia="Arial" w:hAnsi="Arial"/>
                <w:sz w:val="18"/>
                <w:szCs w:val="18"/>
                <w:b w:val="1"/>
                <w:bCs w:val="1"/>
                <w:color w:val="auto"/>
              </w:rPr>
              <w:t>EXHIBIT INDEX</w:t>
            </w:r>
          </w:p>
        </w:tc>
      </w:tr>
      <w:tr>
        <w:trPr>
          <w:trHeight w:val="501"/>
        </w:trPr>
        <w:tc>
          <w:tcPr>
            <w:tcW w:w="180" w:type="dxa"/>
            <w:vAlign w:val="bottom"/>
          </w:tcPr>
          <w:p>
            <w:pPr>
              <w:spacing w:after="0"/>
              <w:rPr>
                <w:sz w:val="24"/>
                <w:szCs w:val="2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Exhibit</w:t>
            </w:r>
          </w:p>
        </w:tc>
        <w:tc>
          <w:tcPr>
            <w:tcW w:w="1880" w:type="dxa"/>
            <w:vAlign w:val="bottom"/>
          </w:tcPr>
          <w:p>
            <w:pPr>
              <w:spacing w:after="0"/>
              <w:rPr>
                <w:sz w:val="24"/>
                <w:szCs w:val="24"/>
                <w:color w:val="auto"/>
              </w:rPr>
            </w:pPr>
          </w:p>
        </w:tc>
        <w:tc>
          <w:tcPr>
            <w:tcW w:w="8020" w:type="dxa"/>
            <w:vAlign w:val="bottom"/>
          </w:tcPr>
          <w:p>
            <w:pPr>
              <w:spacing w:after="0"/>
              <w:rPr>
                <w:sz w:val="24"/>
                <w:szCs w:val="24"/>
                <w:color w:val="auto"/>
              </w:rPr>
            </w:pPr>
          </w:p>
        </w:tc>
      </w:tr>
      <w:tr>
        <w:trPr>
          <w:trHeight w:val="190"/>
        </w:trPr>
        <w:tc>
          <w:tcPr>
            <w:tcW w:w="1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Numbers</w:t>
            </w:r>
          </w:p>
        </w:tc>
        <w:tc>
          <w:tcPr>
            <w:tcW w:w="500" w:type="dxa"/>
            <w:vAlign w:val="bottom"/>
          </w:tcPr>
          <w:p>
            <w:pPr>
              <w:spacing w:after="0"/>
              <w:rPr>
                <w:sz w:val="16"/>
                <w:szCs w:val="16"/>
                <w:color w:val="auto"/>
              </w:rPr>
            </w:pPr>
          </w:p>
        </w:tc>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Description of Document</w:t>
            </w:r>
          </w:p>
        </w:tc>
        <w:tc>
          <w:tcPr>
            <w:tcW w:w="8020" w:type="dxa"/>
            <w:vAlign w:val="bottom"/>
          </w:tcPr>
          <w:p>
            <w:pPr>
              <w:spacing w:after="0"/>
              <w:rPr>
                <w:sz w:val="16"/>
                <w:szCs w:val="16"/>
                <w:color w:val="auto"/>
              </w:rPr>
            </w:pPr>
          </w:p>
        </w:tc>
      </w:tr>
      <w:tr>
        <w:trPr>
          <w:trHeight w:val="478"/>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Articles of Association of the Issuer, as amended.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4.2</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Indenture*</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4.3</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Eleventh Amendment, dated October 27,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Israel Ltd.*</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4.4</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Tenth Amendment, dated September 29,2005,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Israel Ltd. *</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4.5</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1"/>
              </w:rPr>
              <w:t>Ninth Amendment, dated July 24, 2005, to the Facility Agreement among the Registrant, Bank Hapoalim B.M. and Bank Leumi Le-Israel</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Ltd.*</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4.6</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9"/>
              </w:rPr>
              <w:t>Twelfth Amendment, dated November 30,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Israel Ltd.*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Opinion of Yigal Arnon &amp; Co.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5.2</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Opinion of Eilenberg &amp; Krause LLP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12.1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23.2</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23.3</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Consent of Eilenberg &amp; Krause (contained in their opinion constituting Exhibit 5.2)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24.1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Power of Attorney (set forth on signature page)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25.1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right="680" w:firstLine="9"/>
        <w:spacing w:after="0" w:line="299" w:lineRule="auto"/>
        <w:tabs>
          <w:tab w:leader="none" w:pos="7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Incorporated by reference to the like numbered exhibit filed with the Registrant’s Registration Statement on Form F-1, File No. 333-126909. ** Previously filed.</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240" w:top="374" w:right="379" w:bottom="5" w:gutter="0" w:footer="0" w:header="0"/>
        </w:sectPr>
      </w:pPr>
    </w:p>
    <w:p>
      <w:pPr>
        <w:spacing w:after="0" w:line="34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UNDERTAKINGS</w:t>
      </w:r>
    </w:p>
    <w:p>
      <w:pPr>
        <w:sectPr>
          <w:pgSz w:w="11900" w:h="16838" w:orient="portrait"/>
          <w:cols w:equalWidth="0" w:num="1">
            <w:col w:w="11280"/>
          </w:cols>
          <w:pgMar w:left="240" w:top="374" w:right="379" w:bottom="5" w:gutter="0" w:footer="0" w:header="0"/>
          <w:type w:val="continuous"/>
        </w:sectPr>
      </w:pPr>
    </w:p>
    <w:bookmarkStart w:id="31" w:name="page32"/>
    <w:bookmarkEnd w:id="31"/>
    <w:p>
      <w:pPr>
        <w:spacing w:after="0" w:line="56" w:lineRule="exact"/>
        <w:rPr>
          <w:sz w:val="20"/>
          <w:szCs w:val="20"/>
          <w:color w:val="auto"/>
        </w:rPr>
      </w:pPr>
    </w:p>
    <w:p>
      <w:pPr>
        <w:ind w:left="1880" w:hanging="548"/>
        <w:spacing w:after="0"/>
        <w:tabs>
          <w:tab w:leader="none" w:pos="1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920" w:hanging="545"/>
        <w:spacing w:after="0"/>
        <w:tabs>
          <w:tab w:leader="none" w:pos="19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75" w:lineRule="exact"/>
        <w:rPr>
          <w:rFonts w:ascii="Arial" w:cs="Arial" w:eastAsia="Arial" w:hAnsi="Arial"/>
          <w:sz w:val="16"/>
          <w:szCs w:val="16"/>
          <w:color w:val="auto"/>
        </w:rPr>
      </w:pPr>
    </w:p>
    <w:p>
      <w:pPr>
        <w:ind w:left="2420" w:hanging="521"/>
        <w:spacing w:after="0"/>
        <w:tabs>
          <w:tab w:leader="none" w:pos="24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720" w:right="60" w:firstLine="179"/>
        <w:spacing w:after="0" w:line="290" w:lineRule="auto"/>
        <w:tabs>
          <w:tab w:leader="none" w:pos="2458" w:val="left"/>
        </w:tabs>
        <w:numPr>
          <w:ilvl w:val="2"/>
          <w:numId w:val="5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9" w:lineRule="exact"/>
        <w:rPr>
          <w:rFonts w:ascii="Arial" w:cs="Arial" w:eastAsia="Arial" w:hAnsi="Arial"/>
          <w:sz w:val="16"/>
          <w:szCs w:val="16"/>
          <w:color w:val="auto"/>
        </w:rPr>
      </w:pPr>
    </w:p>
    <w:p>
      <w:pPr>
        <w:ind w:left="1720" w:right="520" w:firstLine="179"/>
        <w:spacing w:after="0" w:line="268" w:lineRule="auto"/>
        <w:tabs>
          <w:tab w:leader="none" w:pos="2507" w:val="left"/>
        </w:tabs>
        <w:numPr>
          <w:ilvl w:val="2"/>
          <w:numId w:val="5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94" w:lineRule="exact"/>
        <w:rPr>
          <w:sz w:val="20"/>
          <w:szCs w:val="20"/>
          <w:color w:val="auto"/>
        </w:rPr>
      </w:pPr>
    </w:p>
    <w:p>
      <w:pPr>
        <w:ind w:left="1160" w:right="80" w:firstLine="172"/>
        <w:spacing w:after="0" w:line="259" w:lineRule="auto"/>
        <w:tabs>
          <w:tab w:leader="none" w:pos="18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21" w:lineRule="exact"/>
        <w:rPr>
          <w:rFonts w:ascii="Arial" w:cs="Arial" w:eastAsia="Arial" w:hAnsi="Arial"/>
          <w:sz w:val="18"/>
          <w:szCs w:val="18"/>
          <w:color w:val="auto"/>
        </w:rPr>
      </w:pPr>
    </w:p>
    <w:p>
      <w:pPr>
        <w:ind w:left="1160" w:right="100" w:firstLine="172"/>
        <w:spacing w:after="0" w:line="268" w:lineRule="auto"/>
        <w:tabs>
          <w:tab w:leader="none" w:pos="18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1160" w:right="80" w:firstLine="172"/>
        <w:spacing w:after="0" w:line="288" w:lineRule="auto"/>
        <w:tabs>
          <w:tab w:leader="none" w:pos="1888"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200" w:lineRule="exact"/>
        <w:rPr>
          <w:rFonts w:ascii="Arial" w:cs="Arial" w:eastAsia="Arial" w:hAnsi="Arial"/>
          <w:sz w:val="16"/>
          <w:szCs w:val="16"/>
          <w:color w:val="auto"/>
        </w:rPr>
      </w:pPr>
    </w:p>
    <w:p>
      <w:pPr>
        <w:ind w:left="1920" w:hanging="545"/>
        <w:spacing w:after="0"/>
        <w:tabs>
          <w:tab w:leader="none" w:pos="1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hanging="577"/>
        <w:spacing w:after="0"/>
        <w:tabs>
          <w:tab w:leader="none" w:pos="2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52" w:lineRule="exact"/>
        <w:rPr>
          <w:rFonts w:ascii="Arial" w:cs="Arial" w:eastAsia="Arial" w:hAnsi="Arial"/>
          <w:sz w:val="18"/>
          <w:szCs w:val="18"/>
          <w:color w:val="auto"/>
        </w:rPr>
      </w:pPr>
    </w:p>
    <w:p>
      <w:pPr>
        <w:ind w:left="2880" w:right="40" w:hanging="576"/>
        <w:spacing w:after="0" w:line="332" w:lineRule="auto"/>
        <w:tabs>
          <w:tab w:leader="none" w:pos="2880" w:val="left"/>
        </w:tabs>
        <w:numPr>
          <w:ilvl w:val="2"/>
          <w:numId w:val="60"/>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6" w:lineRule="exact"/>
        <w:rPr>
          <w:rFonts w:ascii="Arial" w:cs="Arial" w:eastAsia="Arial" w:hAnsi="Arial"/>
          <w:sz w:val="16"/>
          <w:szCs w:val="16"/>
          <w:color w:val="auto"/>
        </w:rPr>
      </w:pPr>
    </w:p>
    <w:p>
      <w:pPr>
        <w:ind w:left="2880" w:hanging="576"/>
        <w:spacing w:after="0" w:line="286" w:lineRule="auto"/>
        <w:tabs>
          <w:tab w:leader="none" w:pos="2880" w:val="left"/>
        </w:tabs>
        <w:numPr>
          <w:ilvl w:val="2"/>
          <w:numId w:val="6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01" w:lineRule="exact"/>
        <w:rPr>
          <w:rFonts w:ascii="Arial" w:cs="Arial" w:eastAsia="Arial" w:hAnsi="Arial"/>
          <w:sz w:val="16"/>
          <w:szCs w:val="16"/>
          <w:color w:val="auto"/>
        </w:rPr>
      </w:pPr>
    </w:p>
    <w:p>
      <w:pPr>
        <w:ind w:left="2300" w:right="20" w:hanging="577"/>
        <w:spacing w:after="0" w:line="289" w:lineRule="auto"/>
        <w:tabs>
          <w:tab w:leader="none" w:pos="2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9" w:lineRule="exact"/>
        <w:rPr>
          <w:rFonts w:ascii="Arial" w:cs="Arial" w:eastAsia="Arial" w:hAnsi="Arial"/>
          <w:sz w:val="16"/>
          <w:szCs w:val="16"/>
          <w:color w:val="auto"/>
        </w:rPr>
      </w:pPr>
    </w:p>
    <w:p>
      <w:pPr>
        <w:ind w:left="1160" w:right="100" w:firstLine="215"/>
        <w:spacing w:after="0" w:line="370" w:lineRule="auto"/>
        <w:tabs>
          <w:tab w:leader="none" w:pos="1932"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w:t>
      </w:r>
    </w:p>
    <w:p>
      <w:pPr>
        <w:sectPr>
          <w:pgSz w:w="11900" w:h="16894" w:orient="portrait"/>
          <w:cols w:equalWidth="0" w:num="1">
            <w:col w:w="11420"/>
          </w:cols>
          <w:pgMar w:left="240" w:top="131" w:right="239" w:bottom="0" w:gutter="0" w:footer="0" w:header="0"/>
        </w:sectPr>
      </w:pPr>
    </w:p>
    <w:bookmarkStart w:id="32" w:name="page33"/>
    <w:bookmarkEnd w:id="32"/>
    <w:p>
      <w:pPr>
        <w:spacing w:after="0" w:line="16"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21" w:lineRule="exact"/>
        <w:rPr>
          <w:sz w:val="20"/>
          <w:szCs w:val="20"/>
          <w:color w:val="auto"/>
        </w:rPr>
      </w:pPr>
    </w:p>
    <w:p>
      <w:pPr>
        <w:ind w:left="2300" w:right="220" w:hanging="577"/>
        <w:spacing w:after="0" w:line="268" w:lineRule="auto"/>
        <w:tabs>
          <w:tab w:leader="none" w:pos="2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12" w:lineRule="exact"/>
        <w:rPr>
          <w:rFonts w:ascii="Arial" w:cs="Arial" w:eastAsia="Arial" w:hAnsi="Arial"/>
          <w:sz w:val="18"/>
          <w:szCs w:val="18"/>
          <w:color w:val="auto"/>
        </w:rPr>
      </w:pPr>
    </w:p>
    <w:p>
      <w:pPr>
        <w:ind w:left="2300" w:right="120" w:hanging="577"/>
        <w:spacing w:after="0" w:line="268" w:lineRule="auto"/>
        <w:tabs>
          <w:tab w:leader="none" w:pos="2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2300" w:right="200" w:hanging="577"/>
        <w:spacing w:after="0" w:line="268" w:lineRule="auto"/>
        <w:tabs>
          <w:tab w:leader="none" w:pos="2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2300" w:hanging="577"/>
        <w:spacing w:after="0"/>
        <w:tabs>
          <w:tab w:leader="none" w:pos="2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184"/>
        <w:spacing w:after="0" w:line="255" w:lineRule="auto"/>
        <w:tabs>
          <w:tab w:leader="none" w:pos="7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ind w:right="80" w:firstLine="184"/>
        <w:spacing w:after="0" w:line="290" w:lineRule="auto"/>
        <w:tabs>
          <w:tab w:leader="none" w:pos="722"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Amendment No. 1 to the Registration Statement on Form F-3 to be signed on its behalf by the undersigned, thereunto duly authorized, in the City of Migdal Haemek, Israel, on March 1, 2006.</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71"/>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040" w:type="dxa"/>
            <w:vAlign w:val="bottom"/>
            <w:gridSpan w:val="2"/>
          </w:tcPr>
          <w:p>
            <w:pPr>
              <w:spacing w:after="0"/>
              <w:rPr>
                <w:sz w:val="20"/>
                <w:szCs w:val="20"/>
                <w:color w:val="auto"/>
              </w:rPr>
            </w:pPr>
            <w:r>
              <w:rPr>
                <w:rFonts w:ascii="Arial" w:cs="Arial" w:eastAsia="Arial" w:hAnsi="Arial"/>
                <w:sz w:val="18"/>
                <w:szCs w:val="18"/>
                <w:color w:val="auto"/>
                <w:w w:val="88"/>
              </w:rPr>
              <w:t>March 1, 2006</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Ehud Hillman</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696"/>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1040" w:type="dxa"/>
            <w:vAlign w:val="bottom"/>
            <w:gridSpan w:val="2"/>
          </w:tcPr>
          <w:p>
            <w:pPr>
              <w:spacing w:after="0"/>
              <w:rPr>
                <w:sz w:val="20"/>
                <w:szCs w:val="20"/>
                <w:color w:val="auto"/>
              </w:rPr>
            </w:pPr>
            <w:r>
              <w:rPr>
                <w:rFonts w:ascii="Arial" w:cs="Arial" w:eastAsia="Arial" w:hAnsi="Arial"/>
                <w:sz w:val="18"/>
                <w:szCs w:val="18"/>
                <w:color w:val="auto"/>
                <w:w w:val="88"/>
              </w:rPr>
              <w:t>March 1, 2006</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7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696"/>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Acting Chief Financial Officer</w:t>
            </w:r>
          </w:p>
        </w:tc>
        <w:tc>
          <w:tcPr>
            <w:tcW w:w="1040" w:type="dxa"/>
            <w:vAlign w:val="bottom"/>
            <w:gridSpan w:val="2"/>
          </w:tcPr>
          <w:p>
            <w:pPr>
              <w:spacing w:after="0"/>
              <w:rPr>
                <w:sz w:val="20"/>
                <w:szCs w:val="20"/>
                <w:color w:val="auto"/>
              </w:rPr>
            </w:pPr>
            <w:r>
              <w:rPr>
                <w:rFonts w:ascii="Arial" w:cs="Arial" w:eastAsia="Arial" w:hAnsi="Arial"/>
                <w:sz w:val="18"/>
                <w:szCs w:val="18"/>
                <w:color w:val="auto"/>
                <w:w w:val="88"/>
              </w:rPr>
              <w:t>March 1, 2006</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76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76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696"/>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40" w:type="dxa"/>
            <w:vAlign w:val="bottom"/>
            <w:gridSpan w:val="2"/>
          </w:tcPr>
          <w:p>
            <w:pPr>
              <w:spacing w:after="0"/>
              <w:rPr>
                <w:sz w:val="20"/>
                <w:szCs w:val="20"/>
                <w:color w:val="auto"/>
              </w:rPr>
            </w:pPr>
            <w:r>
              <w:rPr>
                <w:rFonts w:ascii="Arial" w:cs="Arial" w:eastAsia="Arial" w:hAnsi="Arial"/>
                <w:sz w:val="18"/>
                <w:szCs w:val="18"/>
                <w:color w:val="auto"/>
                <w:w w:val="88"/>
              </w:rPr>
              <w:t>March 1, 2006</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Yossi Rosen</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ectPr>
          <w:pgSz w:w="11900" w:h="16855" w:orient="portrait"/>
          <w:cols w:equalWidth="0" w:num="1">
            <w:col w:w="11360"/>
          </w:cols>
          <w:pgMar w:left="240" w:top="131" w:right="29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80" w:type="dxa"/>
            <w:vAlign w:val="bottom"/>
          </w:tcPr>
          <w:p>
            <w:pPr>
              <w:ind w:left="620"/>
              <w:spacing w:after="0"/>
              <w:rPr>
                <w:sz w:val="20"/>
                <w:szCs w:val="20"/>
                <w:color w:val="auto"/>
              </w:rPr>
            </w:pPr>
            <w:r>
              <w:rPr>
                <w:rFonts w:ascii="Arial" w:cs="Arial" w:eastAsia="Arial" w:hAnsi="Arial"/>
                <w:sz w:val="18"/>
                <w:szCs w:val="18"/>
                <w:color w:val="auto"/>
              </w:rPr>
              <w:t>Director</w:t>
            </w:r>
          </w:p>
        </w:tc>
        <w:tc>
          <w:tcPr>
            <w:tcW w:w="6380" w:type="dxa"/>
            <w:vAlign w:val="bottom"/>
          </w:tcPr>
          <w:p>
            <w:pPr>
              <w:ind w:left="2500"/>
              <w:spacing w:after="0"/>
              <w:rPr>
                <w:sz w:val="20"/>
                <w:szCs w:val="20"/>
                <w:color w:val="auto"/>
              </w:rPr>
            </w:pPr>
            <w:r>
              <w:rPr>
                <w:rFonts w:ascii="Arial" w:cs="Arial" w:eastAsia="Arial" w:hAnsi="Arial"/>
                <w:sz w:val="18"/>
                <w:szCs w:val="18"/>
                <w:color w:val="auto"/>
              </w:rPr>
              <w:t>March 1, 2006</w:t>
            </w:r>
          </w:p>
        </w:tc>
      </w:tr>
      <w:tr>
        <w:trPr>
          <w:trHeight w:val="216"/>
        </w:trPr>
        <w:tc>
          <w:tcPr>
            <w:tcW w:w="5040" w:type="dxa"/>
            <w:vAlign w:val="bottom"/>
            <w:gridSpan w:val="5"/>
          </w:tcPr>
          <w:p>
            <w:pPr>
              <w:spacing w:after="0"/>
              <w:rPr>
                <w:sz w:val="20"/>
                <w:szCs w:val="20"/>
                <w:color w:val="auto"/>
              </w:rPr>
            </w:pPr>
            <w:r>
              <w:rPr>
                <w:rFonts w:ascii="Arial" w:cs="Arial" w:eastAsia="Arial" w:hAnsi="Arial"/>
                <w:sz w:val="18"/>
                <w:szCs w:val="18"/>
                <w:color w:val="auto"/>
              </w:rPr>
              <w:t>——————————————</w:t>
            </w:r>
          </w:p>
        </w:tc>
        <w:tc>
          <w:tcPr>
            <w:tcW w:w="6380" w:type="dxa"/>
            <w:vAlign w:val="bottom"/>
          </w:tcPr>
          <w:p>
            <w:pPr>
              <w:spacing w:after="0"/>
              <w:rPr>
                <w:sz w:val="18"/>
                <w:szCs w:val="18"/>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rPr>
              <w:t>Dr. Eli Harari</w:t>
            </w:r>
          </w:p>
        </w:tc>
        <w:tc>
          <w:tcPr>
            <w:tcW w:w="1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918"/>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7</w:t>
            </w:r>
          </w:p>
        </w:tc>
      </w:tr>
      <w:tr>
        <w:trPr>
          <w:trHeight w:val="174"/>
        </w:trPr>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380" w:type="dxa"/>
            <w:vAlign w:val="bottom"/>
          </w:tcPr>
          <w:p>
            <w:pPr>
              <w:spacing w:after="0"/>
              <w:rPr>
                <w:sz w:val="15"/>
                <w:szCs w:val="15"/>
                <w:color w:val="auto"/>
              </w:rPr>
            </w:pPr>
          </w:p>
        </w:tc>
      </w:tr>
      <w:tr>
        <w:trPr>
          <w:trHeight w:val="61"/>
        </w:trPr>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r>
      <w:tr>
        <w:trPr>
          <w:trHeight w:val="313"/>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ind w:left="620"/>
              <w:spacing w:after="0"/>
              <w:rPr>
                <w:sz w:val="20"/>
                <w:szCs w:val="20"/>
                <w:color w:val="auto"/>
              </w:rPr>
            </w:pPr>
            <w:r>
              <w:rPr>
                <w:rFonts w:ascii="Arial" w:cs="Arial" w:eastAsia="Arial" w:hAnsi="Arial"/>
                <w:sz w:val="18"/>
                <w:szCs w:val="18"/>
                <w:color w:val="auto"/>
              </w:rPr>
              <w:t>Director</w:t>
            </w:r>
          </w:p>
        </w:tc>
        <w:tc>
          <w:tcPr>
            <w:tcW w:w="6380" w:type="dxa"/>
            <w:vAlign w:val="bottom"/>
          </w:tcPr>
          <w:p>
            <w:pPr>
              <w:ind w:left="2500"/>
              <w:spacing w:after="0"/>
              <w:rPr>
                <w:sz w:val="20"/>
                <w:szCs w:val="20"/>
                <w:color w:val="auto"/>
              </w:rPr>
            </w:pPr>
            <w:r>
              <w:rPr>
                <w:rFonts w:ascii="Arial" w:cs="Arial" w:eastAsia="Arial" w:hAnsi="Arial"/>
                <w:sz w:val="18"/>
                <w:szCs w:val="18"/>
                <w:color w:val="auto"/>
              </w:rPr>
              <w:t>March 1, 2006</w:t>
            </w:r>
          </w:p>
        </w:tc>
      </w:tr>
      <w:tr>
        <w:trPr>
          <w:trHeight w:val="216"/>
        </w:trPr>
        <w:tc>
          <w:tcPr>
            <w:tcW w:w="5040" w:type="dxa"/>
            <w:vAlign w:val="bottom"/>
            <w:gridSpan w:val="5"/>
          </w:tcPr>
          <w:p>
            <w:pPr>
              <w:spacing w:after="0"/>
              <w:rPr>
                <w:sz w:val="20"/>
                <w:szCs w:val="20"/>
                <w:color w:val="auto"/>
              </w:rPr>
            </w:pPr>
            <w:r>
              <w:rPr>
                <w:rFonts w:ascii="Arial" w:cs="Arial" w:eastAsia="Arial" w:hAnsi="Arial"/>
                <w:sz w:val="18"/>
                <w:szCs w:val="18"/>
                <w:color w:val="auto"/>
              </w:rPr>
              <w:t>——————————————</w:t>
            </w:r>
          </w:p>
        </w:tc>
        <w:tc>
          <w:tcPr>
            <w:tcW w:w="6380" w:type="dxa"/>
            <w:vAlign w:val="bottom"/>
          </w:tcPr>
          <w:p>
            <w:pPr>
              <w:spacing w:after="0"/>
              <w:rPr>
                <w:sz w:val="18"/>
                <w:szCs w:val="18"/>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rPr>
              <w:t>Miin Wu</w:t>
            </w:r>
          </w:p>
        </w:tc>
        <w:tc>
          <w:tcPr>
            <w:tcW w:w="1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696"/>
        </w:trPr>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ind w:left="620"/>
              <w:spacing w:after="0"/>
              <w:rPr>
                <w:sz w:val="20"/>
                <w:szCs w:val="20"/>
                <w:color w:val="auto"/>
              </w:rPr>
            </w:pPr>
            <w:r>
              <w:rPr>
                <w:rFonts w:ascii="Arial" w:cs="Arial" w:eastAsia="Arial" w:hAnsi="Arial"/>
                <w:sz w:val="18"/>
                <w:szCs w:val="18"/>
                <w:color w:val="auto"/>
              </w:rPr>
              <w:t>Director</w:t>
            </w:r>
          </w:p>
        </w:tc>
        <w:tc>
          <w:tcPr>
            <w:tcW w:w="6380" w:type="dxa"/>
            <w:vAlign w:val="bottom"/>
          </w:tcPr>
          <w:p>
            <w:pPr>
              <w:ind w:left="2500"/>
              <w:spacing w:after="0"/>
              <w:rPr>
                <w:sz w:val="20"/>
                <w:szCs w:val="20"/>
                <w:color w:val="auto"/>
              </w:rPr>
            </w:pPr>
            <w:r>
              <w:rPr>
                <w:rFonts w:ascii="Arial" w:cs="Arial" w:eastAsia="Arial" w:hAnsi="Arial"/>
                <w:sz w:val="18"/>
                <w:szCs w:val="18"/>
                <w:color w:val="auto"/>
              </w:rPr>
              <w:t>March 1, 2006</w:t>
            </w:r>
          </w:p>
        </w:tc>
      </w:tr>
      <w:tr>
        <w:trPr>
          <w:trHeight w:val="216"/>
        </w:trPr>
        <w:tc>
          <w:tcPr>
            <w:tcW w:w="5040" w:type="dxa"/>
            <w:vAlign w:val="bottom"/>
            <w:gridSpan w:val="5"/>
          </w:tcPr>
          <w:p>
            <w:pPr>
              <w:spacing w:after="0"/>
              <w:rPr>
                <w:sz w:val="20"/>
                <w:szCs w:val="20"/>
                <w:color w:val="auto"/>
              </w:rPr>
            </w:pPr>
            <w:r>
              <w:rPr>
                <w:rFonts w:ascii="Arial" w:cs="Arial" w:eastAsia="Arial" w:hAnsi="Arial"/>
                <w:sz w:val="18"/>
                <w:szCs w:val="18"/>
                <w:color w:val="auto"/>
              </w:rPr>
              <w:t>——————————————</w:t>
            </w:r>
          </w:p>
        </w:tc>
        <w:tc>
          <w:tcPr>
            <w:tcW w:w="6380" w:type="dxa"/>
            <w:vAlign w:val="bottom"/>
          </w:tcPr>
          <w:p>
            <w:pPr>
              <w:spacing w:after="0"/>
              <w:rPr>
                <w:sz w:val="18"/>
                <w:szCs w:val="18"/>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rPr>
              <w:t>N.D. Reddy</w:t>
            </w:r>
          </w:p>
        </w:tc>
        <w:tc>
          <w:tcPr>
            <w:tcW w:w="1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696"/>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ind w:left="620"/>
              <w:spacing w:after="0"/>
              <w:rPr>
                <w:sz w:val="20"/>
                <w:szCs w:val="20"/>
                <w:color w:val="auto"/>
              </w:rPr>
            </w:pPr>
            <w:r>
              <w:rPr>
                <w:rFonts w:ascii="Arial" w:cs="Arial" w:eastAsia="Arial" w:hAnsi="Arial"/>
                <w:sz w:val="18"/>
                <w:szCs w:val="18"/>
                <w:color w:val="auto"/>
              </w:rPr>
              <w:t>Director</w:t>
            </w:r>
          </w:p>
        </w:tc>
        <w:tc>
          <w:tcPr>
            <w:tcW w:w="6380" w:type="dxa"/>
            <w:vAlign w:val="bottom"/>
          </w:tcPr>
          <w:p>
            <w:pPr>
              <w:ind w:left="2500"/>
              <w:spacing w:after="0"/>
              <w:rPr>
                <w:sz w:val="20"/>
                <w:szCs w:val="20"/>
                <w:color w:val="auto"/>
              </w:rPr>
            </w:pPr>
            <w:r>
              <w:rPr>
                <w:rFonts w:ascii="Arial" w:cs="Arial" w:eastAsia="Arial" w:hAnsi="Arial"/>
                <w:sz w:val="18"/>
                <w:szCs w:val="18"/>
                <w:color w:val="auto"/>
              </w:rPr>
              <w:t>March 1, 2006</w:t>
            </w:r>
          </w:p>
        </w:tc>
      </w:tr>
      <w:tr>
        <w:trPr>
          <w:trHeight w:val="216"/>
        </w:trPr>
        <w:tc>
          <w:tcPr>
            <w:tcW w:w="5040" w:type="dxa"/>
            <w:vAlign w:val="bottom"/>
            <w:gridSpan w:val="5"/>
          </w:tcPr>
          <w:p>
            <w:pPr>
              <w:spacing w:after="0"/>
              <w:rPr>
                <w:sz w:val="20"/>
                <w:szCs w:val="20"/>
                <w:color w:val="auto"/>
              </w:rPr>
            </w:pPr>
            <w:r>
              <w:rPr>
                <w:rFonts w:ascii="Arial" w:cs="Arial" w:eastAsia="Arial" w:hAnsi="Arial"/>
                <w:sz w:val="18"/>
                <w:szCs w:val="18"/>
                <w:color w:val="auto"/>
              </w:rPr>
              <w:t>——————————————</w:t>
            </w:r>
          </w:p>
        </w:tc>
        <w:tc>
          <w:tcPr>
            <w:tcW w:w="6380" w:type="dxa"/>
            <w:vAlign w:val="bottom"/>
          </w:tcPr>
          <w:p>
            <w:pPr>
              <w:spacing w:after="0"/>
              <w:rPr>
                <w:sz w:val="18"/>
                <w:szCs w:val="18"/>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rPr>
              <w:t>Tal Yaron-Eldar</w:t>
            </w:r>
          </w:p>
        </w:tc>
        <w:tc>
          <w:tcPr>
            <w:tcW w:w="1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696"/>
        </w:trPr>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ind w:left="620"/>
              <w:spacing w:after="0"/>
              <w:rPr>
                <w:sz w:val="20"/>
                <w:szCs w:val="20"/>
                <w:color w:val="auto"/>
              </w:rPr>
            </w:pPr>
            <w:r>
              <w:rPr>
                <w:rFonts w:ascii="Arial" w:cs="Arial" w:eastAsia="Arial" w:hAnsi="Arial"/>
                <w:sz w:val="18"/>
                <w:szCs w:val="18"/>
                <w:color w:val="auto"/>
              </w:rPr>
              <w:t>Director</w:t>
            </w:r>
          </w:p>
        </w:tc>
        <w:tc>
          <w:tcPr>
            <w:tcW w:w="6380" w:type="dxa"/>
            <w:vAlign w:val="bottom"/>
          </w:tcPr>
          <w:p>
            <w:pPr>
              <w:ind w:left="2500"/>
              <w:spacing w:after="0"/>
              <w:rPr>
                <w:sz w:val="20"/>
                <w:szCs w:val="20"/>
                <w:color w:val="auto"/>
              </w:rPr>
            </w:pPr>
            <w:r>
              <w:rPr>
                <w:rFonts w:ascii="Arial" w:cs="Arial" w:eastAsia="Arial" w:hAnsi="Arial"/>
                <w:sz w:val="18"/>
                <w:szCs w:val="18"/>
                <w:color w:val="auto"/>
              </w:rPr>
              <w:t>March 1, 2006</w:t>
            </w:r>
          </w:p>
        </w:tc>
      </w:tr>
      <w:tr>
        <w:trPr>
          <w:trHeight w:val="216"/>
        </w:trPr>
        <w:tc>
          <w:tcPr>
            <w:tcW w:w="5040" w:type="dxa"/>
            <w:vAlign w:val="bottom"/>
            <w:gridSpan w:val="5"/>
          </w:tcPr>
          <w:p>
            <w:pPr>
              <w:spacing w:after="0"/>
              <w:rPr>
                <w:sz w:val="20"/>
                <w:szCs w:val="20"/>
                <w:color w:val="auto"/>
              </w:rPr>
            </w:pPr>
            <w:r>
              <w:rPr>
                <w:rFonts w:ascii="Arial" w:cs="Arial" w:eastAsia="Arial" w:hAnsi="Arial"/>
                <w:sz w:val="18"/>
                <w:szCs w:val="18"/>
                <w:color w:val="auto"/>
              </w:rPr>
              <w:t>——————————————</w:t>
            </w:r>
          </w:p>
        </w:tc>
        <w:tc>
          <w:tcPr>
            <w:tcW w:w="6380" w:type="dxa"/>
            <w:vAlign w:val="bottom"/>
          </w:tcPr>
          <w:p>
            <w:pPr>
              <w:spacing w:after="0"/>
              <w:rPr>
                <w:sz w:val="18"/>
                <w:szCs w:val="18"/>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rPr>
              <w:t>Hans Rohrer</w:t>
            </w:r>
          </w:p>
        </w:tc>
        <w:tc>
          <w:tcPr>
            <w:tcW w:w="1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696"/>
        </w:trPr>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ind w:left="620"/>
              <w:spacing w:after="0"/>
              <w:rPr>
                <w:sz w:val="20"/>
                <w:szCs w:val="20"/>
                <w:color w:val="auto"/>
              </w:rPr>
            </w:pPr>
            <w:r>
              <w:rPr>
                <w:rFonts w:ascii="Arial" w:cs="Arial" w:eastAsia="Arial" w:hAnsi="Arial"/>
                <w:sz w:val="18"/>
                <w:szCs w:val="18"/>
                <w:color w:val="auto"/>
              </w:rPr>
              <w:t>Director</w:t>
            </w:r>
          </w:p>
        </w:tc>
        <w:tc>
          <w:tcPr>
            <w:tcW w:w="6380" w:type="dxa"/>
            <w:vAlign w:val="bottom"/>
          </w:tcPr>
          <w:p>
            <w:pPr>
              <w:ind w:left="2500"/>
              <w:spacing w:after="0"/>
              <w:rPr>
                <w:sz w:val="20"/>
                <w:szCs w:val="20"/>
                <w:color w:val="auto"/>
              </w:rPr>
            </w:pPr>
            <w:r>
              <w:rPr>
                <w:rFonts w:ascii="Arial" w:cs="Arial" w:eastAsia="Arial" w:hAnsi="Arial"/>
                <w:sz w:val="18"/>
                <w:szCs w:val="18"/>
                <w:color w:val="auto"/>
              </w:rPr>
              <w:t>March 1, 2006</w:t>
            </w:r>
          </w:p>
        </w:tc>
      </w:tr>
      <w:tr>
        <w:trPr>
          <w:trHeight w:val="216"/>
        </w:trPr>
        <w:tc>
          <w:tcPr>
            <w:tcW w:w="5040" w:type="dxa"/>
            <w:vAlign w:val="bottom"/>
            <w:gridSpan w:val="5"/>
          </w:tcPr>
          <w:p>
            <w:pPr>
              <w:spacing w:after="0"/>
              <w:rPr>
                <w:sz w:val="20"/>
                <w:szCs w:val="20"/>
                <w:color w:val="auto"/>
              </w:rPr>
            </w:pPr>
            <w:r>
              <w:rPr>
                <w:rFonts w:ascii="Arial" w:cs="Arial" w:eastAsia="Arial" w:hAnsi="Arial"/>
                <w:sz w:val="18"/>
                <w:szCs w:val="18"/>
                <w:color w:val="auto"/>
              </w:rPr>
              <w:t>——————————————</w:t>
            </w:r>
          </w:p>
        </w:tc>
        <w:tc>
          <w:tcPr>
            <w:tcW w:w="6380" w:type="dxa"/>
            <w:vAlign w:val="bottom"/>
          </w:tcPr>
          <w:p>
            <w:pPr>
              <w:spacing w:after="0"/>
              <w:rPr>
                <w:sz w:val="18"/>
                <w:szCs w:val="18"/>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w w:val="98"/>
              </w:rPr>
              <w:t>Kalman Kaufman</w:t>
            </w:r>
          </w:p>
        </w:tc>
        <w:tc>
          <w:tcPr>
            <w:tcW w:w="1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696"/>
        </w:trPr>
        <w:tc>
          <w:tcPr>
            <w:tcW w:w="5040" w:type="dxa"/>
            <w:vAlign w:val="bottom"/>
            <w:gridSpan w:val="5"/>
          </w:tcPr>
          <w:p>
            <w:pPr>
              <w:spacing w:after="0"/>
              <w:rPr>
                <w:sz w:val="20"/>
                <w:szCs w:val="20"/>
                <w:color w:val="auto"/>
              </w:rPr>
            </w:pPr>
            <w:r>
              <w:rPr>
                <w:rFonts w:ascii="Arial" w:cs="Arial" w:eastAsia="Arial" w:hAnsi="Arial"/>
                <w:sz w:val="18"/>
                <w:szCs w:val="18"/>
                <w:color w:val="auto"/>
              </w:rPr>
              <w:t>AUTHORIZED REPRESENTATIVE IN THE UNITED STATES</w:t>
            </w:r>
          </w:p>
        </w:tc>
        <w:tc>
          <w:tcPr>
            <w:tcW w:w="6380" w:type="dxa"/>
            <w:vAlign w:val="bottom"/>
          </w:tcPr>
          <w:p>
            <w:pPr>
              <w:ind w:left="2500"/>
              <w:spacing w:after="0"/>
              <w:rPr>
                <w:sz w:val="20"/>
                <w:szCs w:val="20"/>
                <w:color w:val="auto"/>
              </w:rPr>
            </w:pPr>
            <w:r>
              <w:rPr>
                <w:rFonts w:ascii="Arial" w:cs="Arial" w:eastAsia="Arial" w:hAnsi="Arial"/>
                <w:sz w:val="18"/>
                <w:szCs w:val="18"/>
                <w:color w:val="auto"/>
              </w:rPr>
              <w:t>March 1, 2006</w:t>
            </w:r>
          </w:p>
        </w:tc>
      </w:tr>
      <w:tr>
        <w:trPr>
          <w:trHeight w:val="222"/>
        </w:trPr>
        <w:tc>
          <w:tcPr>
            <w:tcW w:w="5040" w:type="dxa"/>
            <w:vAlign w:val="bottom"/>
            <w:gridSpan w:val="5"/>
          </w:tcPr>
          <w:p>
            <w:pPr>
              <w:spacing w:after="0"/>
              <w:rPr>
                <w:sz w:val="20"/>
                <w:szCs w:val="20"/>
                <w:color w:val="auto"/>
              </w:rPr>
            </w:pPr>
            <w:r>
              <w:rPr>
                <w:rFonts w:ascii="Arial" w:cs="Arial" w:eastAsia="Arial" w:hAnsi="Arial"/>
                <w:sz w:val="18"/>
                <w:szCs w:val="18"/>
                <w:color w:val="auto"/>
              </w:rPr>
              <w:t>Tower Semiconductor USA, Inc.</w:t>
            </w:r>
          </w:p>
        </w:tc>
        <w:tc>
          <w:tcPr>
            <w:tcW w:w="6380" w:type="dxa"/>
            <w:vAlign w:val="bottom"/>
          </w:tcPr>
          <w:p>
            <w:pPr>
              <w:spacing w:after="0"/>
              <w:rPr>
                <w:sz w:val="19"/>
                <w:szCs w:val="19"/>
                <w:color w:val="auto"/>
              </w:rPr>
            </w:pPr>
          </w:p>
        </w:tc>
      </w:tr>
      <w:tr>
        <w:trPr>
          <w:trHeight w:val="426"/>
        </w:trPr>
        <w:tc>
          <w:tcPr>
            <w:tcW w:w="5040" w:type="dxa"/>
            <w:vAlign w:val="bottom"/>
            <w:gridSpan w:val="5"/>
          </w:tcPr>
          <w:p>
            <w:pPr>
              <w:spacing w:after="0"/>
              <w:rPr>
                <w:sz w:val="20"/>
                <w:szCs w:val="20"/>
                <w:color w:val="auto"/>
              </w:rPr>
            </w:pPr>
            <w:r>
              <w:rPr>
                <w:rFonts w:ascii="Arial" w:cs="Arial" w:eastAsia="Arial" w:hAnsi="Arial"/>
                <w:sz w:val="18"/>
                <w:szCs w:val="18"/>
                <w:color w:val="auto"/>
              </w:rPr>
              <w:t>BY: /s/ Russell C. Ellwanger</w:t>
            </w:r>
          </w:p>
        </w:tc>
        <w:tc>
          <w:tcPr>
            <w:tcW w:w="6380" w:type="dxa"/>
            <w:vAlign w:val="bottom"/>
          </w:tcPr>
          <w:p>
            <w:pPr>
              <w:spacing w:after="0"/>
              <w:rPr>
                <w:sz w:val="24"/>
                <w:szCs w:val="24"/>
                <w:color w:val="auto"/>
              </w:rPr>
            </w:pPr>
          </w:p>
        </w:tc>
      </w:tr>
      <w:tr>
        <w:trPr>
          <w:trHeight w:val="216"/>
        </w:trPr>
        <w:tc>
          <w:tcPr>
            <w:tcW w:w="5040" w:type="dxa"/>
            <w:vAlign w:val="bottom"/>
            <w:gridSpan w:val="5"/>
          </w:tcPr>
          <w:p>
            <w:pPr>
              <w:spacing w:after="0"/>
              <w:rPr>
                <w:sz w:val="20"/>
                <w:szCs w:val="20"/>
                <w:color w:val="auto"/>
              </w:rPr>
            </w:pPr>
            <w:r>
              <w:rPr>
                <w:rFonts w:ascii="Arial" w:cs="Arial" w:eastAsia="Arial" w:hAnsi="Arial"/>
                <w:sz w:val="18"/>
                <w:szCs w:val="18"/>
                <w:color w:val="auto"/>
              </w:rPr>
              <w:t>——————————————</w:t>
            </w:r>
          </w:p>
        </w:tc>
        <w:tc>
          <w:tcPr>
            <w:tcW w:w="6380" w:type="dxa"/>
            <w:vAlign w:val="bottom"/>
          </w:tcPr>
          <w:p>
            <w:pPr>
              <w:spacing w:after="0"/>
              <w:rPr>
                <w:sz w:val="18"/>
                <w:szCs w:val="18"/>
                <w:color w:val="auto"/>
              </w:rPr>
            </w:pPr>
          </w:p>
        </w:tc>
      </w:tr>
      <w:tr>
        <w:trPr>
          <w:trHeight w:val="216"/>
        </w:trPr>
        <w:tc>
          <w:tcPr>
            <w:tcW w:w="5040" w:type="dxa"/>
            <w:vAlign w:val="bottom"/>
            <w:gridSpan w:val="5"/>
          </w:tcPr>
          <w:p>
            <w:pPr>
              <w:spacing w:after="0"/>
              <w:rPr>
                <w:sz w:val="20"/>
                <w:szCs w:val="20"/>
                <w:color w:val="auto"/>
              </w:rPr>
            </w:pPr>
            <w:r>
              <w:rPr>
                <w:rFonts w:ascii="Arial" w:cs="Arial" w:eastAsia="Arial" w:hAnsi="Arial"/>
                <w:sz w:val="18"/>
                <w:szCs w:val="18"/>
                <w:color w:val="auto"/>
              </w:rPr>
              <w:t>Russell C. Ellwanger</w:t>
            </w:r>
          </w:p>
        </w:tc>
        <w:tc>
          <w:tcPr>
            <w:tcW w:w="6380" w:type="dxa"/>
            <w:vAlign w:val="bottom"/>
          </w:tcPr>
          <w:p>
            <w:pPr>
              <w:spacing w:after="0"/>
              <w:rPr>
                <w:sz w:val="18"/>
                <w:szCs w:val="18"/>
                <w:color w:val="auto"/>
              </w:rPr>
            </w:pPr>
          </w:p>
        </w:tc>
      </w:tr>
      <w:tr>
        <w:trPr>
          <w:trHeight w:val="222"/>
        </w:trPr>
        <w:tc>
          <w:tcPr>
            <w:tcW w:w="5040" w:type="dxa"/>
            <w:vAlign w:val="bottom"/>
            <w:gridSpan w:val="5"/>
          </w:tcPr>
          <w:p>
            <w:pPr>
              <w:spacing w:after="0"/>
              <w:rPr>
                <w:sz w:val="20"/>
                <w:szCs w:val="20"/>
                <w:color w:val="auto"/>
              </w:rPr>
            </w:pPr>
            <w:r>
              <w:rPr>
                <w:rFonts w:ascii="Arial" w:cs="Arial" w:eastAsia="Arial" w:hAnsi="Arial"/>
                <w:sz w:val="18"/>
                <w:szCs w:val="18"/>
                <w:color w:val="auto"/>
              </w:rPr>
              <w:t>Chief Executive Officer</w:t>
            </w:r>
          </w:p>
        </w:tc>
        <w:tc>
          <w:tcPr>
            <w:tcW w:w="6380" w:type="dxa"/>
            <w:vAlign w:val="bottom"/>
          </w:tcPr>
          <w:p>
            <w:pPr>
              <w:spacing w:after="0"/>
              <w:rPr>
                <w:sz w:val="19"/>
                <w:szCs w:val="19"/>
                <w:color w:val="auto"/>
              </w:rPr>
            </w:pPr>
          </w:p>
        </w:tc>
      </w:tr>
      <w:tr>
        <w:trPr>
          <w:trHeight w:val="1101"/>
        </w:trPr>
        <w:tc>
          <w:tcPr>
            <w:tcW w:w="5040" w:type="dxa"/>
            <w:vAlign w:val="bottom"/>
            <w:gridSpan w:val="5"/>
          </w:tcPr>
          <w:p>
            <w:pPr>
              <w:spacing w:after="0"/>
              <w:rPr>
                <w:sz w:val="20"/>
                <w:szCs w:val="20"/>
                <w:color w:val="auto"/>
              </w:rPr>
            </w:pPr>
            <w:r>
              <w:rPr>
                <w:rFonts w:ascii="Arial" w:cs="Arial" w:eastAsia="Arial" w:hAnsi="Arial"/>
                <w:sz w:val="18"/>
                <w:szCs w:val="18"/>
                <w:color w:val="auto"/>
              </w:rPr>
              <w:t>*BY: /s/ Russell C. Elwanger</w:t>
            </w:r>
          </w:p>
        </w:tc>
        <w:tc>
          <w:tcPr>
            <w:tcW w:w="6380" w:type="dxa"/>
            <w:vAlign w:val="bottom"/>
          </w:tcPr>
          <w:p>
            <w:pPr>
              <w:spacing w:after="0"/>
              <w:rPr>
                <w:sz w:val="24"/>
                <w:szCs w:val="24"/>
                <w:color w:val="auto"/>
              </w:rPr>
            </w:pPr>
          </w:p>
        </w:tc>
      </w:tr>
      <w:tr>
        <w:trPr>
          <w:trHeight w:val="216"/>
        </w:trPr>
        <w:tc>
          <w:tcPr>
            <w:tcW w:w="5040" w:type="dxa"/>
            <w:vAlign w:val="bottom"/>
            <w:gridSpan w:val="5"/>
          </w:tcPr>
          <w:p>
            <w:pPr>
              <w:spacing w:after="0"/>
              <w:rPr>
                <w:sz w:val="20"/>
                <w:szCs w:val="20"/>
                <w:color w:val="auto"/>
              </w:rPr>
            </w:pPr>
            <w:r>
              <w:rPr>
                <w:rFonts w:ascii="Arial" w:cs="Arial" w:eastAsia="Arial" w:hAnsi="Arial"/>
                <w:sz w:val="18"/>
                <w:szCs w:val="18"/>
                <w:color w:val="auto"/>
              </w:rPr>
              <w:t>——————————————</w:t>
            </w:r>
          </w:p>
        </w:tc>
        <w:tc>
          <w:tcPr>
            <w:tcW w:w="6380" w:type="dxa"/>
            <w:vAlign w:val="bottom"/>
          </w:tcPr>
          <w:p>
            <w:pPr>
              <w:spacing w:after="0"/>
              <w:rPr>
                <w:sz w:val="18"/>
                <w:szCs w:val="18"/>
                <w:color w:val="auto"/>
              </w:rPr>
            </w:pPr>
          </w:p>
        </w:tc>
      </w:tr>
      <w:tr>
        <w:trPr>
          <w:trHeight w:val="216"/>
        </w:trPr>
        <w:tc>
          <w:tcPr>
            <w:tcW w:w="5040" w:type="dxa"/>
            <w:vAlign w:val="bottom"/>
            <w:gridSpan w:val="5"/>
          </w:tcPr>
          <w:p>
            <w:pPr>
              <w:spacing w:after="0"/>
              <w:rPr>
                <w:sz w:val="20"/>
                <w:szCs w:val="20"/>
                <w:color w:val="auto"/>
              </w:rPr>
            </w:pPr>
            <w:r>
              <w:rPr>
                <w:rFonts w:ascii="Arial" w:cs="Arial" w:eastAsia="Arial" w:hAnsi="Arial"/>
                <w:sz w:val="18"/>
                <w:szCs w:val="18"/>
                <w:color w:val="auto"/>
              </w:rPr>
              <w:t>Russell C. Elwanger</w:t>
            </w:r>
          </w:p>
        </w:tc>
        <w:tc>
          <w:tcPr>
            <w:tcW w:w="6380" w:type="dxa"/>
            <w:vAlign w:val="bottom"/>
          </w:tcPr>
          <w:p>
            <w:pPr>
              <w:spacing w:after="0"/>
              <w:rPr>
                <w:sz w:val="18"/>
                <w:szCs w:val="18"/>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w w:val="98"/>
              </w:rPr>
              <w:t>(Attorney in Fact)</w:t>
            </w:r>
          </w:p>
        </w:tc>
        <w:tc>
          <w:tcPr>
            <w:tcW w:w="1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675"/>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8</w:t>
            </w:r>
          </w:p>
        </w:tc>
      </w:tr>
      <w:tr>
        <w:trPr>
          <w:trHeight w:val="174"/>
        </w:trPr>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380" w:type="dxa"/>
            <w:vAlign w:val="bottom"/>
          </w:tcPr>
          <w:p>
            <w:pPr>
              <w:spacing w:after="0"/>
              <w:rPr>
                <w:sz w:val="15"/>
                <w:szCs w:val="15"/>
                <w:color w:val="auto"/>
              </w:rPr>
            </w:pPr>
          </w:p>
        </w:tc>
      </w:tr>
      <w:tr>
        <w:trPr>
          <w:trHeight w:val="61"/>
        </w:trPr>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r>
      <w:tr>
        <w:trPr>
          <w:trHeight w:val="427"/>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EXHIBIT INDEX</w:t>
            </w:r>
          </w:p>
        </w:tc>
      </w:tr>
      <w:tr>
        <w:trPr>
          <w:trHeight w:val="426"/>
        </w:trPr>
        <w:tc>
          <w:tcPr>
            <w:tcW w:w="200" w:type="dxa"/>
            <w:vAlign w:val="bottom"/>
          </w:tcPr>
          <w:p>
            <w:pPr>
              <w:spacing w:after="0"/>
              <w:rPr>
                <w:sz w:val="24"/>
                <w:szCs w:val="2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Exhibit</w:t>
            </w: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184"/>
        </w:trPr>
        <w:tc>
          <w:tcPr>
            <w:tcW w:w="200" w:type="dxa"/>
            <w:vAlign w:val="bottom"/>
          </w:tcPr>
          <w:p>
            <w:pPr>
              <w:spacing w:after="0"/>
              <w:rPr>
                <w:sz w:val="15"/>
                <w:szCs w:val="15"/>
                <w:color w:val="auto"/>
              </w:rPr>
            </w:pPr>
          </w:p>
        </w:tc>
        <w:tc>
          <w:tcPr>
            <w:tcW w:w="1180" w:type="dxa"/>
            <w:vAlign w:val="bottom"/>
            <w:gridSpan w:val="2"/>
          </w:tcPr>
          <w:p>
            <w:pPr>
              <w:jc w:val="center"/>
              <w:ind w:right="540"/>
              <w:spacing w:after="0" w:line="184" w:lineRule="exact"/>
              <w:rPr>
                <w:sz w:val="20"/>
                <w:szCs w:val="20"/>
                <w:color w:val="auto"/>
              </w:rPr>
            </w:pPr>
            <w:r>
              <w:rPr>
                <w:rFonts w:ascii="Arial" w:cs="Arial" w:eastAsia="Arial" w:hAnsi="Arial"/>
                <w:sz w:val="18"/>
                <w:szCs w:val="18"/>
                <w:color w:val="auto"/>
                <w:w w:val="87"/>
              </w:rPr>
              <w:t>Numbers</w:t>
            </w:r>
          </w:p>
        </w:tc>
        <w:tc>
          <w:tcPr>
            <w:tcW w:w="3660" w:type="dxa"/>
            <w:vAlign w:val="bottom"/>
            <w:gridSpan w:val="2"/>
          </w:tcPr>
          <w:p>
            <w:pPr>
              <w:spacing w:after="0" w:line="184" w:lineRule="exact"/>
              <w:rPr>
                <w:sz w:val="20"/>
                <w:szCs w:val="20"/>
                <w:color w:val="auto"/>
              </w:rPr>
            </w:pPr>
            <w:r>
              <w:rPr>
                <w:rFonts w:ascii="Arial" w:cs="Arial" w:eastAsia="Arial" w:hAnsi="Arial"/>
                <w:sz w:val="18"/>
                <w:szCs w:val="18"/>
                <w:color w:val="auto"/>
              </w:rPr>
              <w:t>Description of Document</w:t>
            </w:r>
          </w:p>
        </w:tc>
        <w:tc>
          <w:tcPr>
            <w:tcW w:w="638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478"/>
        </w:trPr>
        <w:tc>
          <w:tcPr>
            <w:tcW w:w="2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89"/>
              </w:rPr>
              <w:t>Articles of Association of the Issuer, as amended. *</w:t>
            </w:r>
          </w:p>
        </w:tc>
        <w:tc>
          <w:tcPr>
            <w:tcW w:w="6380" w:type="dxa"/>
            <w:vAlign w:val="bottom"/>
          </w:tcPr>
          <w:p>
            <w:pPr>
              <w:spacing w:after="0"/>
              <w:rPr>
                <w:sz w:val="24"/>
                <w:szCs w:val="24"/>
                <w:color w:val="auto"/>
              </w:rPr>
            </w:pPr>
          </w:p>
        </w:tc>
      </w:tr>
      <w:tr>
        <w:trPr>
          <w:trHeight w:val="459"/>
        </w:trPr>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4.2</w:t>
            </w:r>
          </w:p>
        </w:tc>
        <w:tc>
          <w:tcPr>
            <w:tcW w:w="5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Form of Indenture*</w:t>
            </w:r>
          </w:p>
        </w:tc>
        <w:tc>
          <w:tcPr>
            <w:tcW w:w="6380" w:type="dxa"/>
            <w:vAlign w:val="bottom"/>
          </w:tcPr>
          <w:p>
            <w:pPr>
              <w:spacing w:after="0"/>
              <w:rPr>
                <w:sz w:val="24"/>
                <w:szCs w:val="24"/>
                <w:color w:val="auto"/>
              </w:rPr>
            </w:pPr>
          </w:p>
        </w:tc>
      </w:tr>
      <w:tr>
        <w:trPr>
          <w:trHeight w:val="453"/>
        </w:trPr>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4.3</w:t>
            </w:r>
          </w:p>
        </w:tc>
        <w:tc>
          <w:tcPr>
            <w:tcW w:w="5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1"/>
              </w:rPr>
              <w:t>Eleventh Amendment, dated October 27, 2005, to the Facility Agreement among the Registrant, Bank Hapoalim B.M. and Bank Leumi Le-</w:t>
            </w:r>
          </w:p>
        </w:tc>
      </w:tr>
      <w:tr>
        <w:trPr>
          <w:trHeight w:val="222"/>
        </w:trPr>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Israel Ltd.*</w:t>
            </w:r>
          </w:p>
        </w:tc>
        <w:tc>
          <w:tcPr>
            <w:tcW w:w="6380" w:type="dxa"/>
            <w:vAlign w:val="bottom"/>
          </w:tcPr>
          <w:p>
            <w:pPr>
              <w:spacing w:after="0"/>
              <w:rPr>
                <w:sz w:val="19"/>
                <w:szCs w:val="19"/>
                <w:color w:val="auto"/>
              </w:rPr>
            </w:pPr>
          </w:p>
        </w:tc>
      </w:tr>
      <w:tr>
        <w:trPr>
          <w:trHeight w:val="453"/>
        </w:trPr>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4.4</w:t>
            </w:r>
          </w:p>
        </w:tc>
        <w:tc>
          <w:tcPr>
            <w:tcW w:w="5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1"/>
              </w:rPr>
              <w:t>Tenth Amendment, dated September 29,2005, to the Facility Agreement among the Registrant, Bank Hapoalim B.M. and Bank Leumi Le-</w:t>
            </w:r>
          </w:p>
        </w:tc>
      </w:tr>
      <w:tr>
        <w:trPr>
          <w:trHeight w:val="222"/>
        </w:trPr>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Israel Ltd. *</w:t>
            </w:r>
          </w:p>
        </w:tc>
        <w:tc>
          <w:tcPr>
            <w:tcW w:w="6380" w:type="dxa"/>
            <w:vAlign w:val="bottom"/>
          </w:tcPr>
          <w:p>
            <w:pPr>
              <w:spacing w:after="0"/>
              <w:rPr>
                <w:sz w:val="19"/>
                <w:szCs w:val="19"/>
                <w:color w:val="auto"/>
              </w:rPr>
            </w:pPr>
          </w:p>
        </w:tc>
      </w:tr>
      <w:tr>
        <w:trPr>
          <w:trHeight w:val="453"/>
        </w:trPr>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4.5</w:t>
            </w:r>
          </w:p>
        </w:tc>
        <w:tc>
          <w:tcPr>
            <w:tcW w:w="5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Ninth Amendment, dated July 24, 2005, to the Facility Agreement among the Registrant, Bank Hapoalim B.M. and Bank Leumi Le-Israel</w:t>
            </w:r>
          </w:p>
        </w:tc>
      </w:tr>
      <w:tr>
        <w:trPr>
          <w:trHeight w:val="222"/>
        </w:trPr>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Ltd.*</w:t>
            </w:r>
          </w:p>
        </w:tc>
        <w:tc>
          <w:tcPr>
            <w:tcW w:w="6380" w:type="dxa"/>
            <w:vAlign w:val="bottom"/>
          </w:tcPr>
          <w:p>
            <w:pPr>
              <w:spacing w:after="0"/>
              <w:rPr>
                <w:sz w:val="19"/>
                <w:szCs w:val="19"/>
                <w:color w:val="auto"/>
              </w:rPr>
            </w:pPr>
          </w:p>
        </w:tc>
      </w:tr>
    </w:tbl>
    <w:p>
      <w:pPr>
        <w:sectPr>
          <w:pgSz w:w="11900" w:h="16838" w:orient="portrait"/>
          <w:cols w:equalWidth="0" w:num="1">
            <w:col w:w="11420"/>
          </w:cols>
          <w:pgMar w:left="240" w:top="617" w:right="239" w:bottom="0" w:gutter="0" w:footer="0" w:header="0"/>
        </w:sectPr>
      </w:pPr>
    </w:p>
    <w:bookmarkStart w:id="34" w:name="page35"/>
    <w:bookmarkEnd w:id="34"/>
    <w:p>
      <w:pPr>
        <w:spacing w:after="0" w:line="1" w:lineRule="exact"/>
        <w:rPr>
          <w:sz w:val="20"/>
          <w:szCs w:val="20"/>
          <w:color w:val="auto"/>
        </w:rPr>
      </w:pPr>
    </w:p>
    <w:tbl>
      <w:tblPr>
        <w:tblLayout w:type="fixed"/>
        <w:tblInd w:w="372" w:type="dxa"/>
        <w:tblCellMar>
          <w:top w:w="0" w:type="dxa"/>
          <w:left w:w="0" w:type="dxa"/>
          <w:bottom w:w="0" w:type="dxa"/>
          <w:right w:w="0" w:type="dxa"/>
        </w:tblCellMar>
      </w:tblPr>
      <w:tr>
        <w:trPr>
          <w:trHeight w:val="216"/>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4.6</w:t>
            </w:r>
          </w:p>
        </w:tc>
        <w:tc>
          <w:tcPr>
            <w:tcW w:w="10240" w:type="dxa"/>
            <w:vAlign w:val="bottom"/>
          </w:tcPr>
          <w:p>
            <w:pPr>
              <w:ind w:left="340"/>
              <w:spacing w:after="0"/>
              <w:rPr>
                <w:sz w:val="20"/>
                <w:szCs w:val="20"/>
                <w:color w:val="auto"/>
              </w:rPr>
            </w:pPr>
            <w:r>
              <w:rPr>
                <w:rFonts w:ascii="Arial" w:cs="Arial" w:eastAsia="Arial" w:hAnsi="Arial"/>
                <w:sz w:val="18"/>
                <w:szCs w:val="18"/>
                <w:color w:val="auto"/>
                <w:w w:val="89"/>
              </w:rPr>
              <w:t>Twelfth Amendment, dated November 30, 2005, to the Facility Agreement among the Registrant, Bank Hapoalim B.M. and Bank Leumi Le-</w:t>
            </w:r>
          </w:p>
        </w:tc>
      </w:tr>
      <w:tr>
        <w:trPr>
          <w:trHeight w:val="222"/>
        </w:trPr>
        <w:tc>
          <w:tcPr>
            <w:tcW w:w="660" w:type="dxa"/>
            <w:vAlign w:val="bottom"/>
          </w:tcPr>
          <w:p>
            <w:pPr>
              <w:spacing w:after="0"/>
              <w:rPr>
                <w:sz w:val="19"/>
                <w:szCs w:val="19"/>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Israel Ltd.*</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5.1</w:t>
            </w:r>
          </w:p>
        </w:tc>
        <w:tc>
          <w:tcPr>
            <w:tcW w:w="10240" w:type="dxa"/>
            <w:vAlign w:val="bottom"/>
          </w:tcPr>
          <w:p>
            <w:pPr>
              <w:ind w:left="340"/>
              <w:spacing w:after="0"/>
              <w:rPr>
                <w:sz w:val="20"/>
                <w:szCs w:val="20"/>
                <w:color w:val="auto"/>
              </w:rPr>
            </w:pPr>
            <w:r>
              <w:rPr>
                <w:rFonts w:ascii="Arial" w:cs="Arial" w:eastAsia="Arial" w:hAnsi="Arial"/>
                <w:sz w:val="18"/>
                <w:szCs w:val="18"/>
                <w:color w:val="auto"/>
              </w:rPr>
              <w:t>Opinion of Yigal Arnon &amp; Co. **</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5.2</w:t>
            </w:r>
          </w:p>
        </w:tc>
        <w:tc>
          <w:tcPr>
            <w:tcW w:w="10240" w:type="dxa"/>
            <w:vAlign w:val="bottom"/>
          </w:tcPr>
          <w:p>
            <w:pPr>
              <w:ind w:left="340"/>
              <w:spacing w:after="0"/>
              <w:rPr>
                <w:sz w:val="20"/>
                <w:szCs w:val="20"/>
                <w:color w:val="auto"/>
              </w:rPr>
            </w:pPr>
            <w:r>
              <w:rPr>
                <w:rFonts w:ascii="Arial" w:cs="Arial" w:eastAsia="Arial" w:hAnsi="Arial"/>
                <w:sz w:val="18"/>
                <w:szCs w:val="18"/>
                <w:color w:val="auto"/>
              </w:rPr>
              <w:t>Opinion of Eilenberg &amp; Krause LLP **</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12.1</w:t>
            </w:r>
          </w:p>
        </w:tc>
        <w:tc>
          <w:tcPr>
            <w:tcW w:w="10240" w:type="dxa"/>
            <w:vAlign w:val="bottom"/>
          </w:tcPr>
          <w:p>
            <w:pPr>
              <w:ind w:left="34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23.1</w:t>
            </w:r>
          </w:p>
        </w:tc>
        <w:tc>
          <w:tcPr>
            <w:tcW w:w="10240" w:type="dxa"/>
            <w:vAlign w:val="bottom"/>
          </w:tcPr>
          <w:p>
            <w:pPr>
              <w:ind w:left="340"/>
              <w:spacing w:after="0"/>
              <w:rPr>
                <w:sz w:val="20"/>
                <w:szCs w:val="20"/>
                <w:color w:val="auto"/>
              </w:rPr>
            </w:pPr>
            <w:r>
              <w:rPr>
                <w:rFonts w:ascii="Arial" w:cs="Arial" w:eastAsia="Arial" w:hAnsi="Arial"/>
                <w:sz w:val="18"/>
                <w:szCs w:val="18"/>
                <w:color w:val="auto"/>
              </w:rPr>
              <w:t>Consent of Yigal Arnon &amp; Co. (contained in their opinion constituting Exhibit 5.1) **</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23.2</w:t>
            </w:r>
          </w:p>
        </w:tc>
        <w:tc>
          <w:tcPr>
            <w:tcW w:w="10240" w:type="dxa"/>
            <w:vAlign w:val="bottom"/>
          </w:tcPr>
          <w:p>
            <w:pPr>
              <w:ind w:left="340"/>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23.3</w:t>
            </w:r>
          </w:p>
        </w:tc>
        <w:tc>
          <w:tcPr>
            <w:tcW w:w="10240" w:type="dxa"/>
            <w:vAlign w:val="bottom"/>
          </w:tcPr>
          <w:p>
            <w:pPr>
              <w:ind w:left="340"/>
              <w:spacing w:after="0"/>
              <w:rPr>
                <w:sz w:val="20"/>
                <w:szCs w:val="20"/>
                <w:color w:val="auto"/>
              </w:rPr>
            </w:pPr>
            <w:r>
              <w:rPr>
                <w:rFonts w:ascii="Arial" w:cs="Arial" w:eastAsia="Arial" w:hAnsi="Arial"/>
                <w:sz w:val="18"/>
                <w:szCs w:val="18"/>
                <w:color w:val="auto"/>
              </w:rPr>
              <w:t>Consent of Eilenberg &amp; Krause (contained in their opinion constituting Exhibit 5.2) **</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24.1</w:t>
            </w:r>
          </w:p>
        </w:tc>
        <w:tc>
          <w:tcPr>
            <w:tcW w:w="10240" w:type="dxa"/>
            <w:vAlign w:val="bottom"/>
          </w:tcPr>
          <w:p>
            <w:pPr>
              <w:ind w:left="340"/>
              <w:spacing w:after="0"/>
              <w:rPr>
                <w:sz w:val="20"/>
                <w:szCs w:val="20"/>
                <w:color w:val="auto"/>
              </w:rPr>
            </w:pPr>
            <w:r>
              <w:rPr>
                <w:rFonts w:ascii="Arial" w:cs="Arial" w:eastAsia="Arial" w:hAnsi="Arial"/>
                <w:sz w:val="18"/>
                <w:szCs w:val="18"/>
                <w:color w:val="auto"/>
              </w:rPr>
              <w:t>Power of Attorney (set forth on signature page) **</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25.1</w:t>
            </w:r>
          </w:p>
        </w:tc>
        <w:tc>
          <w:tcPr>
            <w:tcW w:w="10240" w:type="dxa"/>
            <w:vAlign w:val="bottom"/>
          </w:tcPr>
          <w:p>
            <w:pPr>
              <w:ind w:left="340"/>
              <w:spacing w:after="0"/>
              <w:rPr>
                <w:sz w:val="20"/>
                <w:szCs w:val="20"/>
                <w:color w:val="auto"/>
              </w:rPr>
            </w:pPr>
            <w:r>
              <w:rPr>
                <w:rFonts w:ascii="Arial" w:cs="Arial" w:eastAsia="Arial" w:hAnsi="Arial"/>
                <w:sz w:val="18"/>
                <w:szCs w:val="18"/>
                <w:color w:val="auto"/>
              </w:rPr>
              <w:t>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1106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8" w:right="1260" w:firstLine="8"/>
        <w:spacing w:after="0" w:line="268" w:lineRule="auto"/>
        <w:tabs>
          <w:tab w:leader="none" w:pos="124"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the like numbered exhibit filed with the Registrant’s Registration Statement on Form F-1, File No. 333-126909. ** Previously filed</w:t>
      </w:r>
    </w:p>
    <w:p>
      <w:pPr>
        <w:spacing w:after="0" w:line="186"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6964045</wp:posOffset>
            </wp:positionV>
            <wp:extent cx="726757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272"/>
          </w:cols>
          <w:pgMar w:left="248" w:top="131"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12.1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 of earnings to fixed charges in accordance with Israeli GAAP for the periods presented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14"/>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9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40" w:type="dxa"/>
            <w:vAlign w:val="bottom"/>
            <w:gridSpan w:val="3"/>
          </w:tcPr>
          <w:p>
            <w:pPr>
              <w:spacing w:after="0"/>
              <w:rPr>
                <w:sz w:val="20"/>
                <w:szCs w:val="20"/>
                <w:color w:val="auto"/>
              </w:rPr>
            </w:pPr>
            <w:r>
              <w:rPr>
                <w:rFonts w:ascii="Arial" w:cs="Arial" w:eastAsia="Arial" w:hAnsi="Arial"/>
                <w:sz w:val="18"/>
                <w:szCs w:val="18"/>
                <w:color w:val="auto"/>
              </w:rPr>
              <w:t>Losses before income taxes</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(203,082)</w:t>
            </w: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(137,768)</w:t>
            </w:r>
          </w:p>
        </w:tc>
        <w:tc>
          <w:tcPr>
            <w:tcW w:w="1360" w:type="dxa"/>
            <w:vAlign w:val="bottom"/>
            <w:gridSpan w:val="4"/>
          </w:tcPr>
          <w:p>
            <w:pPr>
              <w:jc w:val="right"/>
              <w:ind w:right="380"/>
              <w:spacing w:after="0"/>
              <w:rPr>
                <w:sz w:val="20"/>
                <w:szCs w:val="20"/>
                <w:color w:val="auto"/>
              </w:rPr>
            </w:pPr>
            <w:r>
              <w:rPr>
                <w:rFonts w:ascii="Arial" w:cs="Arial" w:eastAsia="Arial" w:hAnsi="Arial"/>
                <w:sz w:val="18"/>
                <w:szCs w:val="18"/>
                <w:color w:val="auto"/>
              </w:rPr>
              <w:t>(114,261)</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(51,402)</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(38,522)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capitalized interest (a)</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4,206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40" w:type="dxa"/>
            <w:vAlign w:val="bottom"/>
            <w:gridSpan w:val="3"/>
          </w:tcPr>
          <w:p>
            <w:pPr>
              <w:spacing w:after="0"/>
              <w:rPr>
                <w:sz w:val="20"/>
                <w:szCs w:val="20"/>
                <w:color w:val="auto"/>
              </w:rPr>
            </w:pPr>
            <w:r>
              <w:rPr>
                <w:rFonts w:ascii="Arial" w:cs="Arial" w:eastAsia="Arial" w:hAnsi="Arial"/>
                <w:sz w:val="18"/>
                <w:szCs w:val="18"/>
                <w:color w:val="auto"/>
              </w:rPr>
              <w:t>Interest capitalized (d)</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(2,793)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8"/>
                <w:szCs w:val="18"/>
                <w:color w:val="auto"/>
              </w:rPr>
              <w:t>(14,042)</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(12,300)</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(10,994)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(201,669)</w:t>
            </w:r>
          </w:p>
        </w:tc>
        <w:tc>
          <w:tcPr>
            <w:tcW w:w="14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(134,211)</w:t>
            </w:r>
          </w:p>
        </w:tc>
        <w:tc>
          <w:tcPr>
            <w:tcW w:w="13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(127,349)</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(63,702)</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(49,516)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2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Fixed Charges :</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expenses related</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indebtedness (b)</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4840" w:type="dxa"/>
            <w:vAlign w:val="bottom"/>
            <w:gridSpan w:val="3"/>
          </w:tcPr>
          <w:p>
            <w:pPr>
              <w:spacing w:after="0"/>
              <w:rPr>
                <w:sz w:val="20"/>
                <w:szCs w:val="20"/>
                <w:color w:val="auto"/>
              </w:rPr>
            </w:pPr>
            <w:r>
              <w:rPr>
                <w:rFonts w:ascii="Arial" w:cs="Arial" w:eastAsia="Arial" w:hAnsi="Arial"/>
                <w:sz w:val="18"/>
                <w:szCs w:val="18"/>
                <w:color w:val="auto"/>
              </w:rPr>
              <w:t>Interest expenses (c)</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32,362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26,582</w:t>
            </w:r>
          </w:p>
        </w:tc>
        <w:tc>
          <w:tcPr>
            <w:tcW w:w="4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7,891</w:t>
            </w:r>
          </w:p>
        </w:tc>
        <w:tc>
          <w:tcPr>
            <w:tcW w:w="440" w:type="dxa"/>
            <w:vAlign w:val="bottom"/>
          </w:tcPr>
          <w:p>
            <w:pPr>
              <w:spacing w:after="0"/>
              <w:rPr>
                <w:sz w:val="24"/>
                <w:szCs w:val="2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708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1,568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capitalized (d)</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2,793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12,300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2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840" w:type="dxa"/>
            <w:vAlign w:val="bottom"/>
            <w:gridSpan w:val="3"/>
          </w:tcPr>
          <w:p>
            <w:pPr>
              <w:spacing w:after="0"/>
              <w:rPr>
                <w:sz w:val="20"/>
                <w:szCs w:val="20"/>
                <w:color w:val="auto"/>
              </w:rPr>
            </w:pPr>
            <w:r>
              <w:rPr>
                <w:rFonts w:ascii="Arial" w:cs="Arial" w:eastAsia="Arial" w:hAnsi="Arial"/>
                <w:sz w:val="18"/>
                <w:szCs w:val="18"/>
                <w:color w:val="auto"/>
              </w:rPr>
              <w:t>Total Fixed Charges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35,678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27,106</w:t>
            </w:r>
          </w:p>
        </w:tc>
        <w:tc>
          <w:tcPr>
            <w:tcW w:w="4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22,204</w:t>
            </w:r>
          </w:p>
        </w:tc>
        <w:tc>
          <w:tcPr>
            <w:tcW w:w="440" w:type="dxa"/>
            <w:vAlign w:val="bottom"/>
          </w:tcPr>
          <w:p>
            <w:pPr>
              <w:spacing w:after="0"/>
              <w:rPr>
                <w:sz w:val="24"/>
                <w:szCs w:val="2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13,008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12,562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4"/>
        </w:trPr>
        <w:tc>
          <w:tcPr>
            <w:tcW w:w="20" w:type="dxa"/>
            <w:vAlign w:val="bottom"/>
            <w:vMerge w:val="restart"/>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 as adjusted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(165,991)</w:t>
            </w:r>
          </w:p>
        </w:tc>
        <w:tc>
          <w:tcPr>
            <w:tcW w:w="14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(107,105)</w:t>
            </w:r>
          </w:p>
        </w:tc>
        <w:tc>
          <w:tcPr>
            <w:tcW w:w="13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(105,145)</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(50,694)</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(36,954)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(3)</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$201.7 million in 2005.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$134.2 million in 2004.</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$127.3 million in 2003.</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$63.7 million in 2002.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$49.5 million in 2001.</w:t>
      </w:r>
    </w:p>
    <w:p>
      <w:pPr>
        <w:spacing w:after="0" w:line="225" w:lineRule="exact"/>
        <w:rPr>
          <w:sz w:val="20"/>
          <w:szCs w:val="20"/>
          <w:color w:val="auto"/>
        </w:rPr>
      </w:pPr>
    </w:p>
    <w:p>
      <w:pPr>
        <w:ind w:left="580" w:right="500" w:hanging="572"/>
        <w:spacing w:after="0" w:line="268"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amortization of deferred financing charges in connection with obtaining long-term bank loans which are comprised mainly of stock-based compensation related to warrants issued to banks.</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amortization of convertible debentures discount and deferred issuance expenses.</w:t>
      </w:r>
    </w:p>
    <w:p>
      <w:pPr>
        <w:spacing w:after="0" w:line="252"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mainly, the effective interest of long-term loans based on their terms and the effect of hedge agreements with knock-out and knock-in features and interest expenses in relation to convertible debentures.</w:t>
      </w:r>
    </w:p>
    <w:p>
      <w:pPr>
        <w:spacing w:after="0" w:line="212" w:lineRule="exact"/>
        <w:rPr>
          <w:rFonts w:ascii="Arial" w:cs="Arial" w:eastAsia="Arial" w:hAnsi="Arial"/>
          <w:sz w:val="18"/>
          <w:szCs w:val="18"/>
          <w:color w:val="auto"/>
        </w:rPr>
      </w:pPr>
    </w:p>
    <w:p>
      <w:pPr>
        <w:ind w:left="580" w:right="240" w:hanging="572"/>
        <w:spacing w:after="0" w:line="259"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mainly, the effective capitalized interest of long-term loans based on their terms and the effect of hedge agreements with a knock-out feature, capitalized interest in relation to convertible debentures and deferred financing charges in connection with obtaining long-term bank loans which are comprised mainly of stock-based compensation related to warrants issued to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1790065</wp:posOffset>
            </wp:positionV>
            <wp:extent cx="726757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consent to the incorporation by reference in this Amendment No. 1 to the Registration Statement on Form F-3 (No. 333-131315) of (i) our report dated February 3, 2005 (May 30, 2005 as for Note 20), relating to the financial statements of Tower Semiconductor Ltd. appearing in the Annual Report on Form 20-F of Tower Semiconductor Ltd. for the year ended December 31, 2004, and (ii) our report dated February 1, 2006, relating to the financial statements of Tower Semiconductor Ltd. for the year ended December 31, 2005 appearing in the Report on Form 6-K of Tower Semiconductor Ltd. filed on February 2, 2006. We also consent to the reference to us under the heading “Experts” in this Amendment No. 1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Brightman Almagor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7783195</wp:posOffset>
            </wp:positionV>
            <wp:extent cx="726757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EILENBERG &amp; KRAUSE LLP</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EAST 44TH STREET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(212) 986-9700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(212) 986-2399</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March 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Peggy A. Fisher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933" w:orient="portrait"/>
          <w:cols w:equalWidth="0" w:num="1">
            <w:col w:w="11420"/>
          </w:cols>
          <w:pgMar w:left="240" w:top="125" w:right="239"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to Registration Statement on Form F-3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 333-131315</w:t>
      </w:r>
    </w:p>
    <w:p>
      <w:pPr>
        <w:spacing w:after="0" w:line="200" w:lineRule="exact"/>
        <w:rPr>
          <w:sz w:val="20"/>
          <w:szCs w:val="20"/>
          <w:color w:val="auto"/>
        </w:rPr>
      </w:pPr>
    </w:p>
    <w:p>
      <w:pPr>
        <w:sectPr>
          <w:pgSz w:w="11900" w:h="16933" w:orient="portrait"/>
          <w:cols w:equalWidth="0" w:num="2">
            <w:col w:w="260" w:space="320"/>
            <w:col w:w="10840"/>
          </w:cols>
          <w:pgMar w:left="240" w:top="125" w:right="239" w:bottom="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Dear Ms. Fisher:</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This letter is submitted on behalf of Tower Semiconductor Ltd. (“Tower” or the “Company”), in response to the comments of the Staff of the Division of Corporation Finance of the Securities and Exchange Commission regarding the Registration Statement on Form F-3 (Registration No. 333-131315). With this letter, we are including a copy of Amendment No. 1 to the Registration Statement on Form F-3 as filed with the Securities and Exchange Commission on the date hereof. The enclosed amended document, which reflects Tower’s responses to the comments contained in your letter of February 10, 2006, as well as updated information, have been marked to show changes from the initial filing.</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numbered responses correlate to the numbers in your February 10, 2006 letter, and we have provided the text of the comments included in your letter for convenience purposes. All references to pages numbers refer to the unmarked copies of the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respond to the Staff’s comments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F-3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1160" w:right="200" w:hanging="571"/>
        <w:spacing w:after="0" w:line="268" w:lineRule="auto"/>
        <w:tabs>
          <w:tab w:leader="none" w:pos="11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 a view toward disclosure, please update as to the status of your discussions with the Investment Center and your efforts to comply with the conditions of the Israeli government grants.</w:t>
      </w:r>
    </w:p>
    <w:p>
      <w:pPr>
        <w:spacing w:after="0" w:line="200" w:lineRule="exact"/>
        <w:rPr>
          <w:rFonts w:ascii="Arial" w:cs="Arial" w:eastAsia="Arial" w:hAnsi="Arial"/>
          <w:sz w:val="18"/>
          <w:szCs w:val="18"/>
          <w:b w:val="1"/>
          <w:bCs w:val="1"/>
          <w:color w:val="auto"/>
        </w:rPr>
      </w:pPr>
    </w:p>
    <w:p>
      <w:pPr>
        <w:spacing w:after="0" w:line="350" w:lineRule="exact"/>
        <w:rPr>
          <w:rFonts w:ascii="Arial" w:cs="Arial" w:eastAsia="Arial" w:hAnsi="Arial"/>
          <w:sz w:val="18"/>
          <w:szCs w:val="18"/>
          <w:b w:val="1"/>
          <w:bCs w:val="1"/>
          <w:color w:val="auto"/>
        </w:rPr>
      </w:pPr>
    </w:p>
    <w:p>
      <w:pPr>
        <w:ind w:left="1160" w:right="380"/>
        <w:spacing w:after="0" w:line="305" w:lineRule="auto"/>
        <w:rPr>
          <w:rFonts w:ascii="Arial" w:cs="Arial" w:eastAsia="Arial" w:hAnsi="Arial"/>
          <w:sz w:val="18"/>
          <w:szCs w:val="18"/>
          <w:b w:val="1"/>
          <w:bCs w:val="1"/>
          <w:color w:val="auto"/>
        </w:rPr>
      </w:pPr>
      <w:r>
        <w:rPr>
          <w:rFonts w:ascii="Arial" w:cs="Arial" w:eastAsia="Arial" w:hAnsi="Arial"/>
          <w:sz w:val="15"/>
          <w:szCs w:val="15"/>
          <w:color w:val="auto"/>
        </w:rPr>
        <w:t>As per the disclosure in the risk factor “[i]f the Investment Center will not approve our request for a new expansion program…", at the Investment Center’s request, the Company submitted a revised business plan to the Investment Center for the period commencing January 1,</w:t>
      </w:r>
    </w:p>
    <w:p>
      <w:pPr>
        <w:ind w:left="11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2006 and is waiting for a response to its request for a new expansion program to commence as of January 1, 2006. The Company believes that the disclosure correctly reflects the current status of its discussions with the Investment Center and its efforts to comply with the conditions of the Israeli government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-796290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Securityholders, page 17</w:t>
      </w:r>
    </w:p>
    <w:p>
      <w:pPr>
        <w:spacing w:after="0" w:line="225" w:lineRule="exact"/>
        <w:rPr>
          <w:sz w:val="20"/>
          <w:szCs w:val="20"/>
          <w:color w:val="auto"/>
        </w:rPr>
      </w:pPr>
    </w:p>
    <w:p>
      <w:pPr>
        <w:ind w:left="1160" w:right="40" w:hanging="571"/>
        <w:spacing w:after="0" w:line="255" w:lineRule="auto"/>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disclosure in the first sentence on page 18 that certain selling shareholders may use this prospectus to “resell warrants” and the shares which may be issued upon their exercise. However, the Fee Table and the Exhibit 5.1 opinion make no reference to the registration of warrants. If you intend to register the resale of these warrants, please revise your disclosure throughout the filing accordingly and obtain a revised opinion that reflects the registration of the warrants. Also include a brief discussion of how these shareholders acquired these securities.</w:t>
      </w:r>
    </w:p>
    <w:p>
      <w:pPr>
        <w:spacing w:after="0" w:line="223" w:lineRule="exact"/>
        <w:rPr>
          <w:rFonts w:ascii="Arial" w:cs="Arial" w:eastAsia="Arial" w:hAnsi="Arial"/>
          <w:sz w:val="18"/>
          <w:szCs w:val="18"/>
          <w:b w:val="1"/>
          <w:bCs w:val="1"/>
          <w:color w:val="auto"/>
        </w:rPr>
      </w:pPr>
    </w:p>
    <w:p>
      <w:pPr>
        <w:ind w:left="1160" w:right="1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reference to use of the prospectus in connection with the sale of warrants was incorrect. The filing has been revised accordingly and reflects that shares underlying warrants are being registered. A brief discussion as to how the Company’s banks (Bank Leumi, Bank Hapoalim and its subsidiary Tarshish Hahzakot Vehashkaot Hapoalim Ltd.) acquired the warrants is provided in paragraphs three and four under the heading “Selling Securityholders – Beneficial Ownership and Other Information.” Other than for its banks, Tower is not registering any ordinary shares for issuance upon the exercise of warrants in this filing.</w:t>
      </w:r>
    </w:p>
    <w:p>
      <w:pPr>
        <w:spacing w:after="0" w:line="19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disclose your material relationships with each of the selling shareholders during the past three years.</w:t>
      </w:r>
    </w:p>
    <w:p>
      <w:pPr>
        <w:spacing w:after="0" w:line="252" w:lineRule="exact"/>
        <w:rPr>
          <w:rFonts w:ascii="Arial" w:cs="Arial" w:eastAsia="Arial" w:hAnsi="Arial"/>
          <w:sz w:val="18"/>
          <w:szCs w:val="18"/>
          <w:b w:val="1"/>
          <w:bCs w:val="1"/>
          <w:color w:val="auto"/>
        </w:rPr>
      </w:pPr>
    </w:p>
    <w:p>
      <w:pPr>
        <w:ind w:left="11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Other than with respect to Israel Corporation, Macronix, Alliance Semiconductor, SanDisk Corporation, Bank Hapoalim and Bank Leumi, the Company has had no material relationship with the selling securityholders during the past three years. With respect to the forenamed selling securityholders, the F-3 has been revised to provide cross references to the Company’s 20-F for 2004 and the notes to its 2005 financial statements attached as Exhibit 99.2 to Form 6-K filed on February 2, 2006, which describe the relationship between them and the Company and have been incorporated by reference into the F-3. For the convenience of the Staff, the references are to: Item 5. “Operating and Financial Review and Prospects – B. Liquidity and Capital Resources – Fab 2 Agreements” and Item 7. “Major Shareholders and Related Party Transactions – Major Shareholders” from the 20-F and to Notes 11 (A) (3)-(6) of the 2005 financial statements.</w:t>
      </w:r>
    </w:p>
    <w:p>
      <w:pPr>
        <w:sectPr>
          <w:pgSz w:w="11900" w:h="16933" w:orient="portrait"/>
          <w:cols w:equalWidth="0" w:num="1">
            <w:col w:w="11420"/>
          </w:cols>
          <w:pgMar w:left="240" w:top="125" w:right="239" w:bottom="0" w:gutter="0" w:footer="0" w:header="0"/>
          <w:type w:val="continuous"/>
        </w:sectPr>
      </w:pPr>
    </w:p>
    <w:bookmarkStart w:id="38" w:name="page39"/>
    <w:bookmarkEnd w:id="38"/>
    <w:p>
      <w:pPr>
        <w:ind w:left="1152" w:right="80" w:hanging="571"/>
        <w:spacing w:after="0" w:line="256" w:lineRule="auto"/>
        <w:tabs>
          <w:tab w:leader="none" w:pos="11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tell us whether any of the selling shareholders are broker-dealers or affiliates of a broker-dealer. Any selling shareholder who is a broker-dealer must be identified in the prospectus as an underwriter and is not eligible to rely on Rule 144 promulgated under the Securities Act. In addition, each selling shareholder who is an affiliate of a broker-dealer must be identified in the prospectus as an underwriter unless you disclose, if true, that:</w:t>
      </w:r>
    </w:p>
    <w:p>
      <w:pPr>
        <w:spacing w:after="0" w:line="200" w:lineRule="exact"/>
        <w:rPr>
          <w:rFonts w:ascii="Arial" w:cs="Arial" w:eastAsia="Arial" w:hAnsi="Arial"/>
          <w:sz w:val="18"/>
          <w:szCs w:val="18"/>
          <w:b w:val="1"/>
          <w:bCs w:val="1"/>
          <w:color w:val="auto"/>
        </w:rPr>
      </w:pPr>
    </w:p>
    <w:p>
      <w:pPr>
        <w:spacing w:after="0" w:line="361" w:lineRule="exact"/>
        <w:rPr>
          <w:rFonts w:ascii="Arial" w:cs="Arial" w:eastAsia="Arial" w:hAnsi="Arial"/>
          <w:sz w:val="18"/>
          <w:szCs w:val="18"/>
          <w:b w:val="1"/>
          <w:bCs w:val="1"/>
          <w:color w:val="auto"/>
        </w:rPr>
      </w:pPr>
    </w:p>
    <w:p>
      <w:pPr>
        <w:ind w:left="1152"/>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5"/>
          <w:szCs w:val="15"/>
          <w:b w:val="1"/>
          <w:bCs w:val="1"/>
          <w:i w:val="1"/>
          <w:iCs w:val="1"/>
          <w:color w:val="auto"/>
        </w:rPr>
        <w:t>The Selling shareholder purchased the shares being registered for resale in the ordinary course of business, and</w:t>
      </w:r>
    </w:p>
    <w:p>
      <w:pPr>
        <w:spacing w:after="0" w:line="252" w:lineRule="exact"/>
        <w:rPr>
          <w:rFonts w:ascii="Arial" w:cs="Arial" w:eastAsia="Arial" w:hAnsi="Arial"/>
          <w:sz w:val="18"/>
          <w:szCs w:val="18"/>
          <w:b w:val="1"/>
          <w:bCs w:val="1"/>
          <w:color w:val="auto"/>
        </w:rPr>
      </w:pPr>
    </w:p>
    <w:p>
      <w:pPr>
        <w:ind w:left="1712" w:right="180" w:hanging="567"/>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At the time of the purchase, the selling shareholder had no agreements or understandings, directly or indirectly, with any person to distribute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-683895</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93" w:lineRule="exact"/>
        <w:rPr>
          <w:sz w:val="20"/>
          <w:szCs w:val="20"/>
          <w:color w:val="auto"/>
        </w:rPr>
      </w:pPr>
    </w:p>
    <w:p>
      <w:pPr>
        <w:ind w:left="1152"/>
        <w:spacing w:after="0"/>
        <w:rPr>
          <w:sz w:val="20"/>
          <w:szCs w:val="20"/>
          <w:color w:val="auto"/>
        </w:rPr>
      </w:pPr>
      <w:r>
        <w:rPr>
          <w:rFonts w:ascii="Arial" w:cs="Arial" w:eastAsia="Arial" w:hAnsi="Arial"/>
          <w:sz w:val="18"/>
          <w:szCs w:val="18"/>
          <w:b w:val="1"/>
          <w:bCs w:val="1"/>
          <w:i w:val="1"/>
          <w:iCs w:val="1"/>
          <w:color w:val="auto"/>
        </w:rPr>
        <w:t>Please revise accordingly.</w:t>
      </w:r>
    </w:p>
    <w:p>
      <w:pPr>
        <w:spacing w:after="0" w:line="279" w:lineRule="exact"/>
        <w:rPr>
          <w:sz w:val="20"/>
          <w:szCs w:val="20"/>
          <w:color w:val="auto"/>
        </w:rPr>
      </w:pPr>
    </w:p>
    <w:p>
      <w:pPr>
        <w:ind w:left="1152" w:right="100"/>
        <w:spacing w:after="0" w:line="268" w:lineRule="auto"/>
        <w:rPr>
          <w:sz w:val="20"/>
          <w:szCs w:val="20"/>
          <w:color w:val="auto"/>
        </w:rPr>
      </w:pPr>
      <w:r>
        <w:rPr>
          <w:rFonts w:ascii="Arial" w:cs="Arial" w:eastAsia="Arial" w:hAnsi="Arial"/>
          <w:sz w:val="18"/>
          <w:szCs w:val="18"/>
          <w:color w:val="auto"/>
        </w:rPr>
        <w:t>We have obtained information from the selling securityholders regarding their affiliation with broker-dealers. Such information, where relevant, is included in the footnotes to the selling securityholders table.</w:t>
      </w:r>
    </w:p>
    <w:p>
      <w:pPr>
        <w:spacing w:after="0" w:line="213" w:lineRule="exact"/>
        <w:rPr>
          <w:sz w:val="20"/>
          <w:szCs w:val="20"/>
          <w:color w:val="auto"/>
        </w:rPr>
      </w:pPr>
    </w:p>
    <w:p>
      <w:pPr>
        <w:ind w:left="1152" w:hanging="571"/>
        <w:spacing w:after="0"/>
        <w:tabs>
          <w:tab w:leader="none" w:pos="11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identify the natural persons that beneficially own the securities held by the entities named in the table.</w:t>
      </w:r>
    </w:p>
    <w:p>
      <w:pPr>
        <w:spacing w:after="0" w:line="252" w:lineRule="exact"/>
        <w:rPr>
          <w:sz w:val="20"/>
          <w:szCs w:val="20"/>
          <w:color w:val="auto"/>
        </w:rPr>
      </w:pPr>
    </w:p>
    <w:p>
      <w:pPr>
        <w:ind w:left="1152"/>
        <w:spacing w:after="0" w:line="256" w:lineRule="auto"/>
        <w:rPr>
          <w:sz w:val="20"/>
          <w:szCs w:val="20"/>
          <w:color w:val="auto"/>
        </w:rPr>
      </w:pPr>
      <w:r>
        <w:rPr>
          <w:rFonts w:ascii="Arial" w:cs="Arial" w:eastAsia="Arial" w:hAnsi="Arial"/>
          <w:sz w:val="18"/>
          <w:szCs w:val="18"/>
          <w:color w:val="auto"/>
        </w:rPr>
        <w:t>In the footnotes to the securityholders table, we have provided information identifying the natural person that is the beneficial owner of the selling securityholder, where such selling securityholder is a private entity. In accordance with our understanding of the Staff’s position on this issue further to our discussions with the Staff, in those instances where the selling securityholder is a reporting person under the Exchange Act or an Israeli public company, we have so noted.</w:t>
      </w:r>
    </w:p>
    <w:p>
      <w:pPr>
        <w:spacing w:after="0" w:line="224" w:lineRule="exact"/>
        <w:rPr>
          <w:sz w:val="20"/>
          <w:szCs w:val="20"/>
          <w:color w:val="auto"/>
        </w:rPr>
      </w:pPr>
    </w:p>
    <w:p>
      <w:pPr>
        <w:ind w:left="572"/>
        <w:spacing w:after="0"/>
        <w:rPr>
          <w:sz w:val="20"/>
          <w:szCs w:val="20"/>
          <w:color w:val="auto"/>
        </w:rPr>
      </w:pPr>
      <w:r>
        <w:rPr>
          <w:rFonts w:ascii="Arial" w:cs="Arial" w:eastAsia="Arial" w:hAnsi="Arial"/>
          <w:sz w:val="18"/>
          <w:szCs w:val="18"/>
          <w:b w:val="1"/>
          <w:bCs w:val="1"/>
          <w:i w:val="1"/>
          <w:iCs w:val="1"/>
          <w:u w:val="single" w:color="auto"/>
          <w:color w:val="auto"/>
        </w:rPr>
        <w:t>Part II</w:t>
      </w:r>
    </w:p>
    <w:p>
      <w:pPr>
        <w:spacing w:after="0" w:line="279" w:lineRule="exact"/>
        <w:rPr>
          <w:sz w:val="20"/>
          <w:szCs w:val="20"/>
          <w:color w:val="auto"/>
        </w:rPr>
      </w:pPr>
    </w:p>
    <w:p>
      <w:pPr>
        <w:ind w:left="572"/>
        <w:spacing w:after="0"/>
        <w:tabs>
          <w:tab w:leader="none" w:pos="1372" w:val="left"/>
        </w:tabs>
        <w:rPr>
          <w:sz w:val="20"/>
          <w:szCs w:val="20"/>
          <w:color w:val="auto"/>
        </w:rPr>
      </w:pPr>
      <w:r>
        <w:rPr>
          <w:rFonts w:ascii="Arial" w:cs="Arial" w:eastAsia="Arial" w:hAnsi="Arial"/>
          <w:sz w:val="18"/>
          <w:szCs w:val="18"/>
          <w:b w:val="1"/>
          <w:bCs w:val="1"/>
          <w:i w:val="1"/>
          <w:iCs w:val="1"/>
          <w:u w:val="single" w:color="auto"/>
          <w:color w:val="auto"/>
        </w:rPr>
        <w:t>Item 10.</w:t>
      </w:r>
      <w:r>
        <w:rPr>
          <w:sz w:val="20"/>
          <w:szCs w:val="20"/>
          <w:color w:val="auto"/>
        </w:rPr>
        <w:tab/>
      </w:r>
      <w:r>
        <w:rPr>
          <w:rFonts w:ascii="Arial" w:cs="Arial" w:eastAsia="Arial" w:hAnsi="Arial"/>
          <w:sz w:val="15"/>
          <w:szCs w:val="15"/>
          <w:b w:val="1"/>
          <w:bCs w:val="1"/>
          <w:i w:val="1"/>
          <w:iCs w:val="1"/>
          <w:u w:val="single" w:color="auto"/>
          <w:color w:val="auto"/>
        </w:rPr>
        <w:t>Undertakings</w:t>
      </w:r>
    </w:p>
    <w:p>
      <w:pPr>
        <w:spacing w:after="0" w:line="279" w:lineRule="exact"/>
        <w:rPr>
          <w:sz w:val="20"/>
          <w:szCs w:val="20"/>
          <w:color w:val="auto"/>
        </w:rPr>
      </w:pPr>
    </w:p>
    <w:p>
      <w:pPr>
        <w:ind w:left="1152" w:hanging="571"/>
        <w:spacing w:after="0"/>
        <w:tabs>
          <w:tab w:leader="none" w:pos="11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include the undertaking set forth in Item 512(a) of Regulation S-B, as revised by Release 33-8591.</w:t>
      </w:r>
    </w:p>
    <w:p>
      <w:pPr>
        <w:spacing w:after="0" w:line="252" w:lineRule="exact"/>
        <w:rPr>
          <w:rFonts w:ascii="Arial" w:cs="Arial" w:eastAsia="Arial" w:hAnsi="Arial"/>
          <w:sz w:val="18"/>
          <w:szCs w:val="18"/>
          <w:b w:val="1"/>
          <w:bCs w:val="1"/>
          <w:color w:val="auto"/>
        </w:rPr>
      </w:pPr>
    </w:p>
    <w:p>
      <w:pPr>
        <w:ind w:left="1152"/>
        <w:spacing w:after="0"/>
        <w:rPr>
          <w:rFonts w:ascii="Arial" w:cs="Arial" w:eastAsia="Arial" w:hAnsi="Arial"/>
          <w:sz w:val="18"/>
          <w:szCs w:val="18"/>
          <w:b w:val="1"/>
          <w:bCs w:val="1"/>
          <w:color w:val="auto"/>
        </w:rPr>
      </w:pPr>
      <w:r>
        <w:rPr>
          <w:rFonts w:ascii="Arial" w:cs="Arial" w:eastAsia="Arial" w:hAnsi="Arial"/>
          <w:sz w:val="16"/>
          <w:szCs w:val="16"/>
          <w:color w:val="auto"/>
        </w:rPr>
        <w:t>We have revised the undertakings to include the undertakings provided by 512(a)(5) and 512(a)(6) in addition to those previously supplied.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266065</wp:posOffset>
            </wp:positionV>
            <wp:extent cx="11061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52"/>
        <w:spacing w:after="0"/>
        <w:rPr>
          <w:sz w:val="20"/>
          <w:szCs w:val="20"/>
          <w:color w:val="auto"/>
        </w:rPr>
      </w:pPr>
      <w:r>
        <w:rPr>
          <w:rFonts w:ascii="Arial" w:cs="Arial" w:eastAsia="Arial" w:hAnsi="Arial"/>
          <w:sz w:val="16"/>
          <w:szCs w:val="16"/>
          <w:color w:val="auto"/>
        </w:rPr>
        <w:t>If you have any questions, please feel free to call the undersigned at (212) 986-9700 (extension 17), or Ed Naum of this office (extension 28).</w:t>
      </w:r>
    </w:p>
    <w:p>
      <w:pPr>
        <w:spacing w:after="0" w:line="248"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 Sheldon Krause</w:t>
      </w:r>
    </w:p>
    <w:p>
      <w:pPr>
        <w:spacing w:after="0" w:line="1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Sheldon Krause</w:t>
      </w:r>
    </w:p>
    <w:p>
      <w:pPr>
        <w:spacing w:after="0" w:line="246" w:lineRule="exact"/>
        <w:rPr>
          <w:sz w:val="20"/>
          <w:szCs w:val="20"/>
          <w:color w:val="auto"/>
        </w:rPr>
      </w:pPr>
    </w:p>
    <w:p>
      <w:pPr>
        <w:ind w:left="812" w:right="9040" w:hanging="812"/>
        <w:spacing w:after="0" w:line="332" w:lineRule="auto"/>
        <w:tabs>
          <w:tab w:leader="none" w:pos="81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Adelaja K. Heyliger David Schapiro,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220345</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52"/>
      </w:cols>
      <w:pgMar w:left="248" w:top="3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emdash "/>
      <w:numFmt w:val="bullet"/>
      <w:start w:val="1"/>
    </w:lvl>
  </w:abstractNum>
  <w:abstractNum w:abstractNumId="1">
    <w:nsid w:val="77465F01"/>
    <w:multiLevelType w:val="hybridMultilevel"/>
    <w:lvl w:ilvl="0">
      <w:lvlJc w:val="left"/>
      <w:lvlText w:val="\emdash "/>
      <w:numFmt w:val="bullet"/>
      <w:start w:val="1"/>
    </w:lvl>
  </w:abstractNum>
  <w:abstractNum w:abstractNumId="2">
    <w:nsid w:val="7724C67E"/>
    <w:multiLevelType w:val="hybridMultilevel"/>
    <w:lvl w:ilvl="0">
      <w:lvlJc w:val="left"/>
      <w:lvlText w:val="\emdash "/>
      <w:numFmt w:val="bullet"/>
      <w:start w:val="1"/>
    </w:lvl>
  </w:abstractNum>
  <w:abstractNum w:abstractNumId="3">
    <w:nsid w:val="5C482A97"/>
    <w:multiLevelType w:val="hybridMultilevel"/>
    <w:lvl w:ilvl="0">
      <w:lvlJc w:val="left"/>
      <w:lvlText w:val="\emdash "/>
      <w:numFmt w:val="bullet"/>
      <w:start w:val="1"/>
    </w:lvl>
  </w:abstractNum>
  <w:abstractNum w:abstractNumId="4">
    <w:nsid w:val="2463B9EA"/>
    <w:multiLevelType w:val="hybridMultilevel"/>
    <w:lvl w:ilvl="0">
      <w:lvlJc w:val="left"/>
      <w:lvlText w:val="\emdash "/>
      <w:numFmt w:val="bullet"/>
      <w:start w:val="1"/>
    </w:lvl>
  </w:abstractNum>
  <w:abstractNum w:abstractNumId="5">
    <w:nsid w:val="5E884ADC"/>
    <w:multiLevelType w:val="hybridMultilevel"/>
    <w:lvl w:ilvl="0">
      <w:lvlJc w:val="left"/>
      <w:lvlText w:val="\emdash "/>
      <w:numFmt w:val="bullet"/>
      <w:start w:val="1"/>
    </w:lvl>
  </w:abstractNum>
  <w:abstractNum w:abstractNumId="6">
    <w:nsid w:val="51EAD36B"/>
    <w:multiLevelType w:val="hybridMultilevel"/>
    <w:lvl w:ilvl="0">
      <w:lvlJc w:val="left"/>
      <w:lvlText w:val="\emdash "/>
      <w:numFmt w:val="bullet"/>
      <w:start w:val="1"/>
    </w:lvl>
  </w:abstractNum>
  <w:abstractNum w:abstractNumId="7">
    <w:nsid w:val="2D517796"/>
    <w:multiLevelType w:val="hybridMultilevel"/>
    <w:lvl w:ilvl="0">
      <w:lvlJc w:val="left"/>
      <w:lvlText w:val="\emdash "/>
      <w:numFmt w:val="bullet"/>
      <w:start w:val="1"/>
    </w:lvl>
  </w:abstractNum>
  <w:abstractNum w:abstractNumId="8">
    <w:nsid w:val="580BD78F"/>
    <w:multiLevelType w:val="hybridMultilevel"/>
    <w:lvl w:ilvl="0">
      <w:lvlJc w:val="left"/>
      <w:lvlText w:val="\emdash "/>
      <w:numFmt w:val="bullet"/>
      <w:start w:val="1"/>
    </w:lvl>
  </w:abstractNum>
  <w:abstractNum w:abstractNumId="9">
    <w:nsid w:val="153EA438"/>
    <w:multiLevelType w:val="hybridMultilevel"/>
    <w:lvl w:ilvl="0">
      <w:lvlJc w:val="left"/>
      <w:lvlText w:val="\emdash "/>
      <w:numFmt w:val="bullet"/>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1)"/>
      <w:numFmt w:val="lowerRoman"/>
      <w:start w:val="1"/>
    </w:lvl>
  </w:abstractNum>
  <w:abstractNum w:abstractNumId="14">
    <w:nsid w:val="1D4ED43B"/>
    <w:multiLevelType w:val="hybridMultilevel"/>
    <w:lvl w:ilvl="0">
      <w:lvlJc w:val="left"/>
      <w:lvlText w:val="(%1)"/>
      <w:numFmt w:val="lowerRoman"/>
      <w:start w:val="2"/>
    </w:lvl>
  </w:abstractNum>
  <w:abstractNum w:abstractNumId="15">
    <w:nsid w:val="725A06FB"/>
    <w:multiLevelType w:val="hybridMultilevel"/>
    <w:lvl w:ilvl="0">
      <w:lvlJc w:val="left"/>
      <w:lvlText w:val="(%1)"/>
      <w:numFmt w:val="lowerRoman"/>
      <w:start w:val="5"/>
    </w:lvl>
  </w:abstractNum>
  <w:abstractNum w:abstractNumId="16">
    <w:nsid w:val="2CD89A32"/>
    <w:multiLevelType w:val="hybridMultilevel"/>
    <w:lvl w:ilvl="0">
      <w:lvlJc w:val="left"/>
      <w:lvlText w:val="1"/>
      <w:numFmt w:val="bullet"/>
      <w:start w:val="1"/>
    </w:lvl>
  </w:abstractNum>
  <w:abstractNum w:abstractNumId="17">
    <w:nsid w:val="57E4CCAF"/>
    <w:multiLevelType w:val="hybridMultilevel"/>
    <w:lvl w:ilvl="0">
      <w:lvlJc w:val="left"/>
      <w:lvlText w:val="2"/>
      <w:numFmt w:val="bullet"/>
      <w:start w:val="1"/>
    </w:lvl>
  </w:abstractNum>
  <w:abstractNum w:abstractNumId="18">
    <w:nsid w:val="7A6D8D3C"/>
    <w:multiLevelType w:val="hybridMultilevel"/>
    <w:lvl w:ilvl="0">
      <w:lvlJc w:val="left"/>
      <w:lvlText w:val="3"/>
      <w:numFmt w:val="bullet"/>
      <w:start w:val="1"/>
    </w:lvl>
  </w:abstractNum>
  <w:abstractNum w:abstractNumId="19">
    <w:nsid w:val="4B588F54"/>
    <w:multiLevelType w:val="hybridMultilevel"/>
    <w:lvl w:ilvl="0">
      <w:lvlJc w:val="left"/>
      <w:lvlText w:val="4"/>
      <w:numFmt w:val="bullet"/>
      <w:start w:val="1"/>
    </w:lvl>
  </w:abstractNum>
  <w:abstractNum w:abstractNumId="20">
    <w:nsid w:val="542289EC"/>
    <w:multiLevelType w:val="hybridMultilevel"/>
    <w:lvl w:ilvl="0">
      <w:lvlJc w:val="left"/>
      <w:lvlText w:val="5"/>
      <w:numFmt w:val="bullet"/>
      <w:start w:val="1"/>
    </w:lvl>
  </w:abstractNum>
  <w:abstractNum w:abstractNumId="21">
    <w:nsid w:val="6DE91B18"/>
    <w:multiLevelType w:val="hybridMultilevel"/>
    <w:lvl w:ilvl="0">
      <w:lvlJc w:val="left"/>
      <w:lvlText w:val="6"/>
      <w:numFmt w:val="bullet"/>
      <w:start w:val="1"/>
    </w:lvl>
  </w:abstractNum>
  <w:abstractNum w:abstractNumId="22">
    <w:nsid w:val="38437FDB"/>
    <w:multiLevelType w:val="hybridMultilevel"/>
    <w:lvl w:ilvl="0">
      <w:lvlJc w:val="left"/>
      <w:lvlText w:val="7"/>
      <w:numFmt w:val="bullet"/>
      <w:start w:val="1"/>
    </w:lvl>
  </w:abstractNum>
  <w:abstractNum w:abstractNumId="23">
    <w:nsid w:val="7644A45C"/>
    <w:multiLevelType w:val="hybridMultilevel"/>
    <w:lvl w:ilvl="0">
      <w:lvlJc w:val="left"/>
      <w:lvlText w:val="8"/>
      <w:numFmt w:val="bullet"/>
      <w:start w:val="1"/>
    </w:lvl>
  </w:abstractNum>
  <w:abstractNum w:abstractNumId="24">
    <w:nsid w:val="32FFF902"/>
    <w:multiLevelType w:val="hybridMultilevel"/>
    <w:lvl w:ilvl="0">
      <w:lvlJc w:val="left"/>
      <w:lvlText w:val="9"/>
      <w:numFmt w:val="bullet"/>
      <w:start w:val="1"/>
    </w:lvl>
  </w:abstractNum>
  <w:abstractNum w:abstractNumId="25">
    <w:nsid w:val="684A481A"/>
    <w:multiLevelType w:val="hybridMultilevel"/>
    <w:lvl w:ilvl="0">
      <w:lvlJc w:val="left"/>
      <w:lvlText w:val="%1"/>
      <w:numFmt w:val="decimal"/>
      <w:start w:val="10"/>
    </w:lvl>
  </w:abstractNum>
  <w:abstractNum w:abstractNumId="26">
    <w:nsid w:val="579478FE"/>
    <w:multiLevelType w:val="hybridMultilevel"/>
    <w:lvl w:ilvl="0">
      <w:lvlJc w:val="left"/>
      <w:lvlText w:val="\emdash "/>
      <w:numFmt w:val="bullet"/>
      <w:start w:val="1"/>
    </w:lvl>
  </w:abstractNum>
  <w:abstractNum w:abstractNumId="27">
    <w:nsid w:val="749ABB43"/>
    <w:multiLevelType w:val="hybridMultilevel"/>
    <w:lvl w:ilvl="0">
      <w:lvlJc w:val="left"/>
      <w:lvlText w:val="\emdash "/>
      <w:numFmt w:val="bullet"/>
      <w:start w:val="1"/>
    </w:lvl>
  </w:abstractNum>
  <w:abstractNum w:abstractNumId="28">
    <w:nsid w:val="3DC240FB"/>
    <w:multiLevelType w:val="hybridMultilevel"/>
    <w:lvl w:ilvl="0">
      <w:lvlJc w:val="left"/>
      <w:lvlText w:val="\emdash "/>
      <w:numFmt w:val="bullet"/>
      <w:start w:val="1"/>
    </w:lvl>
  </w:abstractNum>
  <w:abstractNum w:abstractNumId="29">
    <w:nsid w:val="1BA026FA"/>
    <w:multiLevelType w:val="hybridMultilevel"/>
    <w:lvl w:ilvl="0">
      <w:lvlJc w:val="left"/>
      <w:lvlText w:val="\emdash "/>
      <w:numFmt w:val="bullet"/>
      <w:start w:val="1"/>
    </w:lvl>
  </w:abstractNum>
  <w:abstractNum w:abstractNumId="30">
    <w:nsid w:val="79A1DEAA"/>
    <w:multiLevelType w:val="hybridMultilevel"/>
    <w:lvl w:ilvl="0">
      <w:lvlJc w:val="left"/>
      <w:lvlText w:val="\emdash "/>
      <w:numFmt w:val="bullet"/>
      <w:start w:val="1"/>
    </w:lvl>
  </w:abstractNum>
  <w:abstractNum w:abstractNumId="31">
    <w:nsid w:val="75C6C33A"/>
    <w:multiLevelType w:val="hybridMultilevel"/>
    <w:lvl w:ilvl="0">
      <w:lvlJc w:val="left"/>
      <w:lvlText w:val="\emdash "/>
      <w:numFmt w:val="bullet"/>
      <w:start w:val="1"/>
    </w:lvl>
  </w:abstractNum>
  <w:abstractNum w:abstractNumId="32">
    <w:nsid w:val="12E685FB"/>
    <w:multiLevelType w:val="hybridMultilevel"/>
    <w:lvl w:ilvl="0">
      <w:lvlJc w:val="left"/>
      <w:lvlText w:val="\emdash "/>
      <w:numFmt w:val="bullet"/>
      <w:start w:val="1"/>
    </w:lvl>
  </w:abstractNum>
  <w:abstractNum w:abstractNumId="33">
    <w:nsid w:val="70C6A529"/>
    <w:multiLevelType w:val="hybridMultilevel"/>
    <w:lvl w:ilvl="0">
      <w:lvlJc w:val="left"/>
      <w:lvlText w:val="(%1)"/>
      <w:numFmt w:val="lowerRoman"/>
      <w:start w:val="1"/>
    </w:lvl>
  </w:abstractNum>
  <w:abstractNum w:abstractNumId="34">
    <w:nsid w:val="520EEDD1"/>
    <w:multiLevelType w:val="hybridMultilevel"/>
    <w:lvl w:ilvl="0">
      <w:lvlJc w:val="left"/>
      <w:lvlText w:val="(%1)"/>
      <w:numFmt w:val="lowerRoman"/>
      <w:start w:val="4"/>
    </w:lvl>
  </w:abstractNum>
  <w:abstractNum w:abstractNumId="35">
    <w:nsid w:val="374A3FE6"/>
    <w:multiLevelType w:val="hybridMultilevel"/>
    <w:lvl w:ilvl="0">
      <w:lvlJc w:val="left"/>
      <w:lvlText w:val="(%1)"/>
      <w:numFmt w:val="lowerRoman"/>
      <w:start w:val="6"/>
    </w:lvl>
    <w:lvl w:ilvl="1">
      <w:lvlJc w:val="left"/>
      <w:lvlText w:val="\emdash "/>
      <w:numFmt w:val="bullet"/>
      <w:start w:val="1"/>
    </w:lvl>
  </w:abstractNum>
  <w:abstractNum w:abstractNumId="36">
    <w:nsid w:val="4F4EF005"/>
    <w:multiLevelType w:val="hybridMultilevel"/>
    <w:lvl w:ilvl="0">
      <w:lvlJc w:val="left"/>
      <w:lvlText w:val="\emdash "/>
      <w:numFmt w:val="bullet"/>
      <w:start w:val="1"/>
    </w:lvl>
  </w:abstractNum>
  <w:abstractNum w:abstractNumId="37">
    <w:nsid w:val="23F9C13C"/>
    <w:multiLevelType w:val="hybridMultilevel"/>
    <w:lvl w:ilvl="0">
      <w:lvlJc w:val="left"/>
      <w:lvlText w:val="(%1)"/>
      <w:numFmt w:val="lowerRoman"/>
      <w:start w:val="14"/>
    </w:lvl>
    <w:lvl w:ilvl="1">
      <w:lvlJc w:val="left"/>
      <w:lvlText w:val="\emdash "/>
      <w:numFmt w:val="bullet"/>
      <w:start w:val="1"/>
    </w:lvl>
  </w:abstractNum>
  <w:abstractNum w:abstractNumId="38">
    <w:nsid w:val="649BB77C"/>
    <w:multiLevelType w:val="hybridMultilevel"/>
    <w:lvl w:ilvl="0">
      <w:lvlJc w:val="left"/>
      <w:lvlText w:val="(%1)"/>
      <w:numFmt w:val="lowerRoman"/>
      <w:start w:val="20"/>
    </w:lvl>
  </w:abstractNum>
  <w:abstractNum w:abstractNumId="39">
    <w:nsid w:val="275AC794"/>
    <w:multiLevelType w:val="hybridMultilevel"/>
    <w:lvl w:ilvl="0">
      <w:lvlJc w:val="left"/>
      <w:lvlText w:val="(%1)"/>
      <w:numFmt w:val="lowerRoman"/>
      <w:start w:val="25"/>
    </w:lvl>
  </w:abstractNum>
  <w:abstractNum w:abstractNumId="40">
    <w:nsid w:val="39386575"/>
    <w:multiLevelType w:val="hybridMultilevel"/>
    <w:lvl w:ilvl="0">
      <w:lvlJc w:val="left"/>
      <w:lvlText w:val="(%1)"/>
      <w:numFmt w:val="lowerRoman"/>
      <w:start w:val="32"/>
    </w:lvl>
    <w:lvl w:ilvl="1">
      <w:lvlJc w:val="left"/>
      <w:lvlText w:val="\emdash "/>
      <w:numFmt w:val="bullet"/>
      <w:start w:val="1"/>
    </w:lvl>
  </w:abstractNum>
  <w:abstractNum w:abstractNumId="41">
    <w:nsid w:val="1CF10FD8"/>
    <w:multiLevelType w:val="hybridMultilevel"/>
    <w:lvl w:ilvl="0">
      <w:lvlJc w:val="left"/>
      <w:lvlText w:val="\emdash "/>
      <w:numFmt w:val="bullet"/>
      <w:start w:val="1"/>
    </w:lvl>
  </w:abstractNum>
  <w:abstractNum w:abstractNumId="42">
    <w:nsid w:val="180115BE"/>
    <w:multiLevelType w:val="hybridMultilevel"/>
    <w:lvl w:ilvl="0">
      <w:lvlJc w:val="left"/>
      <w:lvlText w:val="\emdash "/>
      <w:numFmt w:val="bullet"/>
      <w:start w:val="1"/>
    </w:lvl>
  </w:abstractNum>
  <w:abstractNum w:abstractNumId="43">
    <w:nsid w:val="235BA861"/>
    <w:multiLevelType w:val="hybridMultilevel"/>
    <w:lvl w:ilvl="0">
      <w:lvlJc w:val="left"/>
      <w:lvlText w:val="\emdash "/>
      <w:numFmt w:val="bullet"/>
      <w:start w:val="1"/>
    </w:lvl>
  </w:abstractNum>
  <w:abstractNum w:abstractNumId="44">
    <w:nsid w:val="47398C89"/>
    <w:multiLevelType w:val="hybridMultilevel"/>
    <w:lvl w:ilvl="0">
      <w:lvlJc w:val="left"/>
      <w:lvlText w:val="%1."/>
      <w:numFmt w:val="upperLetter"/>
      <w:start w:val="1"/>
    </w:lvl>
  </w:abstractNum>
  <w:abstractNum w:abstractNumId="45">
    <w:nsid w:val="354FE9F9"/>
    <w:multiLevelType w:val="hybridMultilevel"/>
    <w:lvl w:ilvl="0">
      <w:lvlJc w:val="left"/>
      <w:lvlText w:val="%1."/>
      <w:numFmt w:val="upperLetter"/>
      <w:start w:val="2"/>
    </w:lvl>
  </w:abstractNum>
  <w:abstractNum w:abstractNumId="46">
    <w:nsid w:val="15B5AF5C"/>
    <w:multiLevelType w:val="hybridMultilevel"/>
    <w:lvl w:ilvl="0">
      <w:lvlJc w:val="left"/>
      <w:lvlText w:val="\emdash "/>
      <w:numFmt w:val="bullet"/>
      <w:start w:val="1"/>
    </w:lvl>
  </w:abstractNum>
  <w:abstractNum w:abstractNumId="47">
    <w:nsid w:val="741226BB"/>
    <w:multiLevelType w:val="hybridMultilevel"/>
    <w:lvl w:ilvl="0">
      <w:lvlJc w:val="left"/>
      <w:lvlText w:val="\emdash "/>
      <w:numFmt w:val="bullet"/>
      <w:start w:val="1"/>
    </w:lvl>
  </w:abstractNum>
  <w:abstractNum w:abstractNumId="48">
    <w:nsid w:val="D34B6A8"/>
    <w:multiLevelType w:val="hybridMultilevel"/>
    <w:lvl w:ilvl="0">
      <w:lvlJc w:val="left"/>
      <w:lvlText w:val="\emdash "/>
      <w:numFmt w:val="bullet"/>
      <w:start w:val="1"/>
    </w:lvl>
  </w:abstractNum>
  <w:abstractNum w:abstractNumId="49">
    <w:nsid w:val="10233C99"/>
    <w:multiLevelType w:val="hybridMultilevel"/>
    <w:lvl w:ilvl="0">
      <w:lvlJc w:val="left"/>
      <w:lvlText w:val="\emdash "/>
      <w:numFmt w:val="bullet"/>
      <w:start w:val="1"/>
    </w:lvl>
  </w:abstractNum>
  <w:abstractNum w:abstractNumId="50">
    <w:nsid w:val="3F6AB60F"/>
    <w:multiLevelType w:val="hybridMultilevel"/>
    <w:lvl w:ilvl="0">
      <w:lvlJc w:val="left"/>
      <w:lvlText w:val="\emdash "/>
      <w:numFmt w:val="bullet"/>
      <w:start w:val="1"/>
    </w:lvl>
  </w:abstractNum>
  <w:abstractNum w:abstractNumId="51">
    <w:nsid w:val="61574095"/>
    <w:multiLevelType w:val="hybridMultilevel"/>
    <w:lvl w:ilvl="0">
      <w:lvlJc w:val="left"/>
      <w:lvlText w:val="\emdash "/>
      <w:numFmt w:val="bullet"/>
      <w:start w:val="1"/>
    </w:lvl>
  </w:abstractNum>
  <w:abstractNum w:abstractNumId="52">
    <w:nsid w:val="7E0C57B1"/>
    <w:multiLevelType w:val="hybridMultilevel"/>
    <w:lvl w:ilvl="0">
      <w:lvlJc w:val="left"/>
      <w:lvlText w:val="%1."/>
      <w:numFmt w:val="decimal"/>
      <w:start w:val="1"/>
    </w:lvl>
    <w:lvl w:ilvl="1">
      <w:lvlJc w:val="left"/>
      <w:lvlText w:val="(%2)"/>
      <w:numFmt w:val="lowerLetter"/>
      <w:start w:val="1"/>
    </w:lvl>
  </w:abstractNum>
  <w:abstractNum w:abstractNumId="53">
    <w:nsid w:val="77AE35EB"/>
    <w:multiLevelType w:val="hybridMultilevel"/>
    <w:lvl w:ilvl="0">
      <w:lvlJc w:val="left"/>
      <w:lvlText w:val="%1."/>
      <w:numFmt w:val="lowerRoman"/>
      <w:start w:val="1"/>
    </w:lvl>
  </w:abstractNum>
  <w:abstractNum w:abstractNumId="54">
    <w:nsid w:val="579BE4F1"/>
    <w:multiLevelType w:val="hybridMultilevel"/>
    <w:lvl w:ilvl="0">
      <w:lvlJc w:val="left"/>
      <w:lvlText w:val="\emdash "/>
      <w:numFmt w:val="bullet"/>
      <w:start w:val="1"/>
    </w:lvl>
  </w:abstractNum>
  <w:abstractNum w:abstractNumId="55">
    <w:nsid w:val="310C50B3"/>
    <w:multiLevelType w:val="hybridMultilevel"/>
    <w:lvl w:ilvl="0">
      <w:lvlJc w:val="left"/>
      <w:lvlText w:val="\emdash "/>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8">
    <w:nsid w:val="25A70BF7"/>
    <w:multiLevelType w:val="hybridMultilevel"/>
    <w:lvl w:ilvl="0">
      <w:lvlJc w:val="left"/>
      <w:lvlText w:val="(%1)"/>
      <w:numFmt w:val="decimal"/>
      <w:start w:val="2"/>
    </w:lvl>
    <w:lvl w:ilvl="1">
      <w:lvlJc w:val="left"/>
      <w:lvlText w:val="(%2)"/>
      <w:numFmt w:val="decimal"/>
      <w:start w:val="5"/>
    </w:lvl>
  </w:abstractNum>
  <w:abstractNum w:abstractNumId="59">
    <w:nsid w:val="1DBABF0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0">
    <w:nsid w:val="4AD084E9"/>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61">
    <w:nsid w:val="1F48EAA1"/>
    <w:multiLevelType w:val="hybridMultilevel"/>
    <w:lvl w:ilvl="0">
      <w:lvlJc w:val="left"/>
      <w:lvlText w:val="%1."/>
      <w:numFmt w:val="lowerRoman"/>
      <w:start w:val="1"/>
    </w:lvl>
  </w:abstractNum>
  <w:abstractNum w:abstractNumId="62">
    <w:nsid w:val="1381823A"/>
    <w:multiLevelType w:val="hybridMultilevel"/>
    <w:lvl w:ilvl="0">
      <w:lvlJc w:val="left"/>
      <w:lvlText w:val="(%1)"/>
      <w:numFmt w:val="lowerLetter"/>
      <w:start w:val="2"/>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2"/>
    </w:lvl>
  </w:abstractNum>
  <w:abstractNum w:abstractNumId="68">
    <w:nsid w:val="98A3148"/>
    <w:multiLevelType w:val="hybridMultilevel"/>
    <w:lvl w:ilvl="0">
      <w:lvlJc w:val="left"/>
      <w:lvlText w:val="%1."/>
      <w:numFmt w:val="decimal"/>
      <w:start w:val="4"/>
    </w:lvl>
    <w:lvl w:ilvl="1">
      <w:lvlJc w:val="left"/>
      <w:lvlText w:val="\emdash "/>
      <w:numFmt w:val="bullet"/>
      <w:start w:val="1"/>
    </w:lvl>
  </w:abstractNum>
  <w:abstractNum w:abstractNumId="69">
    <w:nsid w:val="799D0247"/>
    <w:multiLevelType w:val="hybridMultilevel"/>
    <w:lvl w:ilvl="0">
      <w:lvlJc w:val="left"/>
      <w:lvlText w:val="%1."/>
      <w:numFmt w:val="decimal"/>
      <w:start w:val="5"/>
    </w:lvl>
  </w:abstractNum>
  <w:abstractNum w:abstractNumId="70">
    <w:nsid w:val="6B94764"/>
    <w:multiLevelType w:val="hybridMultilevel"/>
    <w:lvl w:ilvl="0">
      <w:lvlJc w:val="left"/>
      <w:lvlText w:val="%1."/>
      <w:numFmt w:val="decimal"/>
      <w:start w:val="6"/>
    </w:lvl>
  </w:abstractNum>
  <w:abstractNum w:abstractNumId="71">
    <w:nsid w:val="42C296B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2019-12-14T04:22:45Z</dcterms:created>
  <dcterms:modified xsi:type="dcterms:W3CDTF">2019-12-14T04:22:45Z</dcterms:modified>
</cp:coreProperties>
</file>