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May 2025 No.3</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4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May 14, 2025, the Registrant announced its financial results for the three months ended March 31, 2025. Attached hereto is the following exhibit.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dated May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351" w:right="81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Date: May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417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Name:Nati Somekh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74470" cy="81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Tower Semiconductor Reports 2025 First Quarter Financial Results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 year-over-year revenue growth</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Affirms sequential quarterly revenue growth target throughout 2025</w:t>
      </w:r>
    </w:p>
    <w:p>
      <w:pPr>
        <w:spacing w:after="0" w:line="22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May 14, 2025 – </w:t>
      </w:r>
      <w:r>
        <w:rPr>
          <w:rFonts w:ascii="Times New Roman" w:cs="Times New Roman" w:eastAsia="Times New Roman" w:hAnsi="Times New Roman"/>
          <w:sz w:val="18"/>
          <w:szCs w:val="18"/>
          <w:color w:val="auto"/>
        </w:rPr>
        <w:t>Tower Semiconductor (NASDAQ/TASE: TSEM) reports today its results for the first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2025 Results Overview</w:t>
      </w:r>
    </w:p>
    <w:p>
      <w:pPr>
        <w:spacing w:after="0" w:line="3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Revenues for the first quarter of 2025 were $358 million as compared to $327 million for the first quarter of 2024, representing 9% year-over-year revenue growth.</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Gross profit and operating profit for the first quarter of 2025 were $73 million and $33 million, respectively, as compared to gross profit and operating profit of $73 million and $34 million in the first quarter of 2024, respectively. Gross and operating profits remain similar since the positive impact of the $31 million revenue increase was offset by the fixed costs of the new 300mm Agrate facility, as previously disclosed.</w:t>
      </w:r>
    </w:p>
    <w:p>
      <w:pPr>
        <w:spacing w:after="0" w:line="18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Net profit for the first quarter of 2025 was $40 million, reflecting $0.36 basic and $0.35 diluted earnings per share. First quarter of 2024 net profit was $45 million, reflecting $0.40 basic and diluted earnings per share, having been positively impacted by a non-recurring income tax benefit.</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Cash flow generated from operating activities in the first quarter of 2025 was $94 million. Investments in property and equipment, net, were $111 million and debt payments totaled $27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Corporate Credit Rating</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May 7, 2025, Standard &amp; Poor’s Maalot (an S&amp;P Global Ratings fully owned company) completed its annual rating review for the Company and reaffirmed its corporate credit rating as “ilAA, with a stable outlook”.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Tower Semiconductor guides revenues for the second quarter of 2025 to be $372 million, with an upward or downward range of 5%, reflecting 6% year-over-year revenue increase; and reiterates its previously communicated company target for continued quarter-over-quarter revenue growth within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Russell Ellwanger, Chief Executive Officer of Tower Semiconductor, stated:</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“Tower delivered continued record revenue in RF infrastructure, which includes SiPho and SiGe. We target further revenue growth of these technologies throughout the year, increases in our high voltage 200mm power management business and higher revenue levels in our sensors business. Additionally, we have entered a new served market for Tower, namely envelope trackers, using our 300mm technology platform. In the face of geo-political uncertainties, we are leveraging Tower’s global scale and technology breadth into new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Wednesday, May 14, 2025, at 10:00 a.m. Eastern time (9:00 a.m. Central time, 8:00 a.m. Mountain time, 7:00 a.m. Pacific time and 5:00 p.m. Israel time) to discuss the Company’s financial results for the first quarter of 2025 and its business outlook.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ir.towersemi.com</w:t>
      </w:r>
      <w:r>
        <w:rPr>
          <w:rFonts w:ascii="Times New Roman" w:cs="Times New Roman" w:eastAsia="Times New Roman" w:hAnsi="Times New Roman"/>
          <w:sz w:val="18"/>
          <w:szCs w:val="18"/>
          <w:color w:val="auto"/>
        </w:rPr>
        <w:t xml:space="preserve">. The pre-registration form required for dial-in participation is accessible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Upon completing the registration, participants will receive the dial-in details, a unique PIN, and a confirmation email with all necessary information. To access the webcast,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teleconference will be available for replay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costs and expenses, (ii) compensation expenses in respect of equity grants to directors, officers, and employees as included in our costs and expenses, (iii) merger contract termination fees received from Intel, net of associated cost and taxes following the previously announced Intel contract termination as included in net profit in 2023 and (iv) restructuring income, net, which includes income, net of cost and taxes associated with the reorganization and restructure of our operations in Japan including the cessation of operations of the Arai facility, which occurred during </w:t>
      </w:r>
      <w:r>
        <w:rPr>
          <w:rFonts w:ascii="Times New Roman" w:cs="Times New Roman" w:eastAsia="Times New Roman" w:hAnsi="Times New Roman"/>
          <w:sz w:val="17"/>
          <w:szCs w:val="17"/>
          <w:color w:val="auto"/>
        </w:rPr>
        <w:t>2022</w:t>
      </w:r>
      <w:r>
        <w:rPr>
          <w:rFonts w:ascii="Times New Roman" w:cs="Times New Roman" w:eastAsia="Times New Roman" w:hAnsi="Times New Roman"/>
          <w:sz w:val="17"/>
          <w:szCs w:val="17"/>
          <w:i w:val="1"/>
          <w:iCs w:val="1"/>
          <w:color w:val="auto"/>
        </w:rPr>
        <w:t>, as included in net profit.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revenues and in operating cost and expenses lines (e.g.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research and development related equipment and/or fixed other assets depreciation), (ii) stock-based compensation expense,</w:t>
      </w:r>
    </w:p>
    <w:p>
      <w:pPr>
        <w:spacing w:after="0" w:line="13" w:lineRule="exact"/>
        <w:rPr>
          <w:sz w:val="20"/>
          <w:szCs w:val="20"/>
          <w:color w:val="auto"/>
        </w:rPr>
      </w:pPr>
    </w:p>
    <w:p>
      <w:pPr>
        <w:jc w:val="both"/>
        <w:ind w:firstLine="8"/>
        <w:spacing w:after="0" w:line="277" w:lineRule="auto"/>
        <w:tabs>
          <w:tab w:leader="none" w:pos="330" w:val="left"/>
        </w:tabs>
        <w:numPr>
          <w:ilvl w:val="0"/>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amortization of acquired intangible assets, (iv) merger contract termination fees received from Intel, net of associated cost following the previously announced Intel contract termination, as included in operating profit and (v) restructuring income, net in relation to the reorganization and restructure of our operations in Japan including the cessation of operations of the Arai facility, as included in operating profit.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$94 million, $101 million and $110 million for the three months periods ended March 31, 2025, December 31, 2024 and March 31, 2024, respectively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less cash used for investments in property and equipment, net (in the amounts of $111 million, $93 million and $98 million for the three months periods ended March 31, 2025, December 31, 2024 and March 31, 2024,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Liat Avraham | Investor Relations | +972-4-6506154 |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release, as well as other statements and reports filed, stated and published in relation to this quarter’s results, include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“intends”, “committed to”, “tracking”, or words of similar import, identifies a statement as “forward-looking.” Actual results may vary from those projected or implied by such forward-looking statements and you should not place any undue reliance on such forward-looking statements, which describe information known to us only as of the date of this release. Factors that could cause actual results to differ materially from those projected or implied by such forward-looking statements include, without limitation, risks and uncertainties associated with: (i) demand in our customers’ end markets, (ii) reliance on acquisitions and/or gaining additional capacity for growth, (iii) difficulties in achieving acceptable operational metrics and indices in the future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that may fluctuate from quarter to quarter, making it difficult to forecast future performance, (viii) our debt and other liabilities that may impact our financial position and operations, (ix) our ability to successfully execute acquisitions, integrate them into our business, utilize our expanded capacity and find new business, (x) 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and/or failure to receive customer orders currently expected, (xv) possible incurrence of additional indebtedness,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financing capacity acquisition related transactions, strategic and/or other growth or M&amp;A opportunities, including funding Agrate fab’s significant 300mm capacity investments and acquisition or funding of equipment and other fixed assets associated with the capacity corridor transaction with Intel as announced in September 2023, in addition to other capacity and capability expansion plans, such as announced for SiPho and SiGe, and the possible unavailability of such financing and/or the availability of such financing on unfavorable terms,</w:t>
      </w:r>
    </w:p>
    <w:p>
      <w:pPr>
        <w:spacing w:after="0" w:line="15" w:lineRule="exact"/>
        <w:rPr>
          <w:sz w:val="20"/>
          <w:szCs w:val="20"/>
          <w:color w:val="auto"/>
        </w:rPr>
      </w:pPr>
    </w:p>
    <w:p>
      <w:pPr>
        <w:jc w:val="both"/>
        <w:ind w:firstLine="8"/>
        <w:spacing w:after="0" w:line="261"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our facilities at sufficient utilization rates necessary to generate and maintain positive and sustainable gross, operating and net profit, (xxii) the purchase of equipment and/or raw material (including purchases beyond our needs),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the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the Fab 3 landlord’s alleged claims that the noise abatement efforts made thus far are not adequate under the terms of the amended lease due to which he requested a judicial declaration that there was a material non-curable breach of the lease and that he would be entitled to terminate the lease, as well as uncertainties associated with the ability to extend such lease or acquire the real estate and obtain the required local, state and/or other approvals required to be able to continue operations beyond the current lease term, (xxix) retention of key employees and recruitment and retention of skilled qualified personnel, (xxx) exposure to inflation, currency rates (mainly the Israeli Shekel, the Japanese Yen and the Euro)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potential engagement for fab establishment, joint venture and/or capital lease transactions for capacity enhancement in advanced technologies, including risks and uncertainties associated with the Agrate fab and the capacity corridor transaction with Intel as announced in September 2023, such as their qualification schedule, technology, equipment and process qualification, facility operational ramp-up, customer engagements, cost structure, required investments and other terms, which may require additional funding to cover their significant capacity investment needs and other payments, the availability of which funding cannot be assured on favorable terms, if at all, (xxxiii) potential liabilities, cost and other impact due to reorganization and consolidation of fabrication facilities, or cessation of operations, including with regard to our 6 inch facility,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 stock options and/or restricted stock units, or any market expectation thereof, which may depress the market value of the Company and the price of the Company’s ordinary shares, and in addition may impair our ability to raise future capital, and (xxxvii) climate change, business interruptions due to floods, fires, pandemics, earthquakes and other natural disasters, the security situation in Israel, global trade “war” and the current war in Israel, including the potential inability to continue uninterrupted operations of the Israeli fab, impact on global supply chain to and from the Israeli fab, power interruptions, chemicals or other leaks or damages as a result of the war, absence of workforce due to military service as well as risk that certain countries will restrict doing business with Israeli companies, including imposing restrictions if hostilities in Israel or political instability in the region continue or exacerbate, and other events beyond our control. With respect to the current war in Israel, if instability in neighboring states occurs,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ectPr>
          <w:pgSz w:w="11900" w:h="16838" w:orient="portrait"/>
          <w:cols w:equalWidth="0" w:num="1">
            <w:col w:w="11240"/>
          </w:cols>
          <w:pgMar w:left="320" w:top="347" w:right="339" w:bottom="447" w:gutter="0" w:footer="0" w:header="0"/>
        </w:sect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447"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274,818</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271,894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906,446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946,351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219,496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211,932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276,072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268,295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51,429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61,817</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1,728,261</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1,760,289</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1,346,213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1,286,622</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34,131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33,574</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3,108,605</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3,080,485</w:t>
            </w:r>
          </w:p>
        </w:tc>
      </w:tr>
      <w:tr>
        <w:trPr>
          <w:trHeight w:val="209"/>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27,490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48,376</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118,318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130,624</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revenues and customers' advances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17,233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21,655</w:t>
            </w: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86,421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84,409</w:t>
            </w:r>
          </w:p>
        </w:tc>
      </w:tr>
      <w:tr>
        <w:trPr>
          <w:trHeight w:val="23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249,462</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285,064</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134,835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132,437</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22,293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22,804</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406,590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440,305</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2,702,015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2,640,180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3,108,605</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3,080,485</w:t>
            </w:r>
          </w:p>
        </w:tc>
      </w:tr>
      <w:tr>
        <w:trPr>
          <w:trHeight w:val="392"/>
        </w:trPr>
        <w:tc>
          <w:tcPr>
            <w:tcW w:w="8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358,170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387,191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327,238</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284,999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300,338</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254,632</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73,171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86,853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72,606</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20,172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20,622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19,951</w:t>
            </w:r>
          </w:p>
        </w:tc>
      </w:tr>
      <w:tr>
        <w:trPr>
          <w:trHeight w:val="237"/>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19,812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18,670</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38,621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46,419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33,985</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8,315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3,984</w:t>
            </w: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43,496</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54,734</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37,969</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(3,779)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(2,149)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5,078</w:t>
            </w: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39,717</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52,585</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43,047</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2,553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1,587</w:t>
            </w:r>
          </w:p>
        </w:tc>
      </w:tr>
      <w:tr>
        <w:trPr>
          <w:trHeight w:val="270"/>
        </w:trPr>
        <w:tc>
          <w:tcPr>
            <w:tcW w:w="73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40,142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55,138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44,634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111,575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111,493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110,840</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113,152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112,967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111,627</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right="300"/>
        <w:spacing w:after="0" w:line="269"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40,142</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55,138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44,634</w:t>
            </w: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Stock based compensation and amortization of acquired intangible assets</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11,258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7,209</w:t>
            </w:r>
          </w:p>
        </w:tc>
      </w:tr>
      <w:tr>
        <w:trPr>
          <w:trHeight w:val="27"/>
        </w:trPr>
        <w:tc>
          <w:tcPr>
            <w:tcW w:w="7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50,477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66,396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51,843</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0.46</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7"/>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93,922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100,816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110,038</w:t>
            </w:r>
          </w:p>
        </w:tc>
      </w:tr>
      <w:tr>
        <w:trPr>
          <w:trHeight w:val="229"/>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(111,411)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(93,396)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(98,018)</w:t>
            </w: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(26,874)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2,795</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(8,409)</w:t>
            </w:r>
          </w:p>
        </w:tc>
      </w:tr>
      <w:tr>
        <w:trPr>
          <w:trHeight w:val="229"/>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(2,665)</w:t>
            </w:r>
          </w:p>
        </w:tc>
      </w:tr>
      <w:tr>
        <w:trPr>
          <w:trHeight w:val="237"/>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marketable securities and other assets, net</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44,470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(4,328)</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(1,113)</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274,818</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05"/>
        </w:trPr>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39,717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52,585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43,047</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74,228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75,820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59,544</w:t>
            </w:r>
          </w:p>
        </w:tc>
      </w:tr>
      <w:tr>
        <w:trPr>
          <w:trHeight w:val="229"/>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12,439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5,993</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(6,354)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(19,034)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(6,489)</w:t>
            </w:r>
          </w:p>
        </w:tc>
      </w:tr>
      <w:tr>
        <w:trPr>
          <w:trHeight w:val="229"/>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(36,464)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(13,454)</w:t>
            </w: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(4,128)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(3,356)</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(23,703)</w:t>
            </w:r>
          </w:p>
        </w:tc>
      </w:tr>
      <w:tr>
        <w:trPr>
          <w:trHeight w:val="229"/>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(11,114)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18,320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32,559</w:t>
            </w:r>
          </w:p>
        </w:tc>
      </w:tr>
      <w:tr>
        <w:trPr>
          <w:trHeight w:val="229"/>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Deferred revenues and customers' advances</w:t>
            </w: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(4,432)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(8,712)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(1,931)</w:t>
            </w:r>
          </w:p>
        </w:tc>
      </w:tr>
      <w:tr>
        <w:trPr>
          <w:trHeight w:val="230"/>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7,057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16,868</w:t>
            </w:r>
          </w:p>
        </w:tc>
      </w:tr>
      <w:tr>
        <w:trPr>
          <w:trHeight w:val="23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4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(3,893)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2,161</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(2,396)</w:t>
            </w:r>
          </w:p>
        </w:tc>
      </w:tr>
      <w:tr>
        <w:trPr>
          <w:trHeight w:val="237"/>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93,922</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100,816</w:t>
            </w:r>
          </w:p>
        </w:tc>
        <w:tc>
          <w:tcPr>
            <w:tcW w:w="2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110,038</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(111,411)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(93,396)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(98,018)</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marketable securities and other assets, net</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44,470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(4,328)</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(1,113)</w:t>
            </w:r>
          </w:p>
        </w:tc>
      </w:tr>
      <w:tr>
        <w:trPr>
          <w:trHeight w:val="237"/>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(66,941)</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(97,724)</w:t>
            </w:r>
          </w:p>
        </w:tc>
        <w:tc>
          <w:tcPr>
            <w:tcW w:w="2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(99,131)</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14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(26,874)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2,795</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(8,409)</w:t>
            </w:r>
          </w:p>
        </w:tc>
      </w:tr>
      <w:tr>
        <w:trPr>
          <w:trHeight w:val="237"/>
        </w:trPr>
        <w:tc>
          <w:tcPr>
            <w:tcW w:w="7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(26,874)</w:t>
            </w:r>
          </w:p>
        </w:tc>
        <w:tc>
          <w:tcPr>
            <w:tcW w:w="24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7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(4,972)</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(2,665)</w:t>
            </w:r>
          </w:p>
        </w:tc>
      </w:tr>
      <w:tr>
        <w:trPr>
          <w:trHeight w:val="210"/>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260,664</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274,818</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ind w:right="580" w:firstLine="8"/>
        <w:spacing w:after="0" w:line="302" w:lineRule="auto"/>
        <w:tabs>
          <w:tab w:leader="none" w:pos="1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stock based compensation and amortization of acquired intangible assets in the amounts of $10,335, $11,258 and $7,209 for the 3 months periods ended March 31, 2025, December 31, 2024 and March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3"/>
    </w:lvl>
  </w:abstractNum>
  <w:abstractNum w:abstractNumId="1">
    <w:nsid w:val="74B0DC51"/>
    <w:multiLevelType w:val="hybridMultilevel"/>
    <w:lvl w:ilvl="0">
      <w:lvlJc w:val="left"/>
      <w:lvlText w:val="(%1)"/>
      <w:numFmt w:val="lowerRoman"/>
      <w:start w:val="2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2025-05-14T06:16:12Z</dcterms:created>
  <dcterms:modified xsi:type="dcterms:W3CDTF">2025-05-14T06:16:12Z</dcterms:modified>
</cp:coreProperties>
</file>