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August 2006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On August 24, 2006, the Registrant announced that Tower Semiconductor Signs Definitive Agreements with its Banks and Israel Corp.,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24,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SIGNS DEFINITIVE</w:t>
      </w:r>
    </w:p>
    <w:p>
      <w:pPr>
        <w:jc w:val="center"/>
        <w:ind w:right="1779"/>
        <w:spacing w:after="0" w:line="238" w:lineRule="auto"/>
        <w:rPr>
          <w:sz w:val="20"/>
          <w:szCs w:val="20"/>
          <w:color w:val="auto"/>
        </w:rPr>
      </w:pPr>
      <w:r>
        <w:rPr>
          <w:rFonts w:ascii="Courier New" w:cs="Courier New" w:eastAsia="Courier New" w:hAnsi="Courier New"/>
          <w:sz w:val="18"/>
          <w:szCs w:val="18"/>
          <w:color w:val="auto"/>
        </w:rPr>
        <w:t>AGREEMENTS WITH ITS BANKS AND ISRAEL CORP.</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August 24, 2006 - Tower Semiconductor Ltd. (NASDAQ: TSEM; TASE: TSEM), a pure-play independent specialty foundry, today announced that it has signed definitive agreements with its lender banks, Bank Leumi and Bank Hapoalim, and with Israel Corp. These agreements are based on the previously reported signed MOU dated May 17, 2006, for the restructuring of the Company's long-term debt and Israel Corp.'s commitment to invest $100M in the Company.</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principal terms of the definitive agreements, including closing conditions, are described in the proxy statement filed today by the Company at www.sec.gov and at www.maya.tase.co.il.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a current capacity of up to 15,000 200mm wafers per month. Tower's website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in the short-term and raising the funds required to implement the current ramp up plan and complete Fab 2,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our ability to satisfy certain of the covenants stipulated in our amended facility agreement, (vi) closing of the definitive agreement with Tower's lender banks, Bank Leumi and Bank Hapoalim, and closing the $100 million investment agreement by Israel Corp. (vii) our ability to capitalize on increases in demand for foundry services, (viii) meeting the conditions to receive Israeli government grants and tax benefits approved for Fab 2 and obtaining the approval of the Israeli Investment Center for a new expansion program, (ix) attracting additional customers, (x) not receiving orders from our wafer partners, customers and technology providers, (xi) failing to maintain and develop our technology processes and services, (xii) competing effectively, (xiii) our large amount of debt and our ability to repay our debt on a timely basis, (xiv) achieving acceptable device yields, product performance and delivery times, (xv) the timely development, internal qualification and customer acceptance of new processes and products, (xvi) the receipt of shareholder and other approvals as required under applicable law or otherwise, including in connection with the restructuring of our debt with our banks and the $100 million investment by Israel Corp., and (xvii) business interruption due to terror attacks, including the current effect of the military situation, earthquakes, and other acts of God.</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 Future results may differ materially from those previously reported. We do not intend to update, and expressly disclaim any obligation to update, the information contained in this release.</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2019-12-14T04:20:24Z</dcterms:created>
  <dcterms:modified xsi:type="dcterms:W3CDTF">2019-12-14T04:20:24Z</dcterms:modified>
</cp:coreProperties>
</file>