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spacing w:lineRule="auto" w:line="300"/>
        <w:jc w:val="center"/>
        <w:rPr/>
      </w:pPr>
      <w:r>
        <w:rPr/>
      </w:r>
      <w:bookmarkStart w:id="0" w:name="zk2431177.htm"/>
      <w:bookmarkStart w:id="1" w:name="kszk2431177"/>
      <w:bookmarkStart w:id="2" w:name="zk2431177.htm"/>
      <w:bookmarkStart w:id="3" w:name="kszk2431177"/>
      <w:bookmarkEnd w:id="2"/>
      <w:bookmarkEnd w:id="3"/>
    </w:p>
    <w:p>
      <w:pPr>
        <w:pStyle w:val="TextBody"/>
        <w:bidi w:val="0"/>
        <w:spacing w:lineRule="auto" w:line="300" w:before="0" w:after="0"/>
        <w:jc w:val="center"/>
        <w:rPr>
          <w:b/>
        </w:rPr>
      </w:pPr>
      <w:r>
        <w:rPr>
          <w:b/>
        </w:rPr>
      </w:r>
    </w:p>
    <w:p>
      <w:pPr>
        <w:pStyle w:val="TextBody"/>
        <w:bidi w:val="0"/>
        <w:spacing w:lineRule="auto" w:line="300" w:before="0" w:after="0"/>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t>FORM 6-K</w:t>
      </w:r>
    </w:p>
    <w:p>
      <w:pPr>
        <w:pStyle w:val="TextBody"/>
        <w:bidi w:val="0"/>
        <w:spacing w:lineRule="auto" w:line="300" w:before="0" w:after="0"/>
        <w:jc w:val="left"/>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r>
    </w:p>
    <w:p>
      <w:pPr>
        <w:pStyle w:val="TextBody"/>
        <w:bidi w:val="0"/>
        <w:spacing w:lineRule="auto" w:line="300" w:before="0" w:after="0"/>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t>SECURITIES AND EXCHANGE COMMISSION</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smallCaps/>
          <w:color w:val="000000"/>
          <w:sz w:val="20"/>
        </w:rPr>
        <w:t>W</w:t>
      </w:r>
      <w:r>
        <w:rPr>
          <w:rFonts w:ascii="Times New Roman;Times;serif" w:hAnsi="Times New Roman;Times;serif"/>
          <w:color w:val="000000"/>
          <w:sz w:val="20"/>
        </w:rPr>
        <w:t xml:space="preserve">ashington, D.C. </w:t>
      </w:r>
      <w:r>
        <w:rPr>
          <w:rFonts w:ascii="Times New Roman;Times;serif" w:hAnsi="Times New Roman;Times;serif"/>
          <w:smallCaps/>
          <w:color w:val="000000"/>
          <w:sz w:val="20"/>
        </w:rPr>
        <w:t>20549</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smallCaps/>
          <w:color w:val="000000"/>
          <w:sz w:val="20"/>
        </w:rPr>
        <w:t>F</w:t>
      </w:r>
      <w:r>
        <w:rPr>
          <w:rFonts w:ascii="Times New Roman;Times;serif" w:hAnsi="Times New Roman;Times;serif"/>
          <w:color w:val="000000"/>
          <w:sz w:val="20"/>
        </w:rPr>
        <w:t>or the month March 2024 No. 5</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t>TOWER SEMICONDUCTOR LTD.</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(Translation of registrant's name into English)</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Ramat Gavriel Industrial Park</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P.O. Box 619, Migdal Haemek, Israel 2310502</w:t>
      </w:r>
    </w:p>
    <w:p>
      <w:pPr>
        <w:pStyle w:val="TextBody"/>
        <w:bidi w:val="0"/>
        <w:spacing w:lineRule="auto" w:line="300" w:before="0" w:after="0"/>
        <w:jc w:val="center"/>
        <w:rPr>
          <w:color w:val="000000"/>
        </w:rPr>
      </w:pPr>
      <w:r>
        <w:rPr>
          <w:color w:val="000000"/>
        </w:rPr>
        <w:t>  </w:t>
      </w:r>
      <w:r>
        <w:rPr>
          <w:rFonts w:ascii="Times New Roman;Times;serif" w:hAnsi="Times New Roman;Times;serif"/>
          <w:color w:val="000000"/>
          <w:sz w:val="20"/>
        </w:rPr>
        <w:t>(Address of principal executive offices)</w:t>
      </w:r>
    </w:p>
    <w:p>
      <w:pPr>
        <w:pStyle w:val="TextBody"/>
        <w:bidi w:val="0"/>
        <w:spacing w:lineRule="auto" w:line="300" w:before="0" w:after="0"/>
        <w:jc w:val="left"/>
        <w:rPr/>
      </w:pPr>
      <w:r>
        <w:rPr/>
      </w:r>
    </w:p>
    <w:p>
      <w:pPr>
        <w:pStyle w:val="TextBody"/>
        <w:bidi w:val="0"/>
        <w:spacing w:lineRule="auto" w:line="300"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Indicate by check mark whether the registrant files or will file annual reports under cover Form 20-F or Form 40-F.</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Form 20-F ☒           Form 40-F ☐</w:t>
      </w:r>
    </w:p>
    <w:p>
      <w:pPr>
        <w:pStyle w:val="TextBody"/>
        <w:bidi w:val="0"/>
        <w:spacing w:lineRule="auto" w:line="300" w:before="0" w:after="0"/>
        <w:jc w:val="center"/>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Indicate by check mark whether the registrant by furnishing the information contained in this Form is also thereby furnishing the information to the Commission pursuant to Rule 12g3-2(b) under the Securities Exchange Act of 1934.</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Yes ☐           No ☒</w:t>
      </w:r>
    </w:p>
    <w:p>
      <w:pPr>
        <w:pStyle w:val="TextBody"/>
        <w:bidi w:val="0"/>
        <w:spacing w:lineRule="auto" w:line="300" w:before="0" w:after="0"/>
        <w:ind w:left="0" w:right="0" w:firstLine="72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 xml:space="preserve">On March 21, 2024, the Registrant Announces </w:t>
      </w:r>
      <w:r>
        <w:rPr>
          <w:rFonts w:ascii="Times New Roman;Times;serif" w:hAnsi="Times New Roman;Times;serif"/>
          <w:b/>
          <w:i/>
          <w:color w:val="000000"/>
          <w:sz w:val="20"/>
        </w:rPr>
        <w:t>its Participation at OFC 2024 Highlighting Company’s Recent Developments in Silicon Germanium and Silicon Photonics Technologies</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 w:name="z11a3feb8565244d7b1620e9811c9aca3"/>
      <w:bookmarkStart w:id="5" w:name="z11a3feb8565244d7b1620e9811c9aca3"/>
      <w:bookmarkEnd w:id="5"/>
    </w:p>
    <w:tbl>
      <w:tblPr>
        <w:tblW w:w="7074" w:type="dxa"/>
        <w:jc w:val="left"/>
        <w:tblInd w:w="0" w:type="dxa"/>
        <w:tblLayout w:type="fixed"/>
        <w:tblCellMar>
          <w:top w:w="0" w:type="dxa"/>
          <w:left w:w="0" w:type="dxa"/>
          <w:bottom w:w="0" w:type="dxa"/>
          <w:right w:w="0" w:type="dxa"/>
        </w:tblCellMar>
      </w:tblPr>
      <w:tblGrid>
        <w:gridCol w:w="3140"/>
        <w:gridCol w:w="497"/>
        <w:gridCol w:w="3362"/>
        <w:gridCol w:w="75"/>
      </w:tblGrid>
      <w:tr>
        <w:trPr/>
        <w:tc>
          <w:tcPr>
            <w:tcW w:w="3140" w:type="dxa"/>
            <w:tcBorders/>
            <w:vAlign w:val="center"/>
          </w:tcPr>
          <w:p>
            <w:pPr>
              <w:pStyle w:val="TableContents"/>
              <w:bidi w:val="0"/>
              <w:spacing w:lineRule="auto" w:line="300" w:before="0" w:after="0"/>
              <w:jc w:val="left"/>
              <w:rPr/>
            </w:pPr>
            <w:r>
              <w:rPr/>
              <w:t> </w:t>
            </w:r>
          </w:p>
        </w:tc>
        <w:tc>
          <w:tcPr>
            <w:tcW w:w="3859" w:type="dxa"/>
            <w:gridSpan w:val="2"/>
            <w:tcBorders/>
            <w:vAlign w:val="center"/>
          </w:tcPr>
          <w:p>
            <w:pPr>
              <w:pStyle w:val="TableContents"/>
              <w:bidi w:val="0"/>
              <w:spacing w:lineRule="auto" w:line="300" w:before="0" w:after="0"/>
              <w:jc w:val="left"/>
              <w:rPr>
                <w:b/>
              </w:rPr>
            </w:pPr>
            <w:r>
              <w:rPr>
                <w:b/>
              </w:rPr>
              <w:t>TOWER SEMICONDUCTOR LTD.</w:t>
            </w:r>
          </w:p>
        </w:tc>
        <w:tc>
          <w:tcPr>
            <w:tcW w:w="75" w:type="dxa"/>
            <w:tcBorders/>
            <w:vAlign w:val="center"/>
          </w:tcPr>
          <w:p>
            <w:pPr>
              <w:pStyle w:val="TableContents"/>
              <w:bidi w:val="0"/>
              <w:spacing w:lineRule="auto" w:line="300" w:before="0" w:after="0"/>
              <w:jc w:val="left"/>
              <w:rPr/>
            </w:pPr>
            <w:r>
              <w:rPr/>
              <w:t> </w:t>
            </w:r>
          </w:p>
        </w:tc>
      </w:tr>
      <w:tr>
        <w:trPr/>
        <w:tc>
          <w:tcPr>
            <w:tcW w:w="3140" w:type="dxa"/>
            <w:tcBorders/>
            <w:vAlign w:val="center"/>
          </w:tcPr>
          <w:p>
            <w:pPr>
              <w:pStyle w:val="TableContents"/>
              <w:bidi w:val="0"/>
              <w:spacing w:lineRule="auto" w:line="300" w:before="0" w:after="0"/>
              <w:jc w:val="left"/>
              <w:rPr/>
            </w:pPr>
            <w:r>
              <w:rPr/>
              <w:t> </w:t>
            </w:r>
          </w:p>
        </w:tc>
        <w:tc>
          <w:tcPr>
            <w:tcW w:w="497" w:type="dxa"/>
            <w:tcBorders/>
            <w:vAlign w:val="center"/>
          </w:tcPr>
          <w:p>
            <w:pPr>
              <w:pStyle w:val="TableContents"/>
              <w:bidi w:val="0"/>
              <w:spacing w:lineRule="auto" w:line="300" w:before="0" w:after="0"/>
              <w:jc w:val="left"/>
              <w:rPr/>
            </w:pPr>
            <w:r>
              <w:rPr/>
              <w:t> </w:t>
            </w:r>
          </w:p>
        </w:tc>
        <w:tc>
          <w:tcPr>
            <w:tcW w:w="3362" w:type="dxa"/>
            <w:tcBorders/>
            <w:vAlign w:val="center"/>
          </w:tcPr>
          <w:p>
            <w:pPr>
              <w:pStyle w:val="TableContents"/>
              <w:bidi w:val="0"/>
              <w:spacing w:lineRule="auto" w:line="300" w:before="0" w:after="0"/>
              <w:jc w:val="left"/>
              <w:rPr/>
            </w:pPr>
            <w:r>
              <w:rPr/>
              <w:t> </w:t>
            </w:r>
          </w:p>
        </w:tc>
        <w:tc>
          <w:tcPr>
            <w:tcW w:w="75" w:type="dxa"/>
            <w:tcBorders/>
            <w:vAlign w:val="center"/>
          </w:tcPr>
          <w:p>
            <w:pPr>
              <w:pStyle w:val="TableContents"/>
              <w:bidi w:val="0"/>
              <w:spacing w:lineRule="auto" w:line="300" w:before="0" w:after="0"/>
              <w:jc w:val="left"/>
              <w:rPr/>
            </w:pPr>
            <w:r>
              <w:rPr/>
              <w:t> </w:t>
            </w:r>
          </w:p>
        </w:tc>
      </w:tr>
      <w:tr>
        <w:trPr/>
        <w:tc>
          <w:tcPr>
            <w:tcW w:w="3140" w:type="dxa"/>
            <w:tcBorders/>
            <w:vAlign w:val="center"/>
          </w:tcPr>
          <w:p>
            <w:pPr>
              <w:pStyle w:val="TableContents"/>
              <w:bidi w:val="0"/>
              <w:spacing w:lineRule="auto" w:line="300" w:before="0" w:after="0"/>
              <w:jc w:val="left"/>
              <w:rPr/>
            </w:pPr>
            <w:r>
              <w:rPr/>
              <w:t xml:space="preserve">                 </w:t>
            </w:r>
            <w:r>
              <w:rPr/>
              <w:t>Date: March 21, 2024</w:t>
            </w:r>
          </w:p>
        </w:tc>
        <w:tc>
          <w:tcPr>
            <w:tcW w:w="497" w:type="dxa"/>
            <w:tcBorders/>
            <w:vAlign w:val="center"/>
          </w:tcPr>
          <w:p>
            <w:pPr>
              <w:pStyle w:val="TableContents"/>
              <w:bidi w:val="0"/>
              <w:spacing w:lineRule="auto" w:line="300" w:before="0" w:after="0"/>
              <w:jc w:val="left"/>
              <w:rPr/>
            </w:pPr>
            <w:r>
              <w:rPr/>
              <w:t>By:</w:t>
            </w:r>
          </w:p>
        </w:tc>
        <w:tc>
          <w:tcPr>
            <w:tcW w:w="3362" w:type="dxa"/>
            <w:tcBorders>
              <w:bottom w:val="single" w:sz="12" w:space="0" w:color="000000"/>
            </w:tcBorders>
            <w:tcMar>
              <w:bottom w:w="28" w:type="dxa"/>
            </w:tcMar>
            <w:vAlign w:val="center"/>
          </w:tcPr>
          <w:p>
            <w:pPr>
              <w:pStyle w:val="TableContents"/>
              <w:bidi w:val="0"/>
              <w:spacing w:lineRule="auto" w:line="300" w:before="0" w:after="0"/>
              <w:jc w:val="left"/>
              <w:rPr/>
            </w:pPr>
            <w:r>
              <w:rPr/>
              <w:t>/s/ Nati Somekh</w:t>
            </w:r>
          </w:p>
        </w:tc>
        <w:tc>
          <w:tcPr>
            <w:tcW w:w="75" w:type="dxa"/>
            <w:tcBorders/>
            <w:vAlign w:val="center"/>
          </w:tcPr>
          <w:p>
            <w:pPr>
              <w:pStyle w:val="TableContents"/>
              <w:bidi w:val="0"/>
              <w:spacing w:lineRule="auto" w:line="300" w:before="0" w:after="0"/>
              <w:jc w:val="left"/>
              <w:rPr/>
            </w:pPr>
            <w:r>
              <w:rPr/>
              <w:t> </w:t>
            </w:r>
          </w:p>
        </w:tc>
      </w:tr>
      <w:tr>
        <w:trPr/>
        <w:tc>
          <w:tcPr>
            <w:tcW w:w="3140" w:type="dxa"/>
            <w:tcBorders/>
            <w:vAlign w:val="center"/>
          </w:tcPr>
          <w:p>
            <w:pPr>
              <w:pStyle w:val="TableContents"/>
              <w:bidi w:val="0"/>
              <w:spacing w:lineRule="auto" w:line="300" w:before="0" w:after="0"/>
              <w:jc w:val="left"/>
              <w:rPr/>
            </w:pPr>
            <w:r>
              <w:rPr/>
              <w:t> </w:t>
            </w:r>
          </w:p>
        </w:tc>
        <w:tc>
          <w:tcPr>
            <w:tcW w:w="497" w:type="dxa"/>
            <w:tcBorders/>
            <w:vAlign w:val="center"/>
          </w:tcPr>
          <w:p>
            <w:pPr>
              <w:pStyle w:val="TableContents"/>
              <w:bidi w:val="0"/>
              <w:spacing w:lineRule="auto" w:line="300" w:before="0" w:after="0"/>
              <w:jc w:val="left"/>
              <w:rPr/>
            </w:pPr>
            <w:r>
              <w:rPr/>
              <w:t> </w:t>
            </w:r>
          </w:p>
        </w:tc>
        <w:tc>
          <w:tcPr>
            <w:tcW w:w="3362" w:type="dxa"/>
            <w:tcBorders/>
            <w:vAlign w:val="center"/>
          </w:tcPr>
          <w:p>
            <w:pPr>
              <w:pStyle w:val="TableContents"/>
              <w:bidi w:val="0"/>
              <w:spacing w:lineRule="auto" w:line="300" w:before="0" w:after="0"/>
              <w:jc w:val="left"/>
              <w:rPr/>
            </w:pPr>
            <w:r>
              <w:rPr/>
              <w:t>Name: Nati Somekh</w:t>
            </w:r>
          </w:p>
        </w:tc>
        <w:tc>
          <w:tcPr>
            <w:tcW w:w="75" w:type="dxa"/>
            <w:tcBorders/>
            <w:vAlign w:val="center"/>
          </w:tcPr>
          <w:p>
            <w:pPr>
              <w:pStyle w:val="TableContents"/>
              <w:bidi w:val="0"/>
              <w:spacing w:lineRule="auto" w:line="300" w:before="0" w:after="0"/>
              <w:jc w:val="left"/>
              <w:rPr/>
            </w:pPr>
            <w:r>
              <w:rPr/>
              <w:t> </w:t>
            </w:r>
          </w:p>
        </w:tc>
      </w:tr>
      <w:tr>
        <w:trPr/>
        <w:tc>
          <w:tcPr>
            <w:tcW w:w="3140" w:type="dxa"/>
            <w:tcBorders/>
            <w:vAlign w:val="center"/>
          </w:tcPr>
          <w:p>
            <w:pPr>
              <w:pStyle w:val="TableContents"/>
              <w:bidi w:val="0"/>
              <w:spacing w:lineRule="auto" w:line="300" w:before="0" w:after="0"/>
              <w:jc w:val="left"/>
              <w:rPr/>
            </w:pPr>
            <w:r>
              <w:rPr/>
              <w:t> </w:t>
            </w:r>
          </w:p>
        </w:tc>
        <w:tc>
          <w:tcPr>
            <w:tcW w:w="497" w:type="dxa"/>
            <w:tcBorders/>
            <w:vAlign w:val="center"/>
          </w:tcPr>
          <w:p>
            <w:pPr>
              <w:pStyle w:val="TableContents"/>
              <w:bidi w:val="0"/>
              <w:spacing w:lineRule="auto" w:line="300" w:before="0" w:after="0"/>
              <w:jc w:val="left"/>
              <w:rPr/>
            </w:pPr>
            <w:r>
              <w:rPr/>
              <w:t> </w:t>
            </w:r>
          </w:p>
        </w:tc>
        <w:tc>
          <w:tcPr>
            <w:tcW w:w="3362" w:type="dxa"/>
            <w:tcBorders/>
            <w:vAlign w:val="center"/>
          </w:tcPr>
          <w:p>
            <w:pPr>
              <w:pStyle w:val="TableContents"/>
              <w:bidi w:val="0"/>
              <w:spacing w:lineRule="auto" w:line="300" w:before="0" w:after="0"/>
              <w:jc w:val="left"/>
              <w:rPr/>
            </w:pPr>
            <w:r>
              <w:rPr/>
              <w:t>Title: Corporate Secretary</w:t>
            </w:r>
          </w:p>
        </w:tc>
        <w:tc>
          <w:tcPr>
            <w:tcW w:w="75" w:type="dxa"/>
            <w:tcBorders/>
            <w:vAlign w:val="center"/>
          </w:tcPr>
          <w:p>
            <w:pPr>
              <w:pStyle w:val="TableContents"/>
              <w:bidi w:val="0"/>
              <w:spacing w:lineRule="auto" w:line="300" w:before="0" w:after="0"/>
              <w:jc w:val="left"/>
              <w:rPr/>
            </w:pPr>
            <w:r>
              <w:rPr/>
              <w:t> </w:t>
            </w:r>
          </w:p>
        </w:tc>
      </w:tr>
      <w:tr>
        <w:trPr/>
        <w:tc>
          <w:tcPr>
            <w:tcW w:w="3140" w:type="dxa"/>
            <w:tcBorders/>
            <w:vAlign w:val="center"/>
          </w:tcPr>
          <w:p>
            <w:pPr>
              <w:pStyle w:val="TableContents"/>
              <w:bidi w:val="0"/>
              <w:spacing w:lineRule="auto" w:line="300" w:before="0" w:after="0"/>
              <w:jc w:val="left"/>
              <w:rPr/>
            </w:pPr>
            <w:r>
              <w:rPr/>
              <w:t> </w:t>
            </w:r>
          </w:p>
        </w:tc>
        <w:tc>
          <w:tcPr>
            <w:tcW w:w="497" w:type="dxa"/>
            <w:tcBorders/>
            <w:vAlign w:val="center"/>
          </w:tcPr>
          <w:p>
            <w:pPr>
              <w:pStyle w:val="TableContents"/>
              <w:bidi w:val="0"/>
              <w:spacing w:lineRule="auto" w:line="300" w:before="0" w:after="0"/>
              <w:jc w:val="left"/>
              <w:rPr/>
            </w:pPr>
            <w:r>
              <w:rPr/>
              <w:t> </w:t>
            </w:r>
          </w:p>
        </w:tc>
        <w:tc>
          <w:tcPr>
            <w:tcW w:w="3362" w:type="dxa"/>
            <w:tcBorders/>
            <w:vAlign w:val="center"/>
          </w:tcPr>
          <w:p>
            <w:pPr>
              <w:pStyle w:val="TableContents"/>
              <w:bidi w:val="0"/>
              <w:spacing w:lineRule="auto" w:line="300" w:before="0" w:after="0"/>
              <w:jc w:val="left"/>
              <w:rPr/>
            </w:pPr>
            <w:r>
              <w:rPr/>
              <w:t> </w:t>
            </w:r>
          </w:p>
        </w:tc>
        <w:tc>
          <w:tcPr>
            <w:tcW w:w="75" w:type="dxa"/>
            <w:tcBorders/>
            <w:vAlign w:val="center"/>
          </w:tcPr>
          <w:p>
            <w:pPr>
              <w:pStyle w:val="TableContents"/>
              <w:bidi w:val="0"/>
              <w:spacing w:lineRule="auto" w:line="300" w:before="0" w:after="0"/>
              <w:jc w:val="left"/>
              <w:rPr/>
            </w:pPr>
            <w:r>
              <w:rPr/>
              <w:t> </w:t>
            </w:r>
          </w:p>
        </w:tc>
      </w:tr>
    </w:tbl>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color w:val="000000"/>
        </w:rPr>
      </w:pPr>
      <w:r>
        <w:rPr>
          <w:color w:val="000000"/>
        </w:rPr>
        <w:drawing>
          <wp:inline distT="0" distB="0" distL="0" distR="0">
            <wp:extent cx="1038225"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38225" cy="600075"/>
                    </a:xfrm>
                    <a:prstGeom prst="rect">
                      <a:avLst/>
                    </a:prstGeom>
                  </pic:spPr>
                </pic:pic>
              </a:graphicData>
            </a:graphic>
          </wp:inline>
        </w:drawing>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i/>
          <w:caps w:val="false"/>
          <w:smallCaps w:val="false"/>
          <w:color w:val="000000"/>
          <w:sz w:val="24"/>
          <w:shd w:fill="FFFFFF" w:val="clear"/>
        </w:rPr>
        <w:t>Tower Semicon</w:t>
      </w:r>
      <w:r>
        <w:rPr>
          <w:rFonts w:ascii="Times New Roman;Times;serif" w:hAnsi="Times New Roman;Times;serif"/>
          <w:b/>
          <w:caps w:val="false"/>
          <w:smallCaps w:val="false"/>
          <w:color w:val="000000"/>
          <w:sz w:val="24"/>
          <w:shd w:fill="FFFFFF" w:val="clear"/>
        </w:rPr>
        <w:t>du</w:t>
      </w:r>
      <w:r>
        <w:rPr>
          <w:rFonts w:ascii="Times New Roman;Times;serif" w:hAnsi="Times New Roman;Times;serif"/>
          <w:b/>
          <w:i/>
          <w:caps w:val="false"/>
          <w:smallCaps w:val="false"/>
          <w:color w:val="000000"/>
          <w:sz w:val="24"/>
          <w:shd w:fill="FFFFFF" w:val="clear"/>
        </w:rPr>
        <w:t xml:space="preserve">ctor to Participate at OFC 2024 Highlighting Company’s Recent Developments in </w:t>
      </w:r>
    </w:p>
    <w:p>
      <w:pPr>
        <w:pStyle w:val="TextBody"/>
        <w:bidi w:val="0"/>
        <w:spacing w:lineRule="auto" w:line="300" w:before="0" w:after="0"/>
        <w:jc w:val="center"/>
        <w:rPr>
          <w:rFonts w:ascii="Times New Roman;Times;serif" w:hAnsi="Times New Roman;Times;serif"/>
          <w:b/>
          <w:i/>
          <w:caps w:val="false"/>
          <w:smallCaps w:val="false"/>
          <w:color w:val="000000"/>
          <w:sz w:val="24"/>
          <w:shd w:fill="FFFFFF" w:val="clear"/>
        </w:rPr>
      </w:pPr>
      <w:r>
        <w:rPr>
          <w:rFonts w:ascii="Times New Roman;Times;serif" w:hAnsi="Times New Roman;Times;serif"/>
          <w:b/>
          <w:i/>
          <w:caps w:val="false"/>
          <w:smallCaps w:val="false"/>
          <w:color w:val="000000"/>
          <w:sz w:val="24"/>
          <w:shd w:fill="FFFFFF" w:val="clear"/>
        </w:rPr>
        <w:t>Silicon Germanium and Silicon Photonics Technologies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b/>
          <w:color w:val="000000"/>
          <w:sz w:val="20"/>
        </w:rPr>
        <w:t>MIGDAL HAEMEK, Israel, March 21, 2024</w:t>
      </w:r>
      <w:r>
        <w:rPr>
          <w:rFonts w:ascii="Times New Roman;Times;serif" w:hAnsi="Times New Roman;Times;serif"/>
          <w:color w:val="000000"/>
          <w:sz w:val="20"/>
        </w:rPr>
        <w:t xml:space="preserve"> – </w:t>
      </w:r>
      <w:r>
        <w:rPr>
          <w:rFonts w:ascii="Times New Roman;Times;serif" w:hAnsi="Times New Roman;Times;serif"/>
          <w:color w:val="000000"/>
          <w:sz w:val="20"/>
          <w:u w:val="single"/>
        </w:rPr>
        <w:t>Tower Semiconductor</w:t>
      </w:r>
      <w:r>
        <w:rPr>
          <w:rFonts w:ascii="Times New Roman;Times;serif" w:hAnsi="Times New Roman;Times;serif"/>
          <w:color w:val="000000"/>
          <w:sz w:val="20"/>
        </w:rPr>
        <w:t xml:space="preserve"> (NASDAQ/TASE: TSEM), the leading foundry of high-value analog semiconductor solutions, today announced its participation at upcoming 2024 OFC conference to be held March 26th - 28th in the San Diego Convention Center, California. The company will showcase its advanced Silicon Germanium and Silicon Photonics platforms, as well as recent technology developments providing cutting-edge solutions supporting the growing demands of AI, quantum computing, datacenters, and next-generation telecom networks. </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Tower’s widely acclaimed SiGe BiCMOS Terabit Platform, with the latest generation of Ft/Fmax of &gt; 325/450 GHz, is architected to meet the demands of low-latency and low power network architectures ranging from AI/ML clusters to hyperscalers. This platform is also well suited for high performance low-power wireless applications such as 5G, mmwave, automotive radar and SatCOM. Complementing this advanced SiGe platform is Tower’s industry-leading high-volume PH18M SiPho platform that offers a rich portfolio of optical components, including ultra-high bandwidth modulators, photodetectors, low-loss waveguides, and light coupling solutions. Combined with a mature design enablement infrastructure, the platform delivers accurate model-to-silicon match that empowers designers to bring disruptive solutions to market on time and with minimal design iterations.</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meet with Tower’s engineering team during the conference, visit the Company’s </w:t>
      </w:r>
      <w:r>
        <w:rPr>
          <w:rFonts w:ascii="Times New Roman;Times;serif" w:hAnsi="Times New Roman;Times;serif"/>
          <w:b/>
          <w:color w:val="000000"/>
          <w:sz w:val="20"/>
        </w:rPr>
        <w:t>booth #4608.</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i/>
          <w:color w:val="000000"/>
          <w:sz w:val="20"/>
        </w:rPr>
        <w:t xml:space="preserve">For additional details and registration, please visit the event webpage </w:t>
      </w:r>
      <w:r>
        <w:rPr>
          <w:rFonts w:ascii="Times New Roman;Times;serif" w:hAnsi="Times New Roman;Times;serif"/>
          <w:color w:val="000000"/>
          <w:sz w:val="20"/>
          <w:u w:val="single"/>
        </w:rPr>
        <w:t>here</w:t>
      </w:r>
      <w:r>
        <w:rPr>
          <w:rFonts w:ascii="Times New Roman;Times;serif" w:hAnsi="Times New Roman;Times;serif"/>
          <w:i/>
          <w:color w:val="000000"/>
          <w:sz w:val="20"/>
        </w:rPr>
        <w:t>.</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i/>
          <w:color w:val="000000"/>
          <w:sz w:val="20"/>
        </w:rPr>
        <w:t xml:space="preserve">For additional information about the Company’s RF &amp; HPA platform offering, visit </w:t>
      </w:r>
      <w:r>
        <w:rPr>
          <w:rFonts w:ascii="Times New Roman;Times;serif" w:hAnsi="Times New Roman;Times;serif"/>
          <w:color w:val="000000"/>
          <w:sz w:val="20"/>
          <w:u w:val="single"/>
        </w:rPr>
        <w:t>here</w:t>
      </w:r>
      <w:r>
        <w:rPr>
          <w:rFonts w:ascii="Times New Roman;Times;serif" w:hAnsi="Times New Roman;Times;serif"/>
          <w:i/>
          <w:color w:val="000000"/>
          <w:sz w:val="20"/>
        </w:rPr>
        <w:t>.</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About Tower Semiconductor</w:t>
      </w:r>
    </w:p>
    <w:p>
      <w:pPr>
        <w:pStyle w:val="TextBody"/>
        <w:bidi w:val="0"/>
        <w:spacing w:lineRule="auto" w:line="300" w:before="0" w:after="0"/>
        <w:jc w:val="left"/>
        <w:rPr>
          <w:b/>
        </w:rPr>
      </w:pPr>
      <w:r>
        <w:rPr>
          <w:b/>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Tower Semiconductor Ltd. (NASDAQ/TASE: TSEM), the leading foundry of high value analog semiconductor solutions, provides technology, development, and process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facilities in Israel (150mm and 200mm), two in the U.S. (200mm), two in Japan (200mm and 300mm) which it owns through its 51% holdings in TPSCo, a 300mm facility in Agrate, Italy, shared with ST as well as a 300mm capacity corridor in Intel’s New Mexico factory. For more information, please visit: </w:t>
      </w:r>
      <w:r>
        <w:rPr>
          <w:rFonts w:ascii="Times New Roman;Times;serif" w:hAnsi="Times New Roman;Times;serif"/>
          <w:color w:val="000000"/>
          <w:sz w:val="20"/>
          <w:u w:val="single"/>
        </w:rPr>
        <w:t>www.towersemi.com</w:t>
      </w:r>
      <w:r>
        <w:rPr>
          <w:rFonts w:ascii="Times New Roman;Times;serif" w:hAnsi="Times New Roman;Times;serif"/>
          <w:color w:val="000000"/>
          <w:sz w:val="20"/>
        </w:rPr>
        <w:t>.</w:t>
      </w:r>
    </w:p>
    <w:p>
      <w:pPr>
        <w:pStyle w:val="TextBody"/>
        <w:bidi w:val="0"/>
        <w:spacing w:lineRule="auto" w:line="300" w:before="0" w:after="0"/>
        <w:jc w:val="both"/>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Safe Harbor Regarding Forward-Looking Statements</w:t>
      </w:r>
    </w:p>
    <w:p>
      <w:pPr>
        <w:pStyle w:val="TextBody"/>
        <w:bidi w:val="0"/>
        <w:spacing w:lineRule="auto" w:line="300" w:before="0" w:after="0"/>
        <w:jc w:val="left"/>
        <w:rPr>
          <w:b/>
        </w:rPr>
      </w:pPr>
      <w:r>
        <w:rPr>
          <w:b/>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 on Forms 20-F, F-3, F-4 and 6-K, as were filed with the Securities and Exchange Commission (the “SEC”) and the Israel Securities Authority. Tower does not intend to update, and expressly disclaim any obligation to update, the information contained in this release. </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w:t>
      </w:r>
    </w:p>
    <w:p>
      <w:pPr>
        <w:pStyle w:val="TextBody"/>
        <w:bidi w:val="0"/>
        <w:spacing w:lineRule="auto" w:line="300" w:before="0" w:after="0"/>
        <w:jc w:val="center"/>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Tower Semiconductor Company Contact: </w:t>
      </w:r>
      <w:r>
        <w:rPr>
          <w:rFonts w:ascii="Times New Roman;Times;serif" w:hAnsi="Times New Roman;Times;serif"/>
          <w:color w:val="000000"/>
          <w:sz w:val="20"/>
        </w:rPr>
        <w:t xml:space="preserve">Orit Shahar | +972-74-7377440 | </w:t>
      </w:r>
      <w:r>
        <w:rPr>
          <w:rFonts w:ascii="Times New Roman;Times;serif" w:hAnsi="Times New Roman;Times;serif"/>
          <w:color w:val="000000"/>
          <w:sz w:val="20"/>
          <w:u w:val="single"/>
        </w:rPr>
        <w:t>oritsha@towersemi.com</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Tower Semiconductor Investor Relations Contact: </w:t>
      </w:r>
      <w:r>
        <w:rPr>
          <w:rFonts w:ascii="Times New Roman;Times;serif" w:hAnsi="Times New Roman;Times;serif"/>
          <w:color w:val="000000"/>
          <w:sz w:val="20"/>
        </w:rPr>
        <w:t xml:space="preserve">Noit Levy | +972-4-604-7066 | </w:t>
      </w:r>
      <w:r>
        <w:rPr>
          <w:rFonts w:ascii="Times New Roman;Times;serif" w:hAnsi="Times New Roman;Times;serif"/>
          <w:color w:val="000000"/>
          <w:sz w:val="20"/>
          <w:u w:val="single"/>
        </w:rPr>
        <w:t>noitle@towersemi.com</w:t>
      </w:r>
    </w:p>
    <w:p>
      <w:pPr>
        <w:pStyle w:val="TextBody"/>
        <w:bidi w:val="0"/>
        <w:spacing w:lineRule="auto" w:line="300" w:before="0" w:after="0"/>
        <w:jc w:val="left"/>
        <w:rPr>
          <w:u w:val="single"/>
        </w:rPr>
      </w:pPr>
      <w:r>
        <w:rPr>
          <w:u w:val="single"/>
        </w:rPr>
      </w:r>
    </w:p>
    <w:p>
      <w:pPr>
        <w:pStyle w:val="HorizontalLine"/>
        <w:bidi w:val="0"/>
        <w:spacing w:lineRule="auto" w:line="300"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752</Words>
  <Characters>4574</Characters>
  <CharactersWithSpaces>5360</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