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 Issuer)</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Ordinary Shares, par value NIS 15.00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(Title of Class of Securities)</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M87915274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Number)</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9"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w:t>
      </w:r>
      <w:r>
        <w:rPr>
          <w:rFonts w:ascii="Arial" w:cs="Arial" w:eastAsia="Arial" w:hAnsi="Arial"/>
          <w:sz w:val="22"/>
          <w:szCs w:val="22"/>
          <w:i w:val="1"/>
          <w:iCs w:val="1"/>
          <w:color w:val="auto"/>
        </w:rPr>
        <w:t>Securities Exchange Act</w:t>
      </w:r>
      <w:r>
        <w:rPr>
          <w:rFonts w:ascii="Arial" w:cs="Arial" w:eastAsia="Arial" w:hAnsi="Arial"/>
          <w:sz w:val="22"/>
          <w:szCs w:val="22"/>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2"/>
        </w:trPr>
        <w:tc>
          <w:tcPr>
            <w:tcW w:w="4100" w:type="dxa"/>
            <w:vAlign w:val="bottom"/>
            <w:tcBorders>
              <w:bottom w:val="single" w:sz="8" w:color="auto"/>
            </w:tcBorders>
          </w:tcPr>
          <w:p>
            <w:pPr>
              <w:spacing w:after="0" w:line="20" w:lineRule="exact"/>
              <w:rPr>
                <w:sz w:val="1"/>
                <w:szCs w:val="1"/>
                <w:color w:val="auto"/>
              </w:rPr>
            </w:pPr>
          </w:p>
        </w:tc>
        <w:tc>
          <w:tcPr>
            <w:tcW w:w="398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13G</w:t>
            </w:r>
          </w:p>
        </w:tc>
        <w:tc>
          <w:tcPr>
            <w:tcW w:w="3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3980" w:type="dxa"/>
            <w:vAlign w:val="bottom"/>
            <w:vMerge w:val="continue"/>
          </w:tcPr>
          <w:p>
            <w:pPr>
              <w:spacing w:after="0"/>
              <w:rPr>
                <w:sz w:val="19"/>
                <w:szCs w:val="19"/>
                <w:color w:val="auto"/>
              </w:rPr>
            </w:pPr>
          </w:p>
        </w:tc>
        <w:tc>
          <w:tcPr>
            <w:tcW w:w="3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2 of 8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103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103620"/>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4"/>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Phoenix Holdings Ltd.</w:t>
      </w:r>
    </w:p>
    <w:p>
      <w:pPr>
        <w:spacing w:after="0" w:line="68" w:lineRule="exact"/>
        <w:rPr>
          <w:sz w:val="20"/>
          <w:szCs w:val="20"/>
          <w:color w:val="auto"/>
        </w:rPr>
      </w:pPr>
    </w:p>
    <w:p>
      <w:pPr>
        <w:ind w:left="1980" w:hanging="1056"/>
        <w:spacing w:after="0"/>
        <w:tabs>
          <w:tab w:leader="none" w:pos="1980" w:val="left"/>
        </w:tabs>
        <w:numPr>
          <w:ilvl w:val="0"/>
          <w:numId w:val="5"/>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9"/>
        <w:spacing w:after="0" w:line="207" w:lineRule="exact"/>
        <w:tabs>
          <w:tab w:leader="none" w:pos="23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2400" w:hanging="259"/>
        <w:spacing w:after="0" w:line="207" w:lineRule="exact"/>
        <w:tabs>
          <w:tab w:leader="none" w:pos="24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3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6"/>
              </w:rPr>
              <w:t>SEC USE ONLY</w:t>
            </w:r>
          </w:p>
        </w:tc>
        <w:tc>
          <w:tcPr>
            <w:tcW w:w="7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680" w:type="dxa"/>
            <w:vAlign w:val="bottom"/>
            <w:tcBorders>
              <w:bottom w:val="single" w:sz="8" w:color="auto"/>
              <w:right w:val="single" w:sz="8" w:color="CCEEFF"/>
            </w:tcBorders>
            <w:shd w:val="clear" w:color="auto" w:fill="CCEEFF"/>
          </w:tcPr>
          <w:p>
            <w:pPr>
              <w:spacing w:after="0"/>
              <w:rPr>
                <w:sz w:val="24"/>
                <w:szCs w:val="24"/>
                <w:color w:val="auto"/>
              </w:rPr>
            </w:pPr>
          </w:p>
        </w:tc>
        <w:tc>
          <w:tcPr>
            <w:tcW w:w="7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w:t>
            </w:r>
          </w:p>
        </w:tc>
        <w:tc>
          <w:tcPr>
            <w:tcW w:w="79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vMerge w:val="restart"/>
          </w:tcPr>
          <w:p>
            <w:pPr>
              <w:jc w:val="center"/>
              <w:ind w:left="78"/>
              <w:spacing w:after="0"/>
              <w:rPr>
                <w:sz w:val="20"/>
                <w:szCs w:val="20"/>
                <w:color w:val="auto"/>
              </w:rPr>
            </w:pPr>
            <w:r>
              <w:rPr>
                <w:rFonts w:ascii="Arial" w:cs="Arial" w:eastAsia="Arial" w:hAnsi="Arial"/>
                <w:sz w:val="18"/>
                <w:szCs w:val="18"/>
                <w:color w:val="auto"/>
                <w:w w:val="96"/>
              </w:rPr>
              <w:t>NUMBER OF</w:t>
            </w: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6</w:t>
            </w:r>
          </w:p>
        </w:tc>
        <w:tc>
          <w:tcPr>
            <w:tcW w:w="79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120"/>
              <w:spacing w:after="0"/>
              <w:rPr>
                <w:sz w:val="20"/>
                <w:szCs w:val="20"/>
                <w:color w:val="auto"/>
              </w:rPr>
            </w:pPr>
            <w:r>
              <w:rPr>
                <w:rFonts w:ascii="Arial" w:cs="Arial" w:eastAsia="Arial" w:hAnsi="Arial"/>
                <w:sz w:val="18"/>
                <w:szCs w:val="18"/>
                <w:color w:val="auto"/>
              </w:rPr>
              <w:t>7,345,475.89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BENEFICIALLY</w:t>
            </w: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78"/>
              <w:spacing w:after="0" w:line="189" w:lineRule="exact"/>
              <w:rPr>
                <w:sz w:val="20"/>
                <w:szCs w:val="20"/>
                <w:color w:val="auto"/>
              </w:rPr>
            </w:pPr>
            <w:r>
              <w:rPr>
                <w:rFonts w:ascii="Arial" w:cs="Arial" w:eastAsia="Arial" w:hAnsi="Arial"/>
                <w:sz w:val="18"/>
                <w:szCs w:val="18"/>
                <w:color w:val="auto"/>
                <w:w w:val="97"/>
              </w:rPr>
              <w:t>OWNED BY</w:t>
            </w: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7</w:t>
            </w:r>
          </w:p>
        </w:tc>
        <w:tc>
          <w:tcPr>
            <w:tcW w:w="79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78"/>
              <w:spacing w:after="0"/>
              <w:rPr>
                <w:sz w:val="20"/>
                <w:szCs w:val="20"/>
                <w:color w:val="auto"/>
              </w:rPr>
            </w:pPr>
            <w:r>
              <w:rPr>
                <w:rFonts w:ascii="Arial" w:cs="Arial" w:eastAsia="Arial" w:hAnsi="Arial"/>
                <w:sz w:val="18"/>
                <w:szCs w:val="18"/>
                <w:color w:val="auto"/>
                <w:w w:val="93"/>
              </w:rPr>
              <w:t>REPORTING</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78"/>
              <w:spacing w:after="0" w:line="170" w:lineRule="exact"/>
              <w:rPr>
                <w:sz w:val="20"/>
                <w:szCs w:val="20"/>
                <w:color w:val="auto"/>
              </w:rPr>
            </w:pPr>
            <w:r>
              <w:rPr>
                <w:rFonts w:ascii="Arial" w:cs="Arial" w:eastAsia="Arial" w:hAnsi="Arial"/>
                <w:sz w:val="18"/>
                <w:szCs w:val="18"/>
                <w:color w:val="auto"/>
                <w:w w:val="94"/>
              </w:rPr>
              <w:t>PERSON WITH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8</w:t>
            </w:r>
          </w:p>
        </w:tc>
        <w:tc>
          <w:tcPr>
            <w:tcW w:w="79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7,345,475.89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6"/>
              </w:rPr>
              <w:t>7,345,475.89 (*)</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920" w:type="dxa"/>
            <w:vAlign w:val="bottom"/>
            <w:tcBorders>
              <w:bottom w:val="single" w:sz="8" w:color="auto"/>
              <w:right w:val="single" w:sz="8" w:color="auto"/>
            </w:tcBorders>
          </w:tcPr>
          <w:p>
            <w:pPr>
              <w:spacing w:after="0"/>
              <w:rPr>
                <w:sz w:val="4"/>
                <w:szCs w:val="4"/>
                <w:color w:val="auto"/>
              </w:rPr>
            </w:pPr>
          </w:p>
        </w:tc>
        <w:tc>
          <w:tcPr>
            <w:tcW w:w="93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6.77% (*)(**)</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 The beneficial ownership of the securities reported herein is described in Item 4(a).</w:t>
      </w:r>
    </w:p>
    <w:p>
      <w:pPr>
        <w:spacing w:after="0" w:line="287" w:lineRule="exact"/>
        <w:rPr>
          <w:sz w:val="20"/>
          <w:szCs w:val="20"/>
          <w:color w:val="auto"/>
        </w:rPr>
      </w:pPr>
    </w:p>
    <w:p>
      <w:pPr>
        <w:ind w:left="5580" w:right="1340" w:hanging="5572"/>
        <w:spacing w:after="0" w:line="776" w:lineRule="auto"/>
        <w:tabs>
          <w:tab w:leader="none" w:pos="432"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108,489,058 Ordinary Shares outstanding as of December 31, 2021 (as reported on Bloomberg 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1361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tabs>
          <w:tab w:leader="none" w:pos="1900" w:val="left"/>
        </w:tabs>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Tower Semiconductor Ltd.</w:t>
      </w:r>
    </w:p>
    <w:p>
      <w:pPr>
        <w:spacing w:after="0" w:line="240" w:lineRule="exact"/>
        <w:rPr>
          <w:sz w:val="20"/>
          <w:szCs w:val="20"/>
          <w:color w:val="auto"/>
        </w:rPr>
      </w:pPr>
    </w:p>
    <w:p>
      <w:pPr>
        <w:ind w:left="1460" w:hanging="86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Ramat Gavriel Industrial Park, P.O. Box 619, Migdal Haemek 2310502, Israel</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Phoenix Holdings Ltd.</w:t>
      </w:r>
    </w:p>
    <w:p>
      <w:pPr>
        <w:spacing w:after="0" w:line="258" w:lineRule="exact"/>
        <w:rPr>
          <w:sz w:val="20"/>
          <w:szCs w:val="20"/>
          <w:color w:val="auto"/>
        </w:rPr>
      </w:pPr>
    </w:p>
    <w:p>
      <w:pPr>
        <w:jc w:val="both"/>
        <w:ind w:left="1420"/>
        <w:spacing w:after="0" w:line="260" w:lineRule="auto"/>
        <w:rPr>
          <w:sz w:val="20"/>
          <w:szCs w:val="20"/>
          <w:color w:val="auto"/>
        </w:rPr>
      </w:pPr>
      <w:r>
        <w:rPr>
          <w:rFonts w:ascii="Arial" w:cs="Arial" w:eastAsia="Arial" w:hAnsi="Arial"/>
          <w:sz w:val="22"/>
          <w:szCs w:val="22"/>
          <w:color w:val="auto"/>
        </w:rPr>
        <w:t>The securities reported herein are beneficially owned by various direct or indirect, majority or wholly-owned subsidiaries of the Phoenix Holdings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239" w:lineRule="exact"/>
        <w:rPr>
          <w:sz w:val="20"/>
          <w:szCs w:val="20"/>
          <w:color w:val="auto"/>
        </w:rPr>
      </w:pPr>
    </w:p>
    <w:p>
      <w:pPr>
        <w:ind w:left="1480" w:hanging="649"/>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The address of the Phoenix Holdings Ltd. is Derech Hashalom 53, Givataim, 53454, Israel.</w:t>
      </w:r>
    </w:p>
    <w:p>
      <w:pPr>
        <w:spacing w:after="0" w:line="240" w:lineRule="exact"/>
        <w:rPr>
          <w:sz w:val="20"/>
          <w:szCs w:val="20"/>
          <w:color w:val="auto"/>
        </w:rPr>
      </w:pPr>
    </w:p>
    <w:p>
      <w:pPr>
        <w:ind w:left="1480" w:hanging="649"/>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Phoenix Holdings Ltd. - Israel</w:t>
      </w:r>
    </w:p>
    <w:p>
      <w:pPr>
        <w:spacing w:after="0" w:line="252" w:lineRule="exact"/>
        <w:rPr>
          <w:sz w:val="20"/>
          <w:szCs w:val="20"/>
          <w:color w:val="auto"/>
        </w:rPr>
      </w:pPr>
    </w:p>
    <w:p>
      <w:pPr>
        <w:ind w:left="1480" w:hanging="649"/>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58"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Ordinary Shares, par value NIS 15.00 per share</w:t>
      </w:r>
    </w:p>
    <w:p>
      <w:pPr>
        <w:spacing w:after="0" w:line="254" w:lineRule="exact"/>
        <w:rPr>
          <w:sz w:val="20"/>
          <w:szCs w:val="20"/>
          <w:color w:val="auto"/>
        </w:rPr>
      </w:pPr>
    </w:p>
    <w:p>
      <w:pPr>
        <w:ind w:left="1480" w:hanging="649"/>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6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22"/>
                <w:szCs w:val="22"/>
                <w:color w:val="auto"/>
                <w:w w:val="92"/>
              </w:rPr>
              <w:t>M87915274</w:t>
            </w:r>
          </w:p>
        </w:tc>
      </w:tr>
      <w:tr>
        <w:trPr>
          <w:trHeight w:val="449"/>
        </w:trPr>
        <w:tc>
          <w:tcPr>
            <w:tcW w:w="1460" w:type="dxa"/>
            <w:vAlign w:val="bottom"/>
          </w:tcPr>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w w:val="90"/>
              </w:rPr>
              <w:t>Not applicable.</w:t>
            </w:r>
          </w:p>
        </w:tc>
      </w:tr>
      <w:tr>
        <w:trPr>
          <w:trHeight w:val="418"/>
        </w:trPr>
        <w:tc>
          <w:tcPr>
            <w:tcW w:w="1460" w:type="dxa"/>
            <w:vAlign w:val="bottom"/>
          </w:tcPr>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rPr>
              <w:t>Ownership:</w:t>
            </w:r>
          </w:p>
        </w:tc>
      </w:tr>
      <w:tr>
        <w:trPr>
          <w:trHeight w:val="20"/>
        </w:trPr>
        <w:tc>
          <w:tcPr>
            <w:tcW w:w="1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20" w:hanging="65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9 of cover page of each reporting person.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 w:name="page4"/>
    <w:bookmarkEnd w:id="3"/>
    <w:p>
      <w:pPr>
        <w:jc w:val="both"/>
        <w:ind w:left="656"/>
        <w:spacing w:after="0" w:line="254" w:lineRule="auto"/>
        <w:rPr>
          <w:sz w:val="20"/>
          <w:szCs w:val="20"/>
          <w:color w:val="auto"/>
        </w:rPr>
      </w:pPr>
      <w:r>
        <w:rPr>
          <w:rFonts w:ascii="Arial" w:cs="Arial" w:eastAsia="Arial" w:hAnsi="Arial"/>
          <w:sz w:val="18"/>
          <w:szCs w:val="18"/>
          <w:color w:val="auto"/>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and each of Filing Persons and Subsidiaries disclaims beneficial ownership of any such Ordinary Shares.</w:t>
      </w:r>
    </w:p>
    <w:p>
      <w:pPr>
        <w:spacing w:after="0" w:line="225" w:lineRule="exact"/>
        <w:rPr>
          <w:sz w:val="20"/>
          <w:szCs w:val="20"/>
          <w:color w:val="auto"/>
        </w:rPr>
      </w:pPr>
    </w:p>
    <w:p>
      <w:pPr>
        <w:ind w:left="656"/>
        <w:spacing w:after="0"/>
        <w:rPr>
          <w:sz w:val="20"/>
          <w:szCs w:val="20"/>
          <w:color w:val="auto"/>
        </w:rPr>
      </w:pPr>
      <w:r>
        <w:rPr>
          <w:rFonts w:ascii="Arial" w:cs="Arial" w:eastAsia="Arial" w:hAnsi="Arial"/>
          <w:sz w:val="22"/>
          <w:szCs w:val="22"/>
          <w:color w:val="auto"/>
        </w:rPr>
        <w:t>As of December 31, 2021, the securities reported herein were held as follows:</w:t>
      </w:r>
    </w:p>
    <w:p>
      <w:pPr>
        <w:spacing w:after="0" w:line="277" w:lineRule="exact"/>
        <w:rPr>
          <w:sz w:val="20"/>
          <w:szCs w:val="20"/>
          <w:color w:val="auto"/>
        </w:rPr>
      </w:pPr>
    </w:p>
    <w:tbl>
      <w:tblPr>
        <w:tblLayout w:type="fixed"/>
        <w:tblInd w:w="376"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 total</w:t>
            </w:r>
          </w:p>
        </w:tc>
      </w:tr>
      <w:tr>
        <w:trPr>
          <w:trHeight w:val="216"/>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Ordinary</w:t>
            </w:r>
          </w:p>
        </w:tc>
      </w:tr>
      <w:tr>
        <w:trPr>
          <w:trHeight w:val="216"/>
        </w:trPr>
        <w:tc>
          <w:tcPr>
            <w:tcW w:w="77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Ordinary</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r>
      <w:tr>
        <w:trPr>
          <w:trHeight w:val="241"/>
        </w:trPr>
        <w:tc>
          <w:tcPr>
            <w:tcW w:w="77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outstanding</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Excellence "nostro" accounts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Excellence provident funds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Excellence trust funds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1,293,219.80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Excellence ETF's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The Phoenix "nostro" accounts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335,519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The Phoenix pension and provident funds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154,088.95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Linked insurance policies of Phoenix</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26,955.71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Partnership for Israeli shares (1)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4,874,037.42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Partnership for investing in shares indexes (1)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661,694.50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Partnership for international shares (1)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Halman - Aldubi Provident and Pension Funds Ltd.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76" w:hanging="342"/>
        <w:spacing w:after="0" w:line="342" w:lineRule="auto"/>
        <w:tabs>
          <w:tab w:leader="none" w:pos="976"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150" w:lineRule="exact"/>
        <w:rPr>
          <w:rFonts w:ascii="Arial" w:cs="Arial" w:eastAsia="Arial" w:hAnsi="Arial"/>
          <w:sz w:val="16"/>
          <w:szCs w:val="16"/>
          <w:color w:val="auto"/>
        </w:rPr>
      </w:pPr>
    </w:p>
    <w:p>
      <w:pPr>
        <w:ind w:left="656" w:hanging="656"/>
        <w:spacing w:after="0"/>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56"/>
        <w:spacing w:after="0"/>
        <w:rPr>
          <w:rFonts w:ascii="Arial" w:cs="Arial" w:eastAsia="Arial" w:hAnsi="Arial"/>
          <w:sz w:val="18"/>
          <w:szCs w:val="18"/>
          <w:color w:val="auto"/>
        </w:rPr>
      </w:pPr>
      <w:r>
        <w:rPr>
          <w:rFonts w:ascii="Arial" w:cs="Arial" w:eastAsia="Arial" w:hAnsi="Arial"/>
          <w:sz w:val="18"/>
          <w:szCs w:val="18"/>
          <w:color w:val="auto"/>
        </w:rPr>
        <w:t>See row 11 of cover page of each reporting person</w:t>
      </w:r>
    </w:p>
    <w:p>
      <w:pPr>
        <w:spacing w:after="0" w:line="252" w:lineRule="exact"/>
        <w:rPr>
          <w:rFonts w:ascii="Arial" w:cs="Arial" w:eastAsia="Arial" w:hAnsi="Arial"/>
          <w:sz w:val="18"/>
          <w:szCs w:val="18"/>
          <w:color w:val="auto"/>
        </w:rPr>
      </w:pPr>
    </w:p>
    <w:p>
      <w:pPr>
        <w:ind w:left="656" w:hanging="656"/>
        <w:spacing w:after="0"/>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16" w:hanging="647"/>
        <w:spacing w:after="0"/>
        <w:tabs>
          <w:tab w:leader="none" w:pos="14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416"/>
        <w:spacing w:after="0"/>
        <w:rPr>
          <w:rFonts w:ascii="Arial" w:cs="Arial" w:eastAsia="Arial" w:hAnsi="Arial"/>
          <w:sz w:val="18"/>
          <w:szCs w:val="18"/>
          <w:color w:val="auto"/>
        </w:rPr>
      </w:pPr>
      <w:r>
        <w:rPr>
          <w:rFonts w:ascii="Arial" w:cs="Arial" w:eastAsia="Arial" w:hAnsi="Arial"/>
          <w:sz w:val="18"/>
          <w:szCs w:val="18"/>
          <w:color w:val="auto"/>
        </w:rPr>
        <w:t>See row 5 of cover page of each reporting person</w:t>
      </w:r>
    </w:p>
    <w:p>
      <w:pPr>
        <w:spacing w:after="0" w:line="252" w:lineRule="exact"/>
        <w:rPr>
          <w:rFonts w:ascii="Arial" w:cs="Arial" w:eastAsia="Arial" w:hAnsi="Arial"/>
          <w:sz w:val="18"/>
          <w:szCs w:val="18"/>
          <w:color w:val="auto"/>
        </w:rPr>
      </w:pPr>
    </w:p>
    <w:p>
      <w:pPr>
        <w:ind w:left="1416" w:hanging="647"/>
        <w:spacing w:after="0"/>
        <w:tabs>
          <w:tab w:leader="none" w:pos="14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416"/>
        <w:spacing w:after="0"/>
        <w:rPr>
          <w:rFonts w:ascii="Arial" w:cs="Arial" w:eastAsia="Arial" w:hAnsi="Arial"/>
          <w:sz w:val="18"/>
          <w:szCs w:val="18"/>
          <w:color w:val="auto"/>
        </w:rPr>
      </w:pPr>
      <w:r>
        <w:rPr>
          <w:rFonts w:ascii="Arial" w:cs="Arial" w:eastAsia="Arial" w:hAnsi="Arial"/>
          <w:sz w:val="18"/>
          <w:szCs w:val="18"/>
          <w:color w:val="auto"/>
        </w:rPr>
        <w:t>See row 6 of cover page of each reporting person and note in Item 4(a) above</w:t>
      </w:r>
    </w:p>
    <w:p>
      <w:pPr>
        <w:spacing w:after="0" w:line="23" w:lineRule="exact"/>
        <w:rPr>
          <w:rFonts w:ascii="Arial" w:cs="Arial" w:eastAsia="Arial" w:hAnsi="Arial"/>
          <w:sz w:val="18"/>
          <w:szCs w:val="18"/>
          <w:color w:val="auto"/>
        </w:rPr>
      </w:pPr>
    </w:p>
    <w:p>
      <w:pPr>
        <w:ind w:left="1416" w:right="5300" w:hanging="647"/>
        <w:spacing w:after="0" w:line="571" w:lineRule="auto"/>
        <w:tabs>
          <w:tab w:leader="none" w:pos="1416" w:val="left"/>
        </w:tabs>
        <w:numPr>
          <w:ilvl w:val="2"/>
          <w:numId w:val="1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of each reporting person</w:t>
      </w:r>
    </w:p>
    <w:p>
      <w:pPr>
        <w:spacing w:after="0" w:line="1" w:lineRule="exact"/>
        <w:rPr>
          <w:rFonts w:ascii="Arial" w:cs="Arial" w:eastAsia="Arial" w:hAnsi="Arial"/>
          <w:sz w:val="16"/>
          <w:szCs w:val="16"/>
          <w:color w:val="auto"/>
        </w:rPr>
      </w:pPr>
    </w:p>
    <w:p>
      <w:pPr>
        <w:ind w:left="1416" w:hanging="647"/>
        <w:spacing w:after="0"/>
        <w:tabs>
          <w:tab w:leader="none" w:pos="14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416"/>
        <w:spacing w:after="0"/>
        <w:rPr>
          <w:rFonts w:ascii="Arial" w:cs="Arial" w:eastAsia="Arial" w:hAnsi="Arial"/>
          <w:sz w:val="18"/>
          <w:szCs w:val="18"/>
          <w:color w:val="auto"/>
        </w:rPr>
      </w:pPr>
      <w:r>
        <w:rPr>
          <w:rFonts w:ascii="Arial" w:cs="Arial" w:eastAsia="Arial" w:hAnsi="Arial"/>
          <w:sz w:val="18"/>
          <w:szCs w:val="18"/>
          <w:color w:val="auto"/>
        </w:rPr>
        <w:t>See row 8 of cover page of each reporting person and note in Item 4(a) above</w:t>
      </w:r>
    </w:p>
    <w:p>
      <w:pPr>
        <w:spacing w:after="0" w:line="200" w:lineRule="exact"/>
        <w:rPr>
          <w:sz w:val="20"/>
          <w:szCs w:val="20"/>
          <w:color w:val="auto"/>
        </w:rPr>
      </w:pPr>
    </w:p>
    <w:p>
      <w:pPr>
        <w:spacing w:after="0" w:line="220" w:lineRule="exact"/>
        <w:rPr>
          <w:sz w:val="20"/>
          <w:szCs w:val="20"/>
          <w:color w:val="auto"/>
        </w:rPr>
      </w:pPr>
    </w:p>
    <w:p>
      <w:pPr>
        <w:ind w:left="4816"/>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41275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6"/>
          </w:cols>
          <w:pgMar w:left="1084" w:top="584" w:right="339" w:bottom="1440" w:gutter="0" w:footer="0" w:header="0"/>
        </w:sectPr>
      </w:pPr>
    </w:p>
    <w:bookmarkStart w:id="4" w:name="page5"/>
    <w:bookmarkEnd w:id="4"/>
    <w:p>
      <w:pPr>
        <w:spacing w:after="0"/>
        <w:tabs>
          <w:tab w:leader="none" w:pos="144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62"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5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31"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tabs>
          <w:tab w:leader="none" w:pos="14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February 6, 2022</w:t>
      </w:r>
    </w:p>
    <w:p>
      <w:pPr>
        <w:spacing w:after="0" w:line="27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The Phoenix Holdings Ltd.</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18"/>
          <w:szCs w:val="18"/>
          <w:u w:val="single" w:color="auto"/>
          <w:color w:val="auto"/>
        </w:rPr>
        <w:t>/s/ Eli Schwartz</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Eli Schwartz*</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Executive Vice President - Chief Financial Officer</w:t>
      </w:r>
    </w:p>
    <w:p>
      <w:pPr>
        <w:spacing w:after="0" w:line="238" w:lineRule="exact"/>
        <w:rPr>
          <w:sz w:val="20"/>
          <w:szCs w:val="20"/>
          <w:color w:val="auto"/>
        </w:rPr>
      </w:pPr>
    </w:p>
    <w:p>
      <w:pPr>
        <w:ind w:left="4900"/>
        <w:spacing w:after="0"/>
        <w:rPr>
          <w:sz w:val="20"/>
          <w:szCs w:val="20"/>
          <w:color w:val="auto"/>
        </w:rPr>
      </w:pPr>
      <w:r>
        <w:rPr>
          <w:rFonts w:ascii="Arial" w:cs="Arial" w:eastAsia="Arial" w:hAnsi="Arial"/>
          <w:sz w:val="18"/>
          <w:szCs w:val="18"/>
          <w:u w:val="single" w:color="auto"/>
          <w:color w:val="auto"/>
        </w:rPr>
        <w:t>/s/ Haggai Schreiber</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Haggai Schreiber*</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Executive Vice President - Chief Investment Officer</w:t>
      </w:r>
    </w:p>
    <w:p>
      <w:pPr>
        <w:spacing w:after="0" w:line="24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Signature duly authorized by resolution of the Board of Directors, notice of which is attached as Exhibit 1 to this Schedule 13G.</w:t>
      </w:r>
    </w:p>
    <w:p>
      <w:pPr>
        <w:spacing w:after="0" w:line="308"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tabs>
          <w:tab w:leader="none" w:pos="11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11" w:lineRule="exact"/>
        <w:rPr>
          <w:sz w:val="20"/>
          <w:szCs w:val="20"/>
          <w:color w:val="auto"/>
        </w:rPr>
      </w:pPr>
    </w:p>
    <w:p>
      <w:pPr>
        <w:spacing w:after="0"/>
        <w:tabs>
          <w:tab w:leader="none" w:pos="1100" w:val="left"/>
        </w:tabs>
        <w:rPr>
          <w:rFonts w:ascii="Arial" w:cs="Arial" w:eastAsia="Arial" w:hAnsi="Arial"/>
          <w:sz w:val="16"/>
          <w:szCs w:val="16"/>
          <w:u w:val="single" w:color="auto"/>
          <w:color w:val="0000EE"/>
        </w:rPr>
      </w:pPr>
      <w:hyperlink w:anchor="page9">
        <w:r>
          <w:rPr>
            <w:rFonts w:ascii="Arial" w:cs="Arial" w:eastAsia="Arial" w:hAnsi="Arial"/>
            <w:sz w:val="18"/>
            <w:szCs w:val="18"/>
            <w:u w:val="single" w:color="auto"/>
            <w:color w:val="0000EE"/>
          </w:rPr>
          <w:t>Exhibit 1</w:t>
        </w:r>
      </w:hyperlink>
      <w:r>
        <w:rPr>
          <w:rFonts w:ascii="Arial" w:cs="Arial" w:eastAsia="Arial" w:hAnsi="Arial"/>
          <w:sz w:val="18"/>
          <w:szCs w:val="18"/>
          <w:u w:val="single" w:color="auto"/>
          <w:color w:val="0000EE"/>
        </w:rPr>
        <w:tab/>
      </w:r>
      <w:hyperlink w:anchor="page9">
        <w:r>
          <w:rPr>
            <w:rFonts w:ascii="Arial" w:cs="Arial" w:eastAsia="Arial" w:hAnsi="Arial"/>
            <w:sz w:val="16"/>
            <w:szCs w:val="16"/>
            <w:u w:val="single" w:color="auto"/>
            <w:color w:val="0000EE"/>
          </w:rPr>
          <w:t>Notice of resolution of the Board of Directors of the Phoenix Holdings Ltd., dated as of December 12, 2019.</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36130"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8" w:name="page9"/>
    <w:bookmarkEnd w:id="8"/>
    <w:p>
      <w:pPr>
        <w:ind w:left="1040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1</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[Unofficial Translation]</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December 12, 2019</w:t>
      </w:r>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Powers of Signature in The Phoenix Holdings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 xml:space="preserve">Ltd. (hereinafter: the </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w:t>
      </w:r>
    </w:p>
    <w:p>
      <w:pPr>
        <w:spacing w:after="0" w:line="283" w:lineRule="exact"/>
        <w:rPr>
          <w:sz w:val="20"/>
          <w:szCs w:val="20"/>
          <w:color w:val="auto"/>
        </w:rPr>
      </w:pPr>
    </w:p>
    <w:p>
      <w:pPr>
        <w:ind w:left="780" w:right="220"/>
        <w:spacing w:after="0" w:line="276" w:lineRule="auto"/>
        <w:rPr>
          <w:sz w:val="20"/>
          <w:szCs w:val="20"/>
          <w:color w:val="auto"/>
        </w:rPr>
      </w:pPr>
      <w:r>
        <w:rPr>
          <w:rFonts w:ascii="Arial" w:cs="Arial" w:eastAsia="Arial" w:hAnsi="Arial"/>
          <w:sz w:val="22"/>
          <w:szCs w:val="22"/>
          <w:color w:val="auto"/>
        </w:rPr>
        <w:t>In accordance with a resolution of the Board of Directors of the Company, the powers of signatures in the Company as of December 12, 2019, are as follows:</w:t>
      </w:r>
    </w:p>
    <w:p>
      <w:pPr>
        <w:spacing w:after="0" w:line="222" w:lineRule="exact"/>
        <w:rPr>
          <w:sz w:val="20"/>
          <w:szCs w:val="20"/>
          <w:color w:val="auto"/>
        </w:rPr>
      </w:pPr>
    </w:p>
    <w:p>
      <w:pPr>
        <w:ind w:left="780"/>
        <w:spacing w:after="0"/>
        <w:rPr>
          <w:sz w:val="20"/>
          <w:szCs w:val="20"/>
          <w:color w:val="auto"/>
        </w:rPr>
      </w:pPr>
      <w:r>
        <w:rPr>
          <w:rFonts w:ascii="Arial" w:cs="Arial" w:eastAsia="Arial" w:hAnsi="Arial"/>
          <w:sz w:val="22"/>
          <w:szCs w:val="22"/>
          <w:b w:val="1"/>
          <w:bCs w:val="1"/>
          <w:u w:val="single" w:color="auto"/>
          <w:color w:val="auto"/>
        </w:rPr>
        <w:t>General Rights of Signature</w:t>
      </w:r>
    </w:p>
    <w:p>
      <w:pPr>
        <w:spacing w:after="0" w:line="27" w:lineRule="exact"/>
        <w:rPr>
          <w:sz w:val="20"/>
          <w:szCs w:val="20"/>
          <w:color w:val="auto"/>
        </w:rPr>
      </w:pPr>
    </w:p>
    <w:p>
      <w:pPr>
        <w:jc w:val="both"/>
        <w:ind w:left="1420" w:hanging="661"/>
        <w:spacing w:after="0" w:line="251"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signature of the Chairman of the Board of Directors (and / or the CEO (Mr. Eyal Ben Simon) of the Company together, or the signature of one of them with the additional signature of an officer from Group A, shall bind the Company in any matter for an unlimited amount.</w:t>
      </w:r>
    </w:p>
    <w:p>
      <w:pPr>
        <w:spacing w:after="0" w:line="2" w:lineRule="exact"/>
        <w:rPr>
          <w:rFonts w:ascii="Arial" w:cs="Arial" w:eastAsia="Arial" w:hAnsi="Arial"/>
          <w:sz w:val="18"/>
          <w:szCs w:val="18"/>
          <w:color w:val="auto"/>
        </w:rPr>
      </w:pPr>
    </w:p>
    <w:p>
      <w:pPr>
        <w:ind w:left="1420" w:right="20" w:hanging="661"/>
        <w:spacing w:after="0" w:line="250"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signatures of two officers from Group A (that are not subject to one another, apart from the CEO) shall bind the Company in any matter up to a sum of NIS 400,000,000.</w:t>
      </w:r>
    </w:p>
    <w:p>
      <w:pPr>
        <w:ind w:left="1420" w:hanging="661"/>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20" w:hanging="661"/>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pacing w:after="0" w:line="265" w:lineRule="exact"/>
        <w:rPr>
          <w:sz w:val="20"/>
          <w:szCs w:val="20"/>
          <w:color w:val="auto"/>
        </w:rPr>
      </w:pPr>
    </w:p>
    <w:p>
      <w:pPr>
        <w:ind w:left="780"/>
        <w:spacing w:after="0"/>
        <w:rPr>
          <w:sz w:val="20"/>
          <w:szCs w:val="20"/>
          <w:color w:val="auto"/>
        </w:rPr>
      </w:pPr>
      <w:r>
        <w:rPr>
          <w:rFonts w:ascii="Arial" w:cs="Arial" w:eastAsia="Arial" w:hAnsi="Arial"/>
          <w:sz w:val="22"/>
          <w:szCs w:val="22"/>
          <w:b w:val="1"/>
          <w:bCs w:val="1"/>
          <w:u w:val="single" w:color="auto"/>
          <w:color w:val="auto"/>
        </w:rPr>
        <w:t>Delegation and Revocation of Powers</w:t>
      </w:r>
    </w:p>
    <w:p>
      <w:pPr>
        <w:spacing w:after="0" w:line="27" w:lineRule="exact"/>
        <w:rPr>
          <w:sz w:val="20"/>
          <w:szCs w:val="20"/>
          <w:color w:val="auto"/>
        </w:rPr>
      </w:pPr>
    </w:p>
    <w:p>
      <w:pPr>
        <w:ind w:left="1420" w:hanging="661"/>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12" w:lineRule="exact"/>
        <w:rPr>
          <w:rFonts w:ascii="Arial" w:cs="Arial" w:eastAsia="Arial" w:hAnsi="Arial"/>
          <w:sz w:val="18"/>
          <w:szCs w:val="18"/>
          <w:color w:val="auto"/>
        </w:rPr>
      </w:pPr>
    </w:p>
    <w:p>
      <w:pPr>
        <w:ind w:left="1420" w:hanging="661"/>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20" w:hanging="661"/>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400" w:type="dxa"/>
            <w:vAlign w:val="bottom"/>
            <w:tcBorders>
              <w:top w:val="single" w:sz="8" w:color="auto"/>
              <w:left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Group A</w:t>
            </w:r>
          </w:p>
        </w:tc>
        <w:tc>
          <w:tcPr>
            <w:tcW w:w="3340" w:type="dxa"/>
            <w:vAlign w:val="bottom"/>
            <w:tcBorders>
              <w:top w:val="single" w:sz="8" w:color="auto"/>
              <w:right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Group B</w:t>
            </w:r>
          </w:p>
        </w:tc>
      </w:tr>
      <w:tr>
        <w:trPr>
          <w:trHeight w:val="47"/>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r>
      <w:tr>
        <w:trPr>
          <w:trHeight w:val="257"/>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340" w:type="dxa"/>
            <w:vAlign w:val="bottom"/>
            <w:tcBorders>
              <w:right w:val="single" w:sz="8" w:color="auto"/>
            </w:tcBorders>
          </w:tcPr>
          <w:p>
            <w:pPr>
              <w:jc w:val="right"/>
              <w:ind w:right="2930"/>
              <w:spacing w:after="0"/>
              <w:rPr>
                <w:sz w:val="20"/>
                <w:szCs w:val="20"/>
                <w:color w:val="auto"/>
              </w:rPr>
            </w:pPr>
            <w:r>
              <w:rPr>
                <w:rFonts w:ascii="Arial" w:cs="Arial" w:eastAsia="Arial" w:hAnsi="Arial"/>
                <w:sz w:val="18"/>
                <w:szCs w:val="18"/>
                <w:color w:val="auto"/>
              </w:rPr>
              <w:t>***</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r>
      <w:tr>
        <w:trPr>
          <w:trHeight w:val="257"/>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340" w:type="dxa"/>
            <w:vAlign w:val="bottom"/>
            <w:tcBorders>
              <w:right w:val="single" w:sz="8" w:color="auto"/>
            </w:tcBorders>
          </w:tcPr>
          <w:p>
            <w:pPr>
              <w:jc w:val="right"/>
              <w:ind w:right="2930"/>
              <w:spacing w:after="0"/>
              <w:rPr>
                <w:sz w:val="20"/>
                <w:szCs w:val="20"/>
                <w:color w:val="auto"/>
              </w:rPr>
            </w:pPr>
            <w:r>
              <w:rPr>
                <w:rFonts w:ascii="Arial" w:cs="Arial" w:eastAsia="Arial" w:hAnsi="Arial"/>
                <w:sz w:val="18"/>
                <w:szCs w:val="18"/>
                <w:color w:val="auto"/>
              </w:rPr>
              <w:t>***</w:t>
            </w:r>
          </w:p>
        </w:tc>
      </w:tr>
      <w:tr>
        <w:trPr>
          <w:trHeight w:val="47"/>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r>
      <w:tr>
        <w:trPr>
          <w:trHeight w:val="257"/>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340" w:type="dxa"/>
            <w:vAlign w:val="bottom"/>
            <w:tcBorders>
              <w:right w:val="single" w:sz="8" w:color="auto"/>
            </w:tcBorders>
          </w:tcPr>
          <w:p>
            <w:pPr>
              <w:spacing w:after="0"/>
              <w:rPr>
                <w:sz w:val="22"/>
                <w:szCs w:val="22"/>
                <w:color w:val="auto"/>
              </w:rPr>
            </w:pP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r>
      <w:tr>
        <w:trPr>
          <w:trHeight w:val="242"/>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Eli Schwartz (Executive Vice President -</w:t>
            </w:r>
          </w:p>
        </w:tc>
        <w:tc>
          <w:tcPr>
            <w:tcW w:w="3340" w:type="dxa"/>
            <w:vAlign w:val="bottom"/>
            <w:tcBorders>
              <w:right w:val="single" w:sz="8" w:color="auto"/>
            </w:tcBorders>
          </w:tcPr>
          <w:p>
            <w:pPr>
              <w:spacing w:after="0"/>
              <w:rPr>
                <w:sz w:val="21"/>
                <w:szCs w:val="21"/>
                <w:color w:val="auto"/>
              </w:rPr>
            </w:pPr>
          </w:p>
        </w:tc>
      </w:tr>
      <w:tr>
        <w:trPr>
          <w:trHeight w:val="230"/>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Chief Financial Officer)</w:t>
            </w:r>
          </w:p>
        </w:tc>
        <w:tc>
          <w:tcPr>
            <w:tcW w:w="3340" w:type="dxa"/>
            <w:vAlign w:val="bottom"/>
            <w:tcBorders>
              <w:right w:val="single" w:sz="8" w:color="auto"/>
            </w:tcBorders>
          </w:tcPr>
          <w:p>
            <w:pPr>
              <w:spacing w:after="0"/>
              <w:rPr>
                <w:sz w:val="20"/>
                <w:szCs w:val="20"/>
                <w:color w:val="auto"/>
              </w:rPr>
            </w:pP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r>
      <w:tr>
        <w:trPr>
          <w:trHeight w:val="242"/>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Haggai Schreiber (Executive Vice President</w:t>
            </w:r>
          </w:p>
        </w:tc>
        <w:tc>
          <w:tcPr>
            <w:tcW w:w="3340" w:type="dxa"/>
            <w:vAlign w:val="bottom"/>
            <w:tcBorders>
              <w:right w:val="single" w:sz="8" w:color="auto"/>
            </w:tcBorders>
          </w:tcPr>
          <w:p>
            <w:pPr>
              <w:spacing w:after="0"/>
              <w:rPr>
                <w:sz w:val="21"/>
                <w:szCs w:val="21"/>
                <w:color w:val="auto"/>
              </w:rPr>
            </w:pPr>
          </w:p>
        </w:tc>
      </w:tr>
      <w:tr>
        <w:trPr>
          <w:trHeight w:val="230"/>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Chief Investment Officer)</w:t>
            </w:r>
          </w:p>
        </w:tc>
        <w:tc>
          <w:tcPr>
            <w:tcW w:w="3340" w:type="dxa"/>
            <w:vAlign w:val="bottom"/>
            <w:tcBorders>
              <w:right w:val="single" w:sz="8" w:color="auto"/>
            </w:tcBorders>
          </w:tcPr>
          <w:p>
            <w:pPr>
              <w:spacing w:after="0"/>
              <w:rPr>
                <w:sz w:val="20"/>
                <w:szCs w:val="20"/>
                <w:color w:val="auto"/>
              </w:rPr>
            </w:pP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r>
      <w:tr>
        <w:trPr>
          <w:trHeight w:val="242"/>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Menachem Neeman (Executive Vice</w:t>
            </w:r>
          </w:p>
        </w:tc>
        <w:tc>
          <w:tcPr>
            <w:tcW w:w="3340" w:type="dxa"/>
            <w:vAlign w:val="bottom"/>
            <w:tcBorders>
              <w:right w:val="single" w:sz="8" w:color="auto"/>
            </w:tcBorders>
          </w:tcPr>
          <w:p>
            <w:pPr>
              <w:spacing w:after="0"/>
              <w:rPr>
                <w:sz w:val="21"/>
                <w:szCs w:val="21"/>
                <w:color w:val="auto"/>
              </w:rPr>
            </w:pPr>
          </w:p>
        </w:tc>
      </w:tr>
      <w:tr>
        <w:trPr>
          <w:trHeight w:val="216"/>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President - Chief Legal Counsel and</w:t>
            </w:r>
          </w:p>
        </w:tc>
        <w:tc>
          <w:tcPr>
            <w:tcW w:w="3340" w:type="dxa"/>
            <w:vAlign w:val="bottom"/>
            <w:tcBorders>
              <w:right w:val="single" w:sz="8" w:color="auto"/>
            </w:tcBorders>
          </w:tcPr>
          <w:p>
            <w:pPr>
              <w:spacing w:after="0"/>
              <w:rPr>
                <w:sz w:val="18"/>
                <w:szCs w:val="18"/>
                <w:color w:val="auto"/>
              </w:rPr>
            </w:pPr>
          </w:p>
        </w:tc>
      </w:tr>
      <w:tr>
        <w:trPr>
          <w:trHeight w:val="230"/>
        </w:trPr>
        <w:tc>
          <w:tcPr>
            <w:tcW w:w="3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Corporate Secretary)</w:t>
            </w:r>
          </w:p>
        </w:tc>
        <w:tc>
          <w:tcPr>
            <w:tcW w:w="3340" w:type="dxa"/>
            <w:vAlign w:val="bottom"/>
            <w:tcBorders>
              <w:right w:val="single" w:sz="8" w:color="auto"/>
            </w:tcBorders>
          </w:tcPr>
          <w:p>
            <w:pPr>
              <w:spacing w:after="0"/>
              <w:rPr>
                <w:sz w:val="20"/>
                <w:szCs w:val="20"/>
                <w:color w:val="auto"/>
              </w:rPr>
            </w:pPr>
          </w:p>
        </w:tc>
      </w:tr>
      <w:tr>
        <w:trPr>
          <w:trHeight w:val="47"/>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r>
    </w:tbl>
    <w:p>
      <w:pPr>
        <w:spacing w:after="0" w:line="262" w:lineRule="exact"/>
        <w:rPr>
          <w:sz w:val="20"/>
          <w:szCs w:val="20"/>
          <w:color w:val="auto"/>
        </w:rPr>
      </w:pPr>
    </w:p>
    <w:p>
      <w:pPr>
        <w:ind w:right="300"/>
        <w:spacing w:after="0" w:line="276" w:lineRule="auto"/>
        <w:rPr>
          <w:sz w:val="20"/>
          <w:szCs w:val="20"/>
          <w:color w:val="auto"/>
        </w:rPr>
      </w:pPr>
      <w:r>
        <w:rPr>
          <w:rFonts w:ascii="Arial" w:cs="Arial" w:eastAsia="Arial" w:hAnsi="Arial"/>
          <w:sz w:val="22"/>
          <w:szCs w:val="22"/>
          <w:color w:val="auto"/>
        </w:rPr>
        <w:t>I hereby certify that the aforesaid resolutions of the Board of Directors were duly adopted and are binding on the Company for all intents and purposes.</w:t>
      </w:r>
    </w:p>
    <w:p>
      <w:pPr>
        <w:spacing w:after="0" w:line="222" w:lineRule="exact"/>
        <w:rPr>
          <w:sz w:val="20"/>
          <w:szCs w:val="20"/>
          <w:color w:val="auto"/>
        </w:rPr>
      </w:pPr>
    </w:p>
    <w:p>
      <w:pPr>
        <w:jc w:val="center"/>
        <w:ind w:left="5540"/>
        <w:spacing w:after="0"/>
        <w:rPr>
          <w:sz w:val="20"/>
          <w:szCs w:val="20"/>
          <w:color w:val="auto"/>
        </w:rPr>
      </w:pPr>
      <w:r>
        <w:rPr>
          <w:rFonts w:ascii="Arial" w:cs="Arial" w:eastAsia="Arial" w:hAnsi="Arial"/>
          <w:sz w:val="18"/>
          <w:szCs w:val="18"/>
          <w:u w:val="single" w:color="auto"/>
          <w:color w:val="auto"/>
        </w:rPr>
        <w:t>/s/ Elad Sirkis</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Elad Sirkis, Advocate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2"/>
      <w:numFmt w:val="bullet"/>
      <w:start w:val="1"/>
    </w:lvl>
    <w:lvl w:ilvl="1">
      <w:lvlJc w:val="left"/>
      <w:lvlText w:val="(%2)"/>
      <w:numFmt w:val="low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1)"/>
      <w:numFmt w:val="lowerLetter"/>
      <w:start w:val="3"/>
    </w:lvl>
  </w:abstractNum>
  <w:abstractNum w:abstractNumId="9">
    <w:nsid w:val="109CF92E"/>
    <w:multiLevelType w:val="hybridMultilevel"/>
    <w:lvl w:ilvl="0">
      <w:lvlJc w:val="left"/>
      <w:lvlText w:val="(%1)"/>
      <w:numFmt w:val="lowerLetter"/>
      <w:start w:val="4"/>
    </w:lvl>
  </w:abstractNum>
  <w:abstractNum w:abstractNumId="10">
    <w:nsid w:val="DED7263"/>
    <w:multiLevelType w:val="hybridMultilevel"/>
    <w:lvl w:ilvl="0">
      <w:lvlJc w:val="left"/>
      <w:lvlText w:val="(%1)"/>
      <w:numFmt w:val="lowerLetter"/>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41A7C4C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2022-02-07T05:30:22Z</dcterms:created>
  <dcterms:modified xsi:type="dcterms:W3CDTF">2022-02-07T05:30:22Z</dcterms:modified>
</cp:coreProperties>
</file>