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June 2021 No. 2</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t>On June 24, 2021, the Registrant announces: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STMicroelectronics brings Tower Semiconductor on board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300mm analog and power fab under construction in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306705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0"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June 24,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7056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9"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1036955" cy="805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36955" cy="805815"/>
                    </a:xfrm>
                    <a:prstGeom prst="rect">
                      <a:avLst/>
                    </a:prstGeom>
                    <a:noFill/>
                  </pic:spPr>
                </pic:pic>
              </a:graphicData>
            </a:graphic>
          </wp:anchor>
        </w:drawing>
        <w:drawing>
          <wp:anchor simplePos="0" relativeHeight="251657728" behindDoc="1" locked="0" layoutInCell="0" allowOverlap="1">
            <wp:simplePos x="0" y="0"/>
            <wp:positionH relativeFrom="page">
              <wp:posOffset>6354445</wp:posOffset>
            </wp:positionH>
            <wp:positionV relativeFrom="page">
              <wp:posOffset>354965</wp:posOffset>
            </wp:positionV>
            <wp:extent cx="985520" cy="574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985520" cy="574040"/>
                    </a:xfrm>
                    <a:prstGeom prst="rect">
                      <a:avLst/>
                    </a:prstGeom>
                    <a:noFill/>
                  </pic:spPr>
                </pic:pic>
              </a:graphicData>
            </a:graphic>
          </wp:anchor>
        </w:drawing>
      </w:r>
    </w:p>
    <w:p>
      <w:pPr>
        <w:spacing w:after="0" w:line="320" w:lineRule="exact"/>
        <w:rPr>
          <w:sz w:val="20"/>
          <w:szCs w:val="20"/>
          <w:color w:val="auto"/>
        </w:rPr>
      </w:pPr>
    </w:p>
    <w:p>
      <w:pPr>
        <w:jc w:val="center"/>
        <w:spacing w:after="0" w:line="293" w:lineRule="auto"/>
        <w:rPr>
          <w:sz w:val="20"/>
          <w:szCs w:val="20"/>
          <w:color w:val="auto"/>
        </w:rPr>
      </w:pPr>
      <w:r>
        <w:rPr>
          <w:rFonts w:ascii="Arial" w:cs="Arial" w:eastAsia="Arial" w:hAnsi="Arial"/>
          <w:sz w:val="25"/>
          <w:szCs w:val="25"/>
          <w:b w:val="1"/>
          <w:bCs w:val="1"/>
          <w:color w:val="auto"/>
        </w:rPr>
        <w:t>STMicroelectronics brings Tower Semiconductor on board 300mm analog and power fab under construction in Italy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Partners to accelerate ST Agrate R3 300mm fab ramp-up to large volumes</w:t>
      </w:r>
    </w:p>
    <w:p>
      <w:pPr>
        <w:spacing w:after="0" w:line="281" w:lineRule="exact"/>
        <w:rPr>
          <w:sz w:val="20"/>
          <w:szCs w:val="20"/>
          <w:color w:val="auto"/>
        </w:rPr>
      </w:pPr>
    </w:p>
    <w:p>
      <w:pPr>
        <w:ind w:right="60"/>
        <w:spacing w:after="0" w:line="307" w:lineRule="auto"/>
        <w:rPr>
          <w:sz w:val="20"/>
          <w:szCs w:val="20"/>
          <w:color w:val="auto"/>
        </w:rPr>
      </w:pPr>
      <w:r>
        <w:rPr>
          <w:rFonts w:ascii="Arial" w:cs="Arial" w:eastAsia="Arial" w:hAnsi="Arial"/>
          <w:sz w:val="19"/>
          <w:szCs w:val="19"/>
          <w:b w:val="1"/>
          <w:bCs w:val="1"/>
          <w:color w:val="auto"/>
        </w:rPr>
        <w:t xml:space="preserve">Geneva, Switzerland and Migdal Haemek, Israel, June 24, 2021 </w:t>
      </w:r>
      <w:r>
        <w:rPr>
          <w:rFonts w:ascii="Arial" w:cs="Arial" w:eastAsia="Arial" w:hAnsi="Arial"/>
          <w:sz w:val="19"/>
          <w:szCs w:val="19"/>
          <w:color w:val="auto"/>
        </w:rPr>
        <w:t>– STMicroelectronics (NYSE:STM), a global semiconductor</w:t>
      </w:r>
      <w:r>
        <w:rPr>
          <w:rFonts w:ascii="Arial" w:cs="Arial" w:eastAsia="Arial" w:hAnsi="Arial"/>
          <w:sz w:val="19"/>
          <w:szCs w:val="19"/>
          <w:b w:val="1"/>
          <w:bCs w:val="1"/>
          <w:color w:val="auto"/>
        </w:rPr>
        <w:t xml:space="preserve"> </w:t>
      </w:r>
      <w:r>
        <w:rPr>
          <w:rFonts w:ascii="Arial" w:cs="Arial" w:eastAsia="Arial" w:hAnsi="Arial"/>
          <w:sz w:val="19"/>
          <w:szCs w:val="19"/>
          <w:color w:val="auto"/>
        </w:rPr>
        <w:t>leader serving customers across the spectrum of electronics applications and Tower Semiconductor (NASDAQ: TSEM &amp; TASE: TSEM), the leading foundry of high-value analog semiconductor solutions, announced today an agreement by which ST will welcome Tower to its Agrate R3 300mm fab under construction on its Agrate Brianza site in Italy. ST and Tower will join forces for an accelerated fab ramp-up, a key factor to reach a high utilization level and therefore a competitive wafer cost. ST will share the cleanroom in R3, with Tower installing its own equipment in one third of the total space. The fab is expected to be ready for equipment installation later this year and start production in the second half of 2022.</w:t>
      </w:r>
    </w:p>
    <w:p>
      <w:pPr>
        <w:spacing w:after="0" w:line="210"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ST and Tower will share the clean room space and the facility infrastructure. Both companies will invest in their respective process equipment and work together on the acceleration of the fab qualification and subsequent ramp-up. Operations will continue to be managed by ST, with select Tower personnel seconded to ST in specific roles to support fab qualification and volume ramp-up, as well as other engineering and process roles. In the early stage 130, 90 and 65nm processes for smart power, analog mixed signal and RF processes will be qualified in R3. The products in these technologies will be notably used in automotive, industrial and personal electronics applications.</w:t>
      </w:r>
    </w:p>
    <w:p>
      <w:pPr>
        <w:spacing w:after="0" w:line="236" w:lineRule="exact"/>
        <w:rPr>
          <w:sz w:val="20"/>
          <w:szCs w:val="20"/>
          <w:color w:val="auto"/>
        </w:rPr>
      </w:pPr>
    </w:p>
    <w:p>
      <w:pPr>
        <w:ind w:right="60"/>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The key parameter for industrial and economic performance of a fab is its utilization. With Tower we have a great partner for</w:t>
      </w:r>
      <w:r>
        <w:rPr>
          <w:rFonts w:ascii="Arial" w:cs="Arial" w:eastAsia="Arial" w:hAnsi="Arial"/>
          <w:sz w:val="21"/>
          <w:szCs w:val="21"/>
          <w:color w:val="auto"/>
        </w:rPr>
        <w:t xml:space="preserve"> </w:t>
      </w:r>
      <w:r>
        <w:rPr>
          <w:rFonts w:ascii="Arial" w:cs="Arial" w:eastAsia="Arial" w:hAnsi="Arial"/>
          <w:sz w:val="21"/>
          <w:szCs w:val="21"/>
          <w:i w:val="1"/>
          <w:iCs w:val="1"/>
          <w:color w:val="auto"/>
        </w:rPr>
        <w:t>analog, power and mixed-signal volume manufacturing that will enable us to qualify and ramp up the Agrate R3 300mm fab significantly faster. This will enable an optimal utilization of the fab almost right from the early stage of production. The capacity of the full build-out state of the fab could even be increased compared to the original capacity estimate of 2018, when we started the project</w:t>
      </w:r>
      <w:r>
        <w:rPr>
          <w:rFonts w:ascii="Arial" w:cs="Arial" w:eastAsia="Arial" w:hAnsi="Arial"/>
          <w:sz w:val="21"/>
          <w:szCs w:val="21"/>
          <w:color w:val="auto"/>
        </w:rPr>
        <w:t>”, said Jean-Marc Chéry, President and CEO of STMicroelectronics. “</w:t>
      </w:r>
      <w:r>
        <w:rPr>
          <w:rFonts w:ascii="Arial" w:cs="Arial" w:eastAsia="Arial" w:hAnsi="Arial"/>
          <w:sz w:val="21"/>
          <w:szCs w:val="21"/>
          <w:i w:val="1"/>
          <w:iCs w:val="1"/>
          <w:color w:val="auto"/>
        </w:rPr>
        <w:t>The products manufactured in Agrate R3 will support the automotive, industrial and personal electronics markets. They will contribute to ease the supply tensions in a wide range of applications in the mid to longer term.”</w:t>
      </w:r>
    </w:p>
    <w:p>
      <w:pPr>
        <w:spacing w:after="0" w:line="237" w:lineRule="exact"/>
        <w:rPr>
          <w:sz w:val="20"/>
          <w:szCs w:val="20"/>
          <w:color w:val="auto"/>
        </w:rPr>
      </w:pPr>
    </w:p>
    <w:p>
      <w:pPr>
        <w:ind w:right="200"/>
        <w:spacing w:after="0" w:line="299" w:lineRule="auto"/>
        <w:rPr>
          <w:sz w:val="20"/>
          <w:szCs w:val="20"/>
          <w:color w:val="auto"/>
        </w:rPr>
      </w:pPr>
      <w:r>
        <w:rPr>
          <w:rFonts w:ascii="Arial" w:cs="Arial" w:eastAsia="Arial" w:hAnsi="Arial"/>
          <w:sz w:val="19"/>
          <w:szCs w:val="19"/>
          <w:color w:val="auto"/>
        </w:rPr>
        <w:t xml:space="preserve">Tower CEO, Russell Ellwanger commented, </w:t>
      </w:r>
      <w:r>
        <w:rPr>
          <w:rFonts w:ascii="Arial" w:cs="Arial" w:eastAsia="Arial" w:hAnsi="Arial"/>
          <w:sz w:val="19"/>
          <w:szCs w:val="19"/>
          <w:i w:val="1"/>
          <w:iCs w:val="1"/>
          <w:color w:val="auto"/>
        </w:rPr>
        <w:t>“We are very pleased to announce this partnership with STMicroelectronics. ST is</w:t>
      </w:r>
      <w:r>
        <w:rPr>
          <w:rFonts w:ascii="Arial" w:cs="Arial" w:eastAsia="Arial" w:hAnsi="Arial"/>
          <w:sz w:val="19"/>
          <w:szCs w:val="19"/>
          <w:color w:val="auto"/>
        </w:rPr>
        <w:t xml:space="preserve"> </w:t>
      </w:r>
      <w:r>
        <w:rPr>
          <w:rFonts w:ascii="Arial" w:cs="Arial" w:eastAsia="Arial" w:hAnsi="Arial"/>
          <w:sz w:val="19"/>
          <w:szCs w:val="19"/>
          <w:i w:val="1"/>
          <w:iCs w:val="1"/>
          <w:color w:val="auto"/>
        </w:rPr>
        <w:t>well known for its leading technology, operational excellence, and corporate integrity. We look forward to our mutual</w:t>
      </w:r>
    </w:p>
    <w:p>
      <w:pPr>
        <w:ind w:right="20"/>
        <w:spacing w:after="0" w:line="264" w:lineRule="auto"/>
        <w:rPr>
          <w:sz w:val="20"/>
          <w:szCs w:val="20"/>
          <w:color w:val="auto"/>
        </w:rPr>
      </w:pPr>
      <w:r>
        <w:rPr>
          <w:rFonts w:ascii="Arial" w:cs="Arial" w:eastAsia="Arial" w:hAnsi="Arial"/>
          <w:sz w:val="22"/>
          <w:szCs w:val="22"/>
          <w:i w:val="1"/>
          <w:iCs w:val="1"/>
          <w:color w:val="auto"/>
        </w:rPr>
        <w:t>success. Tower’s strong execution in advanced 65nm, 300mm based analog RF, power platforms, displays and other technologies, will be significantly enhanced by this activity in Agrate; more than tripling Tower’s 300mm foundry capacity to well service our customers’ increasing demand within these fast-growing markets.”</w:t>
      </w:r>
    </w:p>
    <w:p>
      <w:pPr>
        <w:spacing w:after="0" w:line="241" w:lineRule="exact"/>
        <w:rPr>
          <w:sz w:val="20"/>
          <w:szCs w:val="20"/>
          <w:color w:val="auto"/>
        </w:rPr>
      </w:pPr>
    </w:p>
    <w:p>
      <w:pPr>
        <w:ind w:right="300"/>
        <w:spacing w:after="0" w:line="276" w:lineRule="auto"/>
        <w:rPr>
          <w:sz w:val="20"/>
          <w:szCs w:val="20"/>
          <w:color w:val="auto"/>
        </w:rPr>
      </w:pPr>
      <w:r>
        <w:rPr>
          <w:rFonts w:ascii="Arial" w:cs="Arial" w:eastAsia="Arial" w:hAnsi="Arial"/>
          <w:sz w:val="22"/>
          <w:szCs w:val="22"/>
          <w:color w:val="auto"/>
        </w:rPr>
        <w:t>To implement this project, Tower will establish a wholly-owned Italian subsidiary. Tower will provide details on its significant cap-ex investment schedule and amounts invested as the project progresses.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STMicroelectronics</w:t>
      </w:r>
    </w:p>
    <w:p>
      <w:pPr>
        <w:spacing w:after="0" w:line="27" w:lineRule="exact"/>
        <w:rPr>
          <w:sz w:val="20"/>
          <w:szCs w:val="20"/>
          <w:color w:val="auto"/>
        </w:rPr>
      </w:pPr>
    </w:p>
    <w:p>
      <w:pPr>
        <w:spacing w:after="0" w:line="310" w:lineRule="auto"/>
        <w:rPr>
          <w:sz w:val="20"/>
          <w:szCs w:val="20"/>
          <w:color w:val="auto"/>
        </w:rPr>
      </w:pPr>
      <w:r>
        <w:rPr>
          <w:rFonts w:ascii="Arial" w:cs="Arial" w:eastAsia="Arial" w:hAnsi="Arial"/>
          <w:sz w:val="19"/>
          <w:szCs w:val="19"/>
          <w:color w:val="auto"/>
        </w:rPr>
        <w:t xml:space="preserve">At ST, we are 46,000 creators and makers of semiconductor technologies mastering the semiconductor supply chain with state-of-the-art manufacturing facilities. An independent device manufacturer, we work with more than 100,000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the Internet of Things and 5G technology. Further information can be found at </w:t>
      </w:r>
      <w:r>
        <w:rPr>
          <w:rFonts w:ascii="Arial" w:cs="Arial" w:eastAsia="Arial" w:hAnsi="Arial"/>
          <w:sz w:val="19"/>
          <w:szCs w:val="19"/>
          <w:u w:val="single" w:color="auto"/>
          <w:color w:val="auto"/>
        </w:rPr>
        <w:t>www.st.com</w:t>
      </w:r>
      <w:r>
        <w:rPr>
          <w:rFonts w:ascii="Arial" w:cs="Arial" w:eastAsia="Arial" w:hAnsi="Arial"/>
          <w:sz w:val="19"/>
          <w:szCs w:val="19"/>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operates two manufacturing facilities in Israel (150mm and 200mm),</w:t>
      </w:r>
    </w:p>
    <w:p>
      <w:pPr>
        <w:sectPr>
          <w:pgSz w:w="11900" w:h="16859" w:orient="portrait"/>
          <w:cols w:equalWidth="0" w:num="1">
            <w:col w:w="11240"/>
          </w:cols>
          <w:pgMar w:left="320" w:top="1440" w:right="339" w:bottom="0" w:gutter="0" w:footer="0" w:header="0"/>
        </w:sectPr>
      </w:pPr>
    </w:p>
    <w:bookmarkStart w:id="4" w:name="page5"/>
    <w:bookmarkEnd w:id="4"/>
    <w:p>
      <w:pPr>
        <w:spacing w:after="0" w:line="276" w:lineRule="auto"/>
        <w:rPr>
          <w:sz w:val="20"/>
          <w:szCs w:val="20"/>
          <w:color w:val="auto"/>
        </w:rPr>
      </w:pPr>
      <w:r>
        <w:rPr>
          <w:rFonts w:ascii="Arial" w:cs="Arial" w:eastAsia="Arial" w:hAnsi="Arial"/>
          <w:sz w:val="22"/>
          <w:szCs w:val="22"/>
          <w:color w:val="auto"/>
        </w:rPr>
        <w:t xml:space="preserve">two in the U.S. (200mm) and three facilities in Japan (two 200mm and one 300mm) through TPSCo. For more information, please visit: </w:t>
      </w:r>
      <w:r>
        <w:rPr>
          <w:rFonts w:ascii="Arial" w:cs="Arial" w:eastAsia="Arial" w:hAnsi="Arial"/>
          <w:sz w:val="22"/>
          <w:szCs w:val="22"/>
          <w:u w:val="single" w:color="auto"/>
          <w:color w:val="auto"/>
          <w:highlight w:val="white"/>
        </w:rPr>
        <w:t>www.towersemi.com</w:t>
      </w:r>
      <w:r>
        <w:rPr>
          <w:rFonts w:ascii="Arial" w:cs="Arial" w:eastAsia="Arial" w:hAnsi="Arial"/>
          <w:sz w:val="22"/>
          <w:szCs w:val="22"/>
          <w:color w:val="auto"/>
          <w:highlight w:val="white"/>
        </w:rPr>
        <w: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STMicroelectronics</w:t>
            </w:r>
          </w:p>
        </w:tc>
        <w:tc>
          <w:tcPr>
            <w:tcW w:w="4540" w:type="dxa"/>
            <w:vAlign w:val="bottom"/>
          </w:tcPr>
          <w:p>
            <w:pPr>
              <w:spacing w:after="0"/>
              <w:rPr>
                <w:sz w:val="17"/>
                <w:szCs w:val="17"/>
                <w:color w:val="auto"/>
              </w:rPr>
            </w:pPr>
          </w:p>
        </w:tc>
        <w:tc>
          <w:tcPr>
            <w:tcW w:w="2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Tower Semiconductor</w:t>
            </w:r>
          </w:p>
        </w:tc>
      </w:tr>
      <w:tr>
        <w:trPr>
          <w:trHeight w:val="20"/>
        </w:trPr>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38"/>
        </w:trPr>
        <w:tc>
          <w:tcPr>
            <w:tcW w:w="1460" w:type="dxa"/>
            <w:vAlign w:val="bottom"/>
          </w:tcPr>
          <w:p>
            <w:pPr>
              <w:spacing w:after="0"/>
              <w:rPr>
                <w:sz w:val="20"/>
                <w:szCs w:val="20"/>
                <w:color w:val="auto"/>
              </w:rPr>
            </w:pPr>
            <w:r>
              <w:rPr>
                <w:rFonts w:ascii="Arial" w:cs="Arial" w:eastAsia="Arial" w:hAnsi="Arial"/>
                <w:sz w:val="18"/>
                <w:szCs w:val="18"/>
                <w:color w:val="auto"/>
                <w:w w:val="99"/>
              </w:rPr>
              <w:t>Investor Relations</w:t>
            </w:r>
          </w:p>
        </w:tc>
        <w:tc>
          <w:tcPr>
            <w:tcW w:w="1480" w:type="dxa"/>
            <w:vAlign w:val="bottom"/>
          </w:tcPr>
          <w:p>
            <w:pPr>
              <w:spacing w:after="0"/>
              <w:rPr>
                <w:sz w:val="24"/>
                <w:szCs w:val="24"/>
                <w:color w:val="auto"/>
              </w:rPr>
            </w:pPr>
          </w:p>
        </w:tc>
        <w:tc>
          <w:tcPr>
            <w:tcW w:w="4540" w:type="dxa"/>
            <w:vAlign w:val="bottom"/>
          </w:tcPr>
          <w:p>
            <w:pPr>
              <w:ind w:left="800"/>
              <w:spacing w:after="0"/>
              <w:rPr>
                <w:sz w:val="20"/>
                <w:szCs w:val="20"/>
                <w:color w:val="auto"/>
              </w:rPr>
            </w:pPr>
            <w:r>
              <w:rPr>
                <w:rFonts w:ascii="Arial" w:cs="Arial" w:eastAsia="Arial" w:hAnsi="Arial"/>
                <w:sz w:val="18"/>
                <w:szCs w:val="18"/>
                <w:color w:val="auto"/>
              </w:rPr>
              <w:t>Media relations</w:t>
            </w:r>
          </w:p>
        </w:tc>
        <w:tc>
          <w:tcPr>
            <w:tcW w:w="2100" w:type="dxa"/>
            <w:vAlign w:val="bottom"/>
            <w:gridSpan w:val="2"/>
          </w:tcPr>
          <w:p>
            <w:pPr>
              <w:spacing w:after="0"/>
              <w:rPr>
                <w:sz w:val="20"/>
                <w:szCs w:val="20"/>
                <w:color w:val="auto"/>
              </w:rPr>
            </w:pPr>
            <w:r>
              <w:rPr>
                <w:rFonts w:ascii="Arial" w:cs="Arial" w:eastAsia="Arial" w:hAnsi="Arial"/>
                <w:sz w:val="18"/>
                <w:szCs w:val="18"/>
                <w:color w:val="auto"/>
                <w:w w:val="96"/>
              </w:rPr>
              <w:t>Investor Relations Contact:</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Céline Berthier</w:t>
            </w:r>
          </w:p>
        </w:tc>
        <w:tc>
          <w:tcPr>
            <w:tcW w:w="4540" w:type="dxa"/>
            <w:vAlign w:val="bottom"/>
          </w:tcPr>
          <w:p>
            <w:pPr>
              <w:ind w:left="800"/>
              <w:spacing w:after="0"/>
              <w:rPr>
                <w:sz w:val="20"/>
                <w:szCs w:val="20"/>
                <w:color w:val="auto"/>
              </w:rPr>
            </w:pPr>
            <w:r>
              <w:rPr>
                <w:rFonts w:ascii="Arial" w:cs="Arial" w:eastAsia="Arial" w:hAnsi="Arial"/>
                <w:sz w:val="18"/>
                <w:szCs w:val="18"/>
                <w:color w:val="auto"/>
              </w:rPr>
              <w:t>Alexis Breton</w:t>
            </w:r>
          </w:p>
        </w:tc>
        <w:tc>
          <w:tcPr>
            <w:tcW w:w="2100" w:type="dxa"/>
            <w:vAlign w:val="bottom"/>
            <w:gridSpan w:val="2"/>
          </w:tcPr>
          <w:p>
            <w:pPr>
              <w:spacing w:after="0"/>
              <w:rPr>
                <w:sz w:val="20"/>
                <w:szCs w:val="20"/>
                <w:color w:val="auto"/>
              </w:rPr>
            </w:pPr>
            <w:r>
              <w:rPr>
                <w:rFonts w:ascii="Arial" w:cs="Arial" w:eastAsia="Arial" w:hAnsi="Arial"/>
                <w:sz w:val="18"/>
                <w:szCs w:val="18"/>
                <w:color w:val="auto"/>
                <w:w w:val="93"/>
              </w:rPr>
              <w:t>Noit Levi | +972-4-604-7066</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Group VP, Investor Relations</w:t>
            </w:r>
          </w:p>
        </w:tc>
        <w:tc>
          <w:tcPr>
            <w:tcW w:w="4540" w:type="dxa"/>
            <w:vAlign w:val="bottom"/>
          </w:tcPr>
          <w:p>
            <w:pPr>
              <w:ind w:left="800"/>
              <w:spacing w:after="0"/>
              <w:rPr>
                <w:sz w:val="20"/>
                <w:szCs w:val="20"/>
                <w:color w:val="auto"/>
              </w:rPr>
            </w:pPr>
            <w:r>
              <w:rPr>
                <w:rFonts w:ascii="Arial" w:cs="Arial" w:eastAsia="Arial" w:hAnsi="Arial"/>
                <w:sz w:val="18"/>
                <w:szCs w:val="18"/>
                <w:color w:val="auto"/>
              </w:rPr>
              <w:t>Corporate External Communications</w:t>
            </w:r>
          </w:p>
        </w:tc>
        <w:tc>
          <w:tcPr>
            <w:tcW w:w="2100" w:type="dxa"/>
            <w:vAlign w:val="bottom"/>
            <w:gridSpan w:val="2"/>
          </w:tcPr>
          <w:p>
            <w:pPr>
              <w:spacing w:after="0"/>
              <w:rPr>
                <w:sz w:val="20"/>
                <w:szCs w:val="20"/>
                <w:color w:val="auto"/>
              </w:rPr>
            </w:pPr>
            <w:r>
              <w:rPr>
                <w:rFonts w:ascii="Arial" w:cs="Arial" w:eastAsia="Arial" w:hAnsi="Arial"/>
                <w:sz w:val="18"/>
                <w:szCs w:val="18"/>
                <w:color w:val="auto"/>
              </w:rPr>
              <w:t>| noitle@towersemi.com</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Tel: +41 22 929 58 12</w:t>
            </w:r>
          </w:p>
        </w:tc>
        <w:tc>
          <w:tcPr>
            <w:tcW w:w="4540" w:type="dxa"/>
            <w:vAlign w:val="bottom"/>
          </w:tcPr>
          <w:p>
            <w:pPr>
              <w:ind w:left="800"/>
              <w:spacing w:after="0"/>
              <w:rPr>
                <w:sz w:val="20"/>
                <w:szCs w:val="20"/>
                <w:color w:val="auto"/>
              </w:rPr>
            </w:pPr>
            <w:r>
              <w:rPr>
                <w:rFonts w:ascii="Arial" w:cs="Arial" w:eastAsia="Arial" w:hAnsi="Arial"/>
                <w:sz w:val="18"/>
                <w:szCs w:val="18"/>
                <w:color w:val="auto"/>
              </w:rPr>
              <w:t>Tel: + 33 6 59 16 79 08</w:t>
            </w: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celine.berthier@st.com</w:t>
            </w:r>
          </w:p>
        </w:tc>
        <w:tc>
          <w:tcPr>
            <w:tcW w:w="4540" w:type="dxa"/>
            <w:vAlign w:val="bottom"/>
          </w:tcPr>
          <w:p>
            <w:pPr>
              <w:ind w:left="800"/>
              <w:spacing w:after="0"/>
              <w:rPr>
                <w:sz w:val="20"/>
                <w:szCs w:val="20"/>
                <w:color w:val="auto"/>
              </w:rPr>
            </w:pPr>
            <w:r>
              <w:rPr>
                <w:rFonts w:ascii="Arial" w:cs="Arial" w:eastAsia="Arial" w:hAnsi="Arial"/>
                <w:sz w:val="18"/>
                <w:szCs w:val="18"/>
                <w:color w:val="auto"/>
              </w:rPr>
              <w:t>alexis.breton@st.com</w:t>
            </w: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62" w:lineRule="exact"/>
        <w:rPr>
          <w:sz w:val="20"/>
          <w:szCs w:val="20"/>
          <w:color w:val="auto"/>
        </w:rPr>
      </w:pPr>
    </w:p>
    <w:p>
      <w:pPr>
        <w:ind w:right="120"/>
        <w:spacing w:after="0" w:line="305" w:lineRule="auto"/>
        <w:rPr>
          <w:sz w:val="20"/>
          <w:szCs w:val="20"/>
          <w:color w:val="auto"/>
        </w:rPr>
      </w:pPr>
      <w:r>
        <w:rPr>
          <w:rFonts w:ascii="Arial" w:cs="Arial" w:eastAsia="Arial" w:hAnsi="Arial"/>
          <w:sz w:val="19"/>
          <w:szCs w:val="19"/>
          <w:color w:val="auto"/>
        </w:rPr>
        <w:t>This press release, including any projections made with respect to this project’s prospects, schedule, and investment amounts, as well as with respect to our respective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fab establishment, products and technology qualification schedule, investment amounts and other terms, joint venture and/or capital lease transactions for capacity enhancement in advanced technologies, all of which may entail new customer engagements, technology and process qualification and production facility ramp-up, and which project may require additional funding, the availability of which cannot be assured on favorable terms, if at all.</w:t>
      </w:r>
    </w:p>
    <w:p>
      <w:pPr>
        <w:spacing w:after="0" w:line="209" w:lineRule="exact"/>
        <w:rPr>
          <w:sz w:val="20"/>
          <w:szCs w:val="20"/>
          <w:color w:val="auto"/>
        </w:rPr>
      </w:pPr>
    </w:p>
    <w:p>
      <w:pPr>
        <w:ind w:right="20"/>
        <w:spacing w:after="0" w:line="260" w:lineRule="auto"/>
        <w:rPr>
          <w:sz w:val="20"/>
          <w:szCs w:val="20"/>
          <w:color w:val="auto"/>
        </w:rPr>
      </w:pPr>
      <w:r>
        <w:rPr>
          <w:rFonts w:ascii="Arial" w:cs="Arial" w:eastAsia="Arial" w:hAnsi="Arial"/>
          <w:sz w:val="22"/>
          <w:szCs w:val="22"/>
          <w:color w:val="auto"/>
        </w:rPr>
        <w:t>A more complete discussion of risks and uncertainties that may affect the accuracy of forward-looking statements included in this press release or which may otherwise affect our respective business is included under the heading "Risk Factors" in ST’s and Tower’s most recent filings on Forms 20-F and 6-K, as were filed with the Securities and Exchange Commission (the “SEC”), and the Dutch Authority for the Financial Markets and the Israel Securities Authority, respectively. Future results may differ materially from those previously reported. ST and Tower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2021-06-24T05:16:44Z</dcterms:created>
  <dcterms:modified xsi:type="dcterms:W3CDTF">2021-06-24T05:16:44Z</dcterms:modified>
</cp:coreProperties>
</file>