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INFORMATION TO BE INCLUDED IN STATEMENTS FILED PURSUANT TO RULES 13d-1(b), (c) AND</w:t>
      </w:r>
    </w:p>
    <w:p>
      <w:pPr>
        <w:spacing w:after="0" w:line="8" w:lineRule="exact"/>
        <w:rPr>
          <w:sz w:val="24"/>
          <w:szCs w:val="24"/>
          <w:color w:val="auto"/>
        </w:rPr>
      </w:pPr>
    </w:p>
    <w:p>
      <w:pPr>
        <w:ind w:left="2520" w:hanging="313"/>
        <w:spacing w:after="0"/>
        <w:tabs>
          <w:tab w:leader="none" w:pos="2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AND AMENDMENTS THERETO FILED PURSUANT TO RULE 13d-2(b)</w:t>
      </w:r>
    </w:p>
    <w:p>
      <w:pPr>
        <w:spacing w:after="0" w:line="215" w:lineRule="exact"/>
        <w:rPr>
          <w:rFonts w:ascii="Arial" w:cs="Arial" w:eastAsia="Arial" w:hAnsi="Arial"/>
          <w:sz w:val="22"/>
          <w:szCs w:val="22"/>
          <w:color w:val="auto"/>
        </w:rPr>
      </w:pPr>
    </w:p>
    <w:p>
      <w:pPr>
        <w:ind w:left="3200"/>
        <w:spacing w:after="0"/>
        <w:rPr>
          <w:rFonts w:ascii="Arial" w:cs="Arial" w:eastAsia="Arial" w:hAnsi="Arial"/>
          <w:sz w:val="22"/>
          <w:szCs w:val="22"/>
          <w:color w:val="auto"/>
        </w:rPr>
      </w:pPr>
      <w:r>
        <w:rPr>
          <w:rFonts w:ascii="Arial" w:cs="Arial" w:eastAsia="Arial" w:hAnsi="Arial"/>
          <w:sz w:val="22"/>
          <w:szCs w:val="22"/>
          <w:color w:val="auto"/>
        </w:rPr>
        <w:t>UNDER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17145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following box to designate the rule pursuant to which the Schedule is filed:</w:t>
      </w:r>
    </w:p>
    <w:p>
      <w:pPr>
        <w:spacing w:after="0" w:line="24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900" w:hanging="244"/>
        <w:spacing w:after="0"/>
        <w:tabs>
          <w:tab w:leader="none" w:pos="900" w:val="left"/>
        </w:tabs>
        <w:numPr>
          <w:ilvl w:val="1"/>
          <w:numId w:val="4"/>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0" w:lineRule="exact"/>
        <w:rPr>
          <w:rFonts w:ascii="MS PGothic" w:cs="MS PGothic" w:eastAsia="MS PGothic" w:hAnsi="MS PGothic"/>
          <w:sz w:val="22"/>
          <w:szCs w:val="22"/>
          <w:color w:val="auto"/>
        </w:rPr>
      </w:pPr>
    </w:p>
    <w:p>
      <w:pPr>
        <w:ind w:left="340" w:hanging="324"/>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0" w:lineRule="exact"/>
        <w:rPr>
          <w:sz w:val="24"/>
          <w:szCs w:val="24"/>
          <w:color w:val="auto"/>
        </w:rPr>
      </w:pPr>
    </w:p>
    <w:p>
      <w:pPr>
        <w:jc w:val="both"/>
        <w:ind w:left="3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6106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106160"/>
                    </a:xfrm>
                    <a:prstGeom prst="rect">
                      <a:avLst/>
                    </a:prstGeom>
                    <a:noFill/>
                  </pic:spPr>
                </pic:pic>
              </a:graphicData>
            </a:graphic>
          </wp:anchor>
        </w:drawing>
      </w:r>
    </w:p>
    <w:p>
      <w:pPr>
        <w:spacing w:after="0" w:line="218" w:lineRule="exact"/>
        <w:rPr>
          <w:sz w:val="20"/>
          <w:szCs w:val="20"/>
          <w:color w:val="auto"/>
        </w:rPr>
      </w:pPr>
    </w:p>
    <w:p>
      <w:pPr>
        <w:ind w:left="1080" w:hanging="620"/>
        <w:spacing w:after="0"/>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Name of Reporting Persons</w:t>
      </w:r>
    </w:p>
    <w:p>
      <w:pPr>
        <w:spacing w:after="0" w:line="201" w:lineRule="exact"/>
        <w:rPr>
          <w:rFonts w:ascii="Arial" w:cs="Arial" w:eastAsia="Arial" w:hAnsi="Arial"/>
          <w:sz w:val="29"/>
          <w:szCs w:val="29"/>
          <w:color w:val="auto"/>
          <w:vertAlign w:val="superscript"/>
        </w:rPr>
      </w:pPr>
    </w:p>
    <w:p>
      <w:pPr>
        <w:ind w:left="1080"/>
        <w:spacing w:after="0"/>
        <w:rPr>
          <w:rFonts w:ascii="Arial" w:cs="Arial" w:eastAsia="Arial" w:hAnsi="Arial"/>
          <w:sz w:val="29"/>
          <w:szCs w:val="29"/>
          <w:color w:val="auto"/>
          <w:vertAlign w:val="superscript"/>
        </w:rPr>
      </w:pPr>
      <w:r>
        <w:rPr>
          <w:rFonts w:ascii="Arial" w:cs="Arial" w:eastAsia="Arial" w:hAnsi="Arial"/>
          <w:sz w:val="18"/>
          <w:szCs w:val="18"/>
          <w:color w:val="auto"/>
        </w:rPr>
        <w:t>Harel Insurance Investments &amp; Financial Services Ltd.</w:t>
      </w:r>
    </w:p>
    <w:p>
      <w:pPr>
        <w:spacing w:after="0" w:line="68" w:lineRule="exact"/>
        <w:rPr>
          <w:rFonts w:ascii="Arial" w:cs="Arial" w:eastAsia="Arial" w:hAnsi="Arial"/>
          <w:sz w:val="29"/>
          <w:szCs w:val="29"/>
          <w:color w:val="auto"/>
          <w:vertAlign w:val="superscript"/>
        </w:rPr>
      </w:pPr>
    </w:p>
    <w:p>
      <w:pPr>
        <w:ind w:left="1080" w:hanging="620"/>
        <w:spacing w:after="0"/>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Check the Appropriate Box if a Member of a Group</w:t>
      </w:r>
    </w:p>
    <w:p>
      <w:pPr>
        <w:spacing w:after="0" w:line="1" w:lineRule="exact"/>
        <w:rPr>
          <w:rFonts w:ascii="Arial" w:cs="Arial" w:eastAsia="Arial" w:hAnsi="Arial"/>
          <w:sz w:val="29"/>
          <w:szCs w:val="29"/>
          <w:color w:val="auto"/>
          <w:vertAlign w:val="superscript"/>
        </w:rPr>
      </w:pPr>
    </w:p>
    <w:p>
      <w:pPr>
        <w:ind w:left="1380" w:hanging="292"/>
        <w:spacing w:after="0" w:line="207" w:lineRule="exact"/>
        <w:tabs>
          <w:tab w:leader="none" w:pos="13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1380" w:hanging="292"/>
        <w:spacing w:after="0" w:line="207" w:lineRule="exact"/>
        <w:tabs>
          <w:tab w:leader="none" w:pos="13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right w:val="single" w:sz="8" w:color="CCEEFF"/>
            </w:tcBorders>
          </w:tcPr>
          <w:p>
            <w:pPr>
              <w:jc w:val="center"/>
              <w:spacing w:after="0"/>
              <w:rPr>
                <w:sz w:val="20"/>
                <w:szCs w:val="20"/>
                <w:color w:val="auto"/>
              </w:rPr>
            </w:pPr>
            <w:r>
              <w:rPr>
                <w:rFonts w:ascii="Arial" w:cs="Arial" w:eastAsia="Arial" w:hAnsi="Arial"/>
                <w:sz w:val="14"/>
                <w:szCs w:val="14"/>
                <w:color w:val="auto"/>
                <w:w w:val="85"/>
              </w:rPr>
              <w:t>3.</w:t>
            </w:r>
          </w:p>
        </w:tc>
        <w:tc>
          <w:tcPr>
            <w:tcW w:w="13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 Use only</w:t>
            </w:r>
          </w:p>
        </w:tc>
        <w:tc>
          <w:tcPr>
            <w:tcW w:w="9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60" w:type="dxa"/>
            <w:vAlign w:val="bottom"/>
            <w:tcBorders>
              <w:bottom w:val="single" w:sz="8" w:color="auto"/>
              <w:right w:val="single" w:sz="8" w:color="CCEEFF"/>
            </w:tcBorders>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spacing w:after="0"/>
              <w:rPr>
                <w:sz w:val="24"/>
                <w:szCs w:val="24"/>
                <w:color w:val="auto"/>
              </w:rPr>
            </w:pPr>
          </w:p>
        </w:tc>
        <w:tc>
          <w:tcPr>
            <w:tcW w:w="780" w:type="dxa"/>
            <w:vAlign w:val="bottom"/>
            <w:tcBorders>
              <w:bottom w:val="single" w:sz="8" w:color="auto"/>
              <w:right w:val="single" w:sz="8" w:color="CCEEFF"/>
            </w:tcBorders>
            <w:shd w:val="clear" w:color="auto" w:fill="CCEEFF"/>
          </w:tcPr>
          <w:p>
            <w:pPr>
              <w:spacing w:after="0"/>
              <w:rPr>
                <w:sz w:val="24"/>
                <w:szCs w:val="24"/>
                <w:color w:val="auto"/>
              </w:rPr>
            </w:pPr>
          </w:p>
        </w:tc>
        <w:tc>
          <w:tcPr>
            <w:tcW w:w="90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0" w:type="dxa"/>
            <w:vAlign w:val="bottom"/>
          </w:tcPr>
          <w:p>
            <w:pPr>
              <w:jc w:val="center"/>
              <w:spacing w:after="0"/>
              <w:rPr>
                <w:sz w:val="20"/>
                <w:szCs w:val="20"/>
                <w:color w:val="auto"/>
              </w:rPr>
            </w:pPr>
            <w:r>
              <w:rPr>
                <w:rFonts w:ascii="Arial" w:cs="Arial" w:eastAsia="Arial" w:hAnsi="Arial"/>
                <w:sz w:val="14"/>
                <w:szCs w:val="14"/>
                <w:color w:val="auto"/>
                <w:w w:val="85"/>
              </w:rPr>
              <w:t>4.</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Place of Organization</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5.</w:t>
            </w:r>
          </w:p>
        </w:tc>
        <w:tc>
          <w:tcPr>
            <w:tcW w:w="90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060" w:type="dxa"/>
            <w:vAlign w:val="bottom"/>
            <w:vMerge w:val="continue"/>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6.</w:t>
            </w:r>
          </w:p>
        </w:tc>
        <w:tc>
          <w:tcPr>
            <w:tcW w:w="90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4,706,457 Ordinary Shares*</w:t>
            </w:r>
          </w:p>
        </w:tc>
        <w:tc>
          <w:tcPr>
            <w:tcW w:w="0" w:type="dxa"/>
            <w:vAlign w:val="bottom"/>
          </w:tcPr>
          <w:p>
            <w:pPr>
              <w:spacing w:after="0"/>
              <w:rPr>
                <w:sz w:val="1"/>
                <w:szCs w:val="1"/>
                <w:color w:val="auto"/>
              </w:rPr>
            </w:pPr>
          </w:p>
        </w:tc>
      </w:tr>
      <w:tr>
        <w:trPr>
          <w:trHeight w:val="116"/>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60" w:type="dxa"/>
            <w:vAlign w:val="bottom"/>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jc w:val="right"/>
              <w:ind w:right="288"/>
              <w:spacing w:after="0"/>
              <w:rPr>
                <w:sz w:val="20"/>
                <w:szCs w:val="20"/>
                <w:color w:val="auto"/>
              </w:rPr>
            </w:pPr>
            <w:r>
              <w:rPr>
                <w:rFonts w:ascii="Arial" w:cs="Arial" w:eastAsia="Arial" w:hAnsi="Arial"/>
                <w:sz w:val="14"/>
                <w:szCs w:val="14"/>
                <w:color w:val="auto"/>
              </w:rPr>
              <w:t>7.</w:t>
            </w:r>
          </w:p>
        </w:tc>
        <w:tc>
          <w:tcPr>
            <w:tcW w:w="90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89"/>
              </w:rPr>
              <w:t>Person With:</w:t>
            </w:r>
          </w:p>
        </w:tc>
        <w:tc>
          <w:tcPr>
            <w:tcW w:w="5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9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8.</w:t>
            </w:r>
          </w:p>
        </w:tc>
        <w:tc>
          <w:tcPr>
            <w:tcW w:w="90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4,715,124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9.</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4,715,124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060" w:type="dxa"/>
            <w:vAlign w:val="bottom"/>
            <w:tcBorders>
              <w:bottom w:val="single" w:sz="8" w:color="auto"/>
              <w:right w:val="single" w:sz="8" w:color="auto"/>
            </w:tcBorders>
          </w:tcPr>
          <w:p>
            <w:pPr>
              <w:spacing w:after="0"/>
              <w:rPr>
                <w:sz w:val="4"/>
                <w:szCs w:val="4"/>
                <w:color w:val="auto"/>
              </w:rPr>
            </w:pPr>
          </w:p>
        </w:tc>
        <w:tc>
          <w:tcPr>
            <w:tcW w:w="103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Item 4.</w:t>
      </w:r>
    </w:p>
    <w:p>
      <w:pPr>
        <w:spacing w:after="0" w:line="22" w:lineRule="exact"/>
        <w:rPr>
          <w:sz w:val="20"/>
          <w:szCs w:val="20"/>
          <w:color w:val="auto"/>
        </w:rPr>
      </w:pPr>
    </w:p>
    <w:p>
      <w:pPr>
        <w:ind w:right="140" w:firstLine="8"/>
        <w:spacing w:after="0" w:line="259" w:lineRule="auto"/>
        <w:tabs>
          <w:tab w:leader="none" w:pos="270"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information received from the Issuer, there were 106,683,347 Ordinary Shares of the Issuer outstanding as of January 6, 2020.</w:t>
      </w:r>
    </w:p>
    <w:p>
      <w:pPr>
        <w:spacing w:after="0" w:line="141" w:lineRule="exact"/>
        <w:rPr>
          <w:rFonts w:ascii="Arial" w:cs="Arial" w:eastAsia="Arial" w:hAnsi="Arial"/>
          <w:sz w:val="22"/>
          <w:szCs w:val="22"/>
          <w:color w:val="auto"/>
        </w:rPr>
      </w:pPr>
    </w:p>
    <w:p>
      <w:pPr>
        <w:ind w:left="5680" w:hanging="86"/>
        <w:spacing w:after="0"/>
        <w:tabs>
          <w:tab w:leader="none" w:pos="5680" w:val="left"/>
        </w:tabs>
        <w:numPr>
          <w:ilvl w:val="1"/>
          <w:numId w:val="6"/>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Tower Semiconductor Ltd. (the “Issuer”).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Ramat Gavriel Industrial Park, P.O. Box 619, Migdal Haemek, 23105 Israel.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6"/>
          <w:szCs w:val="16"/>
          <w:color w:val="auto"/>
        </w:rPr>
        <w:t>Name of Person Filing, address and citizenship:</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entity is referred to as the “Reporting Person” in this Statement:</w:t>
      </w:r>
    </w:p>
    <w:p>
      <w:pPr>
        <w:spacing w:after="0" w:line="240"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Harel Insurance Investments &amp; Financial Services Ltd., an Israeli public company (“HIIFS”), with a principal business address at Harel House; 3 Aba Hillel Street; Ramat Gan 52118, Israel.</w:t>
      </w:r>
    </w:p>
    <w:p>
      <w:pPr>
        <w:spacing w:after="0" w:line="19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Ordinary Shares, par value NIS 15.00 per share (the “Ordinary Shares”).</w:t>
      </w:r>
    </w:p>
    <w:p>
      <w:pPr>
        <w:spacing w:after="0" w:line="24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M87915274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63"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21"/>
          <w:szCs w:val="21"/>
          <w:color w:val="auto"/>
        </w:rPr>
        <w:t>Of the 4,715,124 Ordinary Shares reported in this Statement as beneficially owned by the Reporting Person (i) 4,603,439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8,667 Ordinary Shares are held by third-party client accounts managed by subsidiaries of the Reporting Person as portfolio managers, each of which subsidiaries operates under independent management and makes independent investment decisions and has no voting power in the securities held in such client accounts, and (iii) 103,018 Ordinary Shares are beneficially held for its own account. Consequently, this Statement shall not be construed as an admission by the Reporting Person that it is the beneficial owner of more than 103,018 Ordinary Shares.</w:t>
      </w:r>
    </w:p>
    <w:p>
      <w:pPr>
        <w:spacing w:after="0" w:line="1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Except as set forth above, see items 5-11 of the cover pages hereto for beneficial ownership, percentage of class and dispositive power of the Reporting Person, which are incorporated herein.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63" w:lineRule="exact"/>
        <w:rPr>
          <w:sz w:val="20"/>
          <w:szCs w:val="20"/>
          <w:color w:val="auto"/>
        </w:rPr>
      </w:pPr>
    </w:p>
    <w:p>
      <w:pPr>
        <w:ind w:left="660" w:right="40"/>
        <w:spacing w:after="0" w:line="284"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January 23,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INSURANCE INVESTMENTS AND FINANCIAL SERVICES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 /s/ Sarit Levy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Sarit Levy, V.P., Accounting and Investments Department, authorized</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signatory of HAREL INSURANCE INVESTMENTS AND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SERVICES LTD.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2020-01-23T09:49:02Z</dcterms:created>
  <dcterms:modified xsi:type="dcterms:W3CDTF">2020-01-23T09:49:02Z</dcterms:modified>
</cp:coreProperties>
</file>