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0"/>
        <w:spacing w:after="0"/>
        <w:rPr>
          <w:sz w:val="20"/>
          <w:szCs w:val="20"/>
          <w:color w:val="auto"/>
        </w:rPr>
      </w:pPr>
      <w:r>
        <w:rPr>
          <w:rFonts w:ascii="Arial" w:cs="Arial" w:eastAsia="Arial" w:hAnsi="Arial"/>
          <w:sz w:val="18"/>
          <w:szCs w:val="18"/>
          <w:b w:val="1"/>
          <w:bCs w:val="1"/>
          <w:color w:val="auto"/>
        </w:rPr>
        <w:t xml:space="preserve">As filed with the Securities and Exchange Commission on January 18, 2008 </w:t>
      </w:r>
      <w:r>
        <w:rPr>
          <w:rFonts w:ascii="Arial" w:cs="Arial" w:eastAsia="Arial" w:hAnsi="Arial"/>
          <w:sz w:val="18"/>
          <w:szCs w:val="18"/>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SECURITIES AND EXCHANGE COMMISSION</w:t>
      </w:r>
    </w:p>
    <w:p>
      <w:pPr>
        <w:spacing w:after="0" w:line="3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73"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FORM F-3</w:t>
      </w:r>
    </w:p>
    <w:p>
      <w:pPr>
        <w:spacing w:after="0" w:line="325"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REGISTRATION STATEMENT</w:t>
      </w:r>
    </w:p>
    <w:p>
      <w:pPr>
        <w:spacing w:after="0" w:line="15"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UNDER</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THE SECURITIES ACT OF 1933</w:t>
      </w:r>
    </w:p>
    <w:p>
      <w:pPr>
        <w:spacing w:after="0" w:line="186" w:lineRule="exact"/>
        <w:rPr>
          <w:sz w:val="24"/>
          <w:szCs w:val="24"/>
          <w:color w:val="auto"/>
        </w:rPr>
      </w:pPr>
    </w:p>
    <w:p>
      <w:pPr>
        <w:jc w:val="center"/>
        <w:ind w:right="60"/>
        <w:spacing w:after="0"/>
        <w:rPr>
          <w:sz w:val="20"/>
          <w:szCs w:val="20"/>
          <w:color w:val="auto"/>
        </w:rPr>
      </w:pPr>
      <w:r>
        <w:rPr>
          <w:rFonts w:ascii="Arial" w:cs="Arial" w:eastAsia="Arial" w:hAnsi="Arial"/>
          <w:sz w:val="32"/>
          <w:szCs w:val="32"/>
          <w:b w:val="1"/>
          <w:bCs w:val="1"/>
          <w:color w:val="auto"/>
        </w:rPr>
        <w:t>TOWER SEMICONDUCTOR LTD.</w:t>
      </w:r>
    </w:p>
    <w:p>
      <w:pPr>
        <w:spacing w:after="0" w:line="4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p>
      <w:pPr>
        <w:ind w:left="2640"/>
        <w:spacing w:after="0"/>
        <w:tabs>
          <w:tab w:leader="none" w:pos="7980" w:val="left"/>
        </w:tabs>
        <w:rPr>
          <w:sz w:val="20"/>
          <w:szCs w:val="20"/>
          <w:color w:val="auto"/>
        </w:rPr>
      </w:pPr>
      <w:r>
        <w:rPr>
          <w:rFonts w:ascii="Arial" w:cs="Arial" w:eastAsia="Arial" w:hAnsi="Arial"/>
          <w:sz w:val="18"/>
          <w:szCs w:val="18"/>
          <w:b w:val="1"/>
          <w:bCs w:val="1"/>
          <w:color w:val="auto"/>
        </w:rPr>
        <w:t>Israel</w:t>
      </w:r>
      <w:r>
        <w:rPr>
          <w:sz w:val="20"/>
          <w:szCs w:val="20"/>
          <w:color w:val="auto"/>
        </w:rPr>
        <w:tab/>
      </w: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760"/>
        <w:spacing w:after="0"/>
        <w:tabs>
          <w:tab w:leader="none" w:pos="7280" w:val="left"/>
        </w:tabs>
        <w:rPr>
          <w:sz w:val="20"/>
          <w:szCs w:val="20"/>
          <w:color w:val="auto"/>
        </w:rPr>
      </w:pPr>
      <w:r>
        <w:rPr>
          <w:rFonts w:ascii="Arial" w:cs="Arial" w:eastAsia="Arial" w:hAnsi="Arial"/>
          <w:sz w:val="18"/>
          <w:szCs w:val="18"/>
          <w:color w:val="auto"/>
        </w:rPr>
        <w:t>(State or other jurisdiction of incorporation or organization)</w:t>
      </w:r>
      <w:r>
        <w:rPr>
          <w:sz w:val="20"/>
          <w:szCs w:val="20"/>
          <w:color w:val="auto"/>
        </w:rPr>
        <w:tab/>
      </w:r>
      <w:r>
        <w:rPr>
          <w:rFonts w:ascii="Arial" w:cs="Arial" w:eastAsia="Arial" w:hAnsi="Arial"/>
          <w:sz w:val="16"/>
          <w:szCs w:val="16"/>
          <w:color w:val="auto"/>
        </w:rPr>
        <w:t>(I.R.S. Employer Identification No.)</w:t>
      </w:r>
    </w:p>
    <w:p>
      <w:pPr>
        <w:spacing w:after="0" w:line="200" w:lineRule="exact"/>
        <w:rPr>
          <w:sz w:val="24"/>
          <w:szCs w:val="24"/>
          <w:color w:val="auto"/>
        </w:rPr>
      </w:pPr>
    </w:p>
    <w:p>
      <w:pPr>
        <w:spacing w:after="0" w:line="262"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P.O. Box 619</w:t>
      </w:r>
    </w:p>
    <w:p>
      <w:pPr>
        <w:spacing w:after="0" w:line="15"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Migdal Haemek, Israel, 23105</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972-4-650-6611</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(Address and telephone number of Registrant's principal executive offices)</w:t>
      </w:r>
    </w:p>
    <w:p>
      <w:pPr>
        <w:spacing w:after="0" w:line="219"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Tower Semiconductor USA</w:t>
      </w:r>
    </w:p>
    <w:p>
      <w:pPr>
        <w:spacing w:after="0" w:line="15"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4300 Stevens Creek Blvd., Suite 175</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San Jose, California 95129</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Tel: 408-551-6500</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Facsimile: 408-551-6509</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(Name, address and telephone number of agent for service)</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Copies of all Correspondence to:</w:t>
      </w:r>
    </w:p>
    <w:p>
      <w:pPr>
        <w:spacing w:after="0" w:line="213" w:lineRule="exact"/>
        <w:rPr>
          <w:sz w:val="24"/>
          <w:szCs w:val="24"/>
          <w:color w:val="auto"/>
        </w:rPr>
      </w:pPr>
    </w:p>
    <w:tbl>
      <w:tblPr>
        <w:tblLayout w:type="fixed"/>
        <w:tblInd w:w="1740" w:type="dxa"/>
        <w:tblCellMar>
          <w:top w:w="0" w:type="dxa"/>
          <w:left w:w="0" w:type="dxa"/>
          <w:bottom w:w="0" w:type="dxa"/>
          <w:right w:w="0" w:type="dxa"/>
        </w:tblCellMar>
      </w:tblPr>
      <w:tr>
        <w:trPr>
          <w:trHeight w:val="228"/>
        </w:trPr>
        <w:tc>
          <w:tcPr>
            <w:tcW w:w="4000" w:type="dxa"/>
            <w:vAlign w:val="bottom"/>
          </w:tcPr>
          <w:p>
            <w:pPr>
              <w:jc w:val="center"/>
              <w:ind w:right="1672"/>
              <w:spacing w:after="0"/>
              <w:rPr>
                <w:sz w:val="20"/>
                <w:szCs w:val="20"/>
                <w:color w:val="auto"/>
              </w:rPr>
            </w:pPr>
            <w:r>
              <w:rPr>
                <w:rFonts w:ascii="Arial" w:cs="Arial" w:eastAsia="Arial" w:hAnsi="Arial"/>
                <w:sz w:val="18"/>
                <w:szCs w:val="18"/>
                <w:b w:val="1"/>
                <w:bCs w:val="1"/>
                <w:color w:val="auto"/>
                <w:w w:val="96"/>
              </w:rPr>
              <w:t>DAVID H. SCHAPIRO, ESQ.</w:t>
            </w:r>
          </w:p>
        </w:tc>
        <w:tc>
          <w:tcPr>
            <w:tcW w:w="3900" w:type="dxa"/>
            <w:vAlign w:val="bottom"/>
          </w:tcPr>
          <w:p>
            <w:pPr>
              <w:jc w:val="center"/>
              <w:ind w:left="1672"/>
              <w:spacing w:after="0"/>
              <w:rPr>
                <w:sz w:val="20"/>
                <w:szCs w:val="20"/>
                <w:color w:val="auto"/>
              </w:rPr>
            </w:pPr>
            <w:r>
              <w:rPr>
                <w:rFonts w:ascii="Arial" w:cs="Arial" w:eastAsia="Arial" w:hAnsi="Arial"/>
                <w:sz w:val="18"/>
                <w:szCs w:val="18"/>
                <w:b w:val="1"/>
                <w:bCs w:val="1"/>
                <w:color w:val="auto"/>
                <w:w w:val="94"/>
              </w:rPr>
              <w:t>SHELDON KRAUSE, ESQ.</w:t>
            </w:r>
          </w:p>
        </w:tc>
      </w:tr>
      <w:tr>
        <w:trPr>
          <w:trHeight w:val="427"/>
        </w:trPr>
        <w:tc>
          <w:tcPr>
            <w:tcW w:w="4000" w:type="dxa"/>
            <w:vAlign w:val="bottom"/>
          </w:tcPr>
          <w:p>
            <w:pPr>
              <w:jc w:val="center"/>
              <w:ind w:right="1652"/>
              <w:spacing w:after="0"/>
              <w:rPr>
                <w:sz w:val="20"/>
                <w:szCs w:val="20"/>
                <w:color w:val="auto"/>
              </w:rPr>
            </w:pPr>
            <w:r>
              <w:rPr>
                <w:rFonts w:ascii="Arial" w:cs="Arial" w:eastAsia="Arial" w:hAnsi="Arial"/>
                <w:sz w:val="18"/>
                <w:szCs w:val="18"/>
                <w:color w:val="auto"/>
                <w:w w:val="93"/>
              </w:rPr>
              <w:t>Yigal Arnon &amp; Co.</w:t>
            </w:r>
          </w:p>
        </w:tc>
        <w:tc>
          <w:tcPr>
            <w:tcW w:w="3900" w:type="dxa"/>
            <w:vAlign w:val="bottom"/>
          </w:tcPr>
          <w:p>
            <w:pPr>
              <w:jc w:val="center"/>
              <w:ind w:left="1672"/>
              <w:spacing w:after="0"/>
              <w:rPr>
                <w:sz w:val="20"/>
                <w:szCs w:val="20"/>
                <w:color w:val="auto"/>
              </w:rPr>
            </w:pPr>
            <w:r>
              <w:rPr>
                <w:rFonts w:ascii="Arial" w:cs="Arial" w:eastAsia="Arial" w:hAnsi="Arial"/>
                <w:sz w:val="18"/>
                <w:szCs w:val="18"/>
                <w:color w:val="auto"/>
                <w:w w:val="89"/>
              </w:rPr>
              <w:t>Eilenberg, Krause &amp; Paul LLP</w:t>
            </w:r>
          </w:p>
        </w:tc>
      </w:tr>
      <w:tr>
        <w:trPr>
          <w:trHeight w:val="255"/>
        </w:trPr>
        <w:tc>
          <w:tcPr>
            <w:tcW w:w="4000" w:type="dxa"/>
            <w:vAlign w:val="bottom"/>
          </w:tcPr>
          <w:p>
            <w:pPr>
              <w:jc w:val="center"/>
              <w:ind w:right="1652"/>
              <w:spacing w:after="0"/>
              <w:rPr>
                <w:sz w:val="20"/>
                <w:szCs w:val="20"/>
                <w:color w:val="auto"/>
              </w:rPr>
            </w:pPr>
            <w:r>
              <w:rPr>
                <w:rFonts w:ascii="Arial" w:cs="Arial" w:eastAsia="Arial" w:hAnsi="Arial"/>
                <w:sz w:val="18"/>
                <w:szCs w:val="18"/>
                <w:color w:val="auto"/>
                <w:w w:val="92"/>
              </w:rPr>
              <w:t>1 Azrieli Center</w:t>
            </w:r>
          </w:p>
        </w:tc>
        <w:tc>
          <w:tcPr>
            <w:tcW w:w="3900" w:type="dxa"/>
            <w:vAlign w:val="bottom"/>
          </w:tcPr>
          <w:p>
            <w:pPr>
              <w:jc w:val="center"/>
              <w:ind w:left="1672"/>
              <w:spacing w:after="0" w:line="255" w:lineRule="exact"/>
              <w:rPr>
                <w:sz w:val="20"/>
                <w:szCs w:val="20"/>
                <w:color w:val="auto"/>
              </w:rPr>
            </w:pPr>
            <w:r>
              <w:rPr>
                <w:rFonts w:ascii="Arial" w:cs="Arial" w:eastAsia="Arial" w:hAnsi="Arial"/>
                <w:sz w:val="18"/>
                <w:szCs w:val="18"/>
                <w:color w:val="auto"/>
                <w:w w:val="83"/>
              </w:rPr>
              <w:t>11 East 44</w:t>
            </w:r>
            <w:r>
              <w:rPr>
                <w:rFonts w:ascii="Arial" w:cs="Arial" w:eastAsia="Arial" w:hAnsi="Arial"/>
                <w:sz w:val="29"/>
                <w:szCs w:val="29"/>
                <w:color w:val="auto"/>
                <w:w w:val="83"/>
                <w:vertAlign w:val="superscript"/>
              </w:rPr>
              <w:t>th</w:t>
            </w:r>
            <w:r>
              <w:rPr>
                <w:rFonts w:ascii="Arial" w:cs="Arial" w:eastAsia="Arial" w:hAnsi="Arial"/>
                <w:sz w:val="18"/>
                <w:szCs w:val="18"/>
                <w:color w:val="auto"/>
                <w:w w:val="83"/>
              </w:rPr>
              <w:t xml:space="preserve"> Street</w:t>
            </w:r>
          </w:p>
        </w:tc>
      </w:tr>
      <w:tr>
        <w:trPr>
          <w:trHeight w:val="216"/>
        </w:trPr>
        <w:tc>
          <w:tcPr>
            <w:tcW w:w="4000" w:type="dxa"/>
            <w:vAlign w:val="bottom"/>
          </w:tcPr>
          <w:p>
            <w:pPr>
              <w:jc w:val="center"/>
              <w:ind w:right="1672"/>
              <w:spacing w:after="0"/>
              <w:rPr>
                <w:sz w:val="20"/>
                <w:szCs w:val="20"/>
                <w:color w:val="auto"/>
              </w:rPr>
            </w:pPr>
            <w:r>
              <w:rPr>
                <w:rFonts w:ascii="Arial" w:cs="Arial" w:eastAsia="Arial" w:hAnsi="Arial"/>
                <w:sz w:val="18"/>
                <w:szCs w:val="18"/>
                <w:color w:val="auto"/>
                <w:w w:val="90"/>
              </w:rPr>
              <w:t>Tel Aviv, 67021 Israel</w:t>
            </w:r>
          </w:p>
        </w:tc>
        <w:tc>
          <w:tcPr>
            <w:tcW w:w="3900" w:type="dxa"/>
            <w:vAlign w:val="bottom"/>
          </w:tcPr>
          <w:p>
            <w:pPr>
              <w:jc w:val="center"/>
              <w:ind w:left="1672"/>
              <w:spacing w:after="0"/>
              <w:rPr>
                <w:sz w:val="20"/>
                <w:szCs w:val="20"/>
                <w:color w:val="auto"/>
              </w:rPr>
            </w:pPr>
            <w:r>
              <w:rPr>
                <w:rFonts w:ascii="Arial" w:cs="Arial" w:eastAsia="Arial" w:hAnsi="Arial"/>
                <w:sz w:val="18"/>
                <w:szCs w:val="18"/>
                <w:color w:val="auto"/>
                <w:w w:val="91"/>
              </w:rPr>
              <w:t>New York, NY 10017</w:t>
            </w:r>
          </w:p>
        </w:tc>
      </w:tr>
      <w:tr>
        <w:trPr>
          <w:trHeight w:val="222"/>
        </w:trPr>
        <w:tc>
          <w:tcPr>
            <w:tcW w:w="4000" w:type="dxa"/>
            <w:vAlign w:val="bottom"/>
          </w:tcPr>
          <w:p>
            <w:pPr>
              <w:jc w:val="center"/>
              <w:ind w:right="1652"/>
              <w:spacing w:after="0"/>
              <w:rPr>
                <w:sz w:val="20"/>
                <w:szCs w:val="20"/>
                <w:color w:val="auto"/>
              </w:rPr>
            </w:pPr>
            <w:r>
              <w:rPr>
                <w:rFonts w:ascii="Arial" w:cs="Arial" w:eastAsia="Arial" w:hAnsi="Arial"/>
                <w:sz w:val="18"/>
                <w:szCs w:val="18"/>
                <w:color w:val="auto"/>
                <w:w w:val="89"/>
              </w:rPr>
              <w:t>Tel: 972-3-608-7856</w:t>
            </w:r>
          </w:p>
        </w:tc>
        <w:tc>
          <w:tcPr>
            <w:tcW w:w="3900" w:type="dxa"/>
            <w:vAlign w:val="bottom"/>
          </w:tcPr>
          <w:p>
            <w:pPr>
              <w:jc w:val="center"/>
              <w:ind w:left="1672"/>
              <w:spacing w:after="0"/>
              <w:rPr>
                <w:sz w:val="20"/>
                <w:szCs w:val="20"/>
                <w:color w:val="auto"/>
              </w:rPr>
            </w:pPr>
            <w:r>
              <w:rPr>
                <w:rFonts w:ascii="Arial" w:cs="Arial" w:eastAsia="Arial" w:hAnsi="Arial"/>
                <w:sz w:val="18"/>
                <w:szCs w:val="18"/>
                <w:color w:val="auto"/>
                <w:w w:val="88"/>
              </w:rPr>
              <w:t>Tel: 212-986-9700</w:t>
            </w:r>
          </w:p>
        </w:tc>
      </w:tr>
    </w:tbl>
    <w:p>
      <w:pPr>
        <w:spacing w:after="0" w:line="200" w:lineRule="exact"/>
        <w:rPr>
          <w:sz w:val="24"/>
          <w:szCs w:val="24"/>
          <w:color w:val="auto"/>
        </w:rPr>
      </w:pPr>
    </w:p>
    <w:p>
      <w:pPr>
        <w:spacing w:after="0" w:line="247" w:lineRule="exact"/>
        <w:rPr>
          <w:sz w:val="24"/>
          <w:szCs w:val="24"/>
          <w:color w:val="auto"/>
        </w:rPr>
      </w:pPr>
    </w:p>
    <w:p>
      <w:pPr>
        <w:spacing w:after="0"/>
        <w:rPr>
          <w:sz w:val="20"/>
          <w:szCs w:val="20"/>
          <w:color w:val="auto"/>
        </w:rPr>
      </w:pPr>
      <w:r>
        <w:rPr>
          <w:rFonts w:ascii="Arial" w:cs="Arial" w:eastAsia="Arial" w:hAnsi="Arial"/>
          <w:sz w:val="18"/>
          <w:szCs w:val="18"/>
          <w:color w:val="auto"/>
        </w:rPr>
        <w:t>Approximate date of commencement of proposed sale to the public</w:t>
      </w:r>
      <w:r>
        <w:rPr>
          <w:rFonts w:ascii="Arial" w:cs="Arial" w:eastAsia="Arial" w:hAnsi="Arial"/>
          <w:sz w:val="18"/>
          <w:szCs w:val="18"/>
          <w:b w:val="1"/>
          <w:bCs w:val="1"/>
          <w:color w:val="auto"/>
        </w:rPr>
        <w:t>:</w:t>
      </w:r>
      <w:r>
        <w:rPr>
          <w:rFonts w:ascii="Arial" w:cs="Arial" w:eastAsia="Arial" w:hAnsi="Arial"/>
          <w:sz w:val="18"/>
          <w:szCs w:val="18"/>
          <w:color w:val="auto"/>
        </w:rPr>
        <w:t xml:space="preserve"> From time to time after the effective date of this registration statement.</w:t>
      </w:r>
    </w:p>
    <w:p>
      <w:pPr>
        <w:spacing w:after="0" w:line="218" w:lineRule="exact"/>
        <w:rPr>
          <w:sz w:val="24"/>
          <w:szCs w:val="24"/>
          <w:color w:val="auto"/>
        </w:rPr>
      </w:pPr>
    </w:p>
    <w:p>
      <w:pPr>
        <w:spacing w:after="0"/>
        <w:rPr>
          <w:sz w:val="20"/>
          <w:szCs w:val="20"/>
          <w:color w:val="auto"/>
        </w:rPr>
      </w:pPr>
      <w:r>
        <w:rPr>
          <w:rFonts w:ascii="Arial" w:cs="Arial" w:eastAsia="Arial" w:hAnsi="Arial"/>
          <w:sz w:val="16"/>
          <w:szCs w:val="16"/>
          <w:color w:val="auto"/>
        </w:rPr>
        <w:t xml:space="preserve">If the only securities being registered on this form are being offered pursuant to dividend or interest reinvestment plans, please check the following box: </w:t>
      </w:r>
      <w:r>
        <w:rPr>
          <w:rFonts w:ascii="Arial" w:cs="Arial" w:eastAsia="Arial" w:hAnsi="Arial"/>
          <w:sz w:val="19"/>
          <w:szCs w:val="19"/>
          <w:color w:val="auto"/>
        </w:rPr>
        <w:t>o</w:t>
      </w:r>
    </w:p>
    <w:p>
      <w:pPr>
        <w:spacing w:after="0" w:line="254" w:lineRule="exact"/>
        <w:rPr>
          <w:sz w:val="24"/>
          <w:szCs w:val="24"/>
          <w:color w:val="auto"/>
        </w:rPr>
      </w:pPr>
    </w:p>
    <w:p>
      <w:pPr>
        <w:ind w:right="340"/>
        <w:spacing w:after="0" w:line="268" w:lineRule="auto"/>
        <w:rPr>
          <w:sz w:val="20"/>
          <w:szCs w:val="20"/>
          <w:color w:val="auto"/>
        </w:rPr>
      </w:pPr>
      <w:r>
        <w:rPr>
          <w:rFonts w:ascii="Arial" w:cs="Arial" w:eastAsia="Arial" w:hAnsi="Arial"/>
          <w:sz w:val="18"/>
          <w:szCs w:val="18"/>
          <w:color w:val="auto"/>
        </w:rPr>
        <w:t xml:space="preserve">If any of the securities being registered on this form are to be offered on a delayed or continuous basis pursuant to Rule 415 under the Securities Act of 1933, please check the following box: </w:t>
      </w:r>
      <w:r>
        <w:rPr>
          <w:rFonts w:ascii="Arial" w:cs="Arial" w:eastAsia="Arial" w:hAnsi="Arial"/>
          <w:sz w:val="21"/>
          <w:szCs w:val="21"/>
          <w:color w:val="auto"/>
        </w:rPr>
        <w:t>x</w:t>
      </w:r>
    </w:p>
    <w:p>
      <w:pPr>
        <w:spacing w:after="0" w:line="174" w:lineRule="exact"/>
        <w:rPr>
          <w:sz w:val="24"/>
          <w:szCs w:val="24"/>
          <w:color w:val="auto"/>
        </w:rPr>
      </w:pPr>
    </w:p>
    <w:p>
      <w:pPr>
        <w:ind w:right="260"/>
        <w:spacing w:after="0" w:line="268" w:lineRule="auto"/>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Arial" w:cs="Arial" w:eastAsia="Arial" w:hAnsi="Arial"/>
          <w:sz w:val="21"/>
          <w:szCs w:val="2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88265</wp:posOffset>
            </wp:positionV>
            <wp:extent cx="72504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84" w:lineRule="exact"/>
        <w:rPr>
          <w:sz w:val="24"/>
          <w:szCs w:val="24"/>
          <w:color w:val="auto"/>
        </w:rPr>
      </w:pPr>
    </w:p>
    <w:p>
      <w:pPr>
        <w:ind w:right="160"/>
        <w:spacing w:after="0" w:line="268" w:lineRule="auto"/>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Arial" w:cs="Arial" w:eastAsia="Arial" w:hAnsi="Arial"/>
          <w:sz w:val="21"/>
          <w:szCs w:val="21"/>
          <w:color w:val="auto"/>
        </w:rPr>
        <w:t>o</w:t>
      </w:r>
    </w:p>
    <w:p>
      <w:pPr>
        <w:spacing w:after="0" w:line="174" w:lineRule="exact"/>
        <w:rPr>
          <w:sz w:val="24"/>
          <w:szCs w:val="24"/>
          <w:color w:val="auto"/>
        </w:rPr>
      </w:pPr>
    </w:p>
    <w:p>
      <w:pPr>
        <w:ind w:right="160"/>
        <w:spacing w:after="0" w:line="268" w:lineRule="auto"/>
        <w:rPr>
          <w:sz w:val="20"/>
          <w:szCs w:val="20"/>
          <w:color w:val="auto"/>
        </w:rPr>
      </w:pPr>
      <w:r>
        <w:rPr>
          <w:rFonts w:ascii="Arial" w:cs="Arial" w:eastAsia="Arial" w:hAnsi="Arial"/>
          <w:sz w:val="18"/>
          <w:szCs w:val="18"/>
          <w:color w:val="auto"/>
        </w:rPr>
        <w:t xml:space="preserve">If this form is a registration statement pursuant to General Instruction I.C. or a post effective amendment thereto that shall become effective upon filing with the Commission pursuant to Rule 462(e) under the Securities Act, check the following box. </w:t>
      </w:r>
      <w:r>
        <w:rPr>
          <w:rFonts w:ascii="Arial" w:cs="Arial" w:eastAsia="Arial" w:hAnsi="Arial"/>
          <w:sz w:val="21"/>
          <w:szCs w:val="21"/>
          <w:color w:val="auto"/>
        </w:rPr>
        <w:t>o</w:t>
      </w:r>
    </w:p>
    <w:p>
      <w:pPr>
        <w:spacing w:after="0" w:line="174" w:lineRule="exact"/>
        <w:rPr>
          <w:sz w:val="24"/>
          <w:szCs w:val="24"/>
          <w:color w:val="auto"/>
        </w:rPr>
      </w:pPr>
    </w:p>
    <w:p>
      <w:pPr>
        <w:ind w:right="160"/>
        <w:spacing w:after="0" w:line="268" w:lineRule="auto"/>
        <w:rPr>
          <w:sz w:val="20"/>
          <w:szCs w:val="20"/>
          <w:color w:val="auto"/>
        </w:rPr>
      </w:pPr>
      <w:r>
        <w:rPr>
          <w:rFonts w:ascii="Arial" w:cs="Arial" w:eastAsia="Arial" w:hAnsi="Arial"/>
          <w:sz w:val="18"/>
          <w:szCs w:val="18"/>
          <w:color w:val="auto"/>
        </w:rPr>
        <w:t xml:space="preserve">If this form is a post-effective amendment to a registration statement filed pursuant to General Instruction I.C. filed to register additional securities or additional classes of securities pursuant to Rule 413(b) under the Securities Act, check the following box. </w:t>
      </w:r>
      <w:r>
        <w:rPr>
          <w:rFonts w:ascii="Arial" w:cs="Arial" w:eastAsia="Arial" w:hAnsi="Arial"/>
          <w:sz w:val="21"/>
          <w:szCs w:val="21"/>
          <w:color w:val="auto"/>
        </w:rPr>
        <w:t>o</w:t>
      </w:r>
    </w:p>
    <w:p>
      <w:pPr>
        <w:spacing w:after="0" w:line="17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Calculation of Registration Fee</w:t>
      </w:r>
    </w:p>
    <w:p>
      <w:pPr>
        <w:spacing w:after="0" w:line="208" w:lineRule="exact"/>
        <w:rPr>
          <w:sz w:val="24"/>
          <w:szCs w:val="24"/>
          <w:color w:val="auto"/>
        </w:rPr>
      </w:pPr>
    </w:p>
    <w:tbl>
      <w:tblPr>
        <w:tblLayout w:type="fixed"/>
        <w:tblInd w:w="12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83"/>
              </w:rPr>
              <w:t>Proposed</w:t>
            </w:r>
          </w:p>
        </w:tc>
        <w:tc>
          <w:tcPr>
            <w:tcW w:w="4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49"/>
        </w:trPr>
        <w:tc>
          <w:tcPr>
            <w:tcW w:w="4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Proposed</w:t>
            </w:r>
          </w:p>
        </w:tc>
        <w:tc>
          <w:tcPr>
            <w:tcW w:w="4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maximum</w:t>
            </w:r>
          </w:p>
        </w:tc>
        <w:tc>
          <w:tcPr>
            <w:tcW w:w="40" w:type="dxa"/>
            <w:vAlign w:val="bottom"/>
          </w:tcPr>
          <w:p>
            <w:pPr>
              <w:spacing w:after="0"/>
              <w:rPr>
                <w:sz w:val="12"/>
                <w:szCs w:val="12"/>
                <w:color w:val="auto"/>
              </w:rPr>
            </w:pPr>
          </w:p>
        </w:tc>
        <w:tc>
          <w:tcPr>
            <w:tcW w:w="1540" w:type="dxa"/>
            <w:vAlign w:val="bottom"/>
          </w:tcPr>
          <w:p>
            <w:pPr>
              <w:spacing w:after="0"/>
              <w:rPr>
                <w:sz w:val="12"/>
                <w:szCs w:val="12"/>
                <w:color w:val="auto"/>
              </w:rPr>
            </w:pPr>
          </w:p>
        </w:tc>
      </w:tr>
      <w:tr>
        <w:trPr>
          <w:trHeight w:val="149"/>
        </w:trPr>
        <w:tc>
          <w:tcPr>
            <w:tcW w:w="4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Title of each</w:t>
            </w:r>
          </w:p>
        </w:tc>
        <w:tc>
          <w:tcPr>
            <w:tcW w:w="1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maximum</w:t>
            </w:r>
          </w:p>
        </w:tc>
        <w:tc>
          <w:tcPr>
            <w:tcW w:w="4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aggregate</w:t>
            </w:r>
          </w:p>
        </w:tc>
        <w:tc>
          <w:tcPr>
            <w:tcW w:w="40" w:type="dxa"/>
            <w:vAlign w:val="bottom"/>
          </w:tcPr>
          <w:p>
            <w:pPr>
              <w:spacing w:after="0"/>
              <w:rPr>
                <w:sz w:val="12"/>
                <w:szCs w:val="12"/>
                <w:color w:val="auto"/>
              </w:rPr>
            </w:pPr>
          </w:p>
        </w:tc>
        <w:tc>
          <w:tcPr>
            <w:tcW w:w="1540" w:type="dxa"/>
            <w:vAlign w:val="bottom"/>
          </w:tcPr>
          <w:p>
            <w:pPr>
              <w:spacing w:after="0"/>
              <w:rPr>
                <w:sz w:val="12"/>
                <w:szCs w:val="12"/>
                <w:color w:val="auto"/>
              </w:rPr>
            </w:pPr>
          </w:p>
        </w:tc>
      </w:tr>
      <w:tr>
        <w:trPr>
          <w:trHeight w:val="149"/>
        </w:trPr>
        <w:tc>
          <w:tcPr>
            <w:tcW w:w="4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0"/>
              </w:rPr>
              <w:t>class of securities</w:t>
            </w:r>
          </w:p>
        </w:tc>
        <w:tc>
          <w:tcPr>
            <w:tcW w:w="14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Amount to be</w:t>
            </w:r>
          </w:p>
        </w:tc>
        <w:tc>
          <w:tcPr>
            <w:tcW w:w="6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offering price</w:t>
            </w:r>
          </w:p>
        </w:tc>
        <w:tc>
          <w:tcPr>
            <w:tcW w:w="4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offering</w:t>
            </w:r>
          </w:p>
        </w:tc>
        <w:tc>
          <w:tcPr>
            <w:tcW w:w="4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Amount of</w:t>
            </w:r>
          </w:p>
        </w:tc>
      </w:tr>
      <w:tr>
        <w:trPr>
          <w:trHeight w:val="174"/>
        </w:trPr>
        <w:tc>
          <w:tcPr>
            <w:tcW w:w="4820" w:type="dxa"/>
            <w:vAlign w:val="bottom"/>
          </w:tcPr>
          <w:p>
            <w:pPr>
              <w:jc w:val="center"/>
              <w:spacing w:after="0"/>
              <w:rPr>
                <w:sz w:val="20"/>
                <w:szCs w:val="20"/>
                <w:color w:val="auto"/>
              </w:rPr>
            </w:pPr>
            <w:r>
              <w:rPr>
                <w:rFonts w:ascii="Arial" w:cs="Arial" w:eastAsia="Arial" w:hAnsi="Arial"/>
                <w:sz w:val="14"/>
                <w:szCs w:val="14"/>
                <w:b w:val="1"/>
                <w:bCs w:val="1"/>
                <w:color w:val="auto"/>
                <w:w w:val="85"/>
              </w:rPr>
              <w:t>to be registered</w:t>
            </w:r>
          </w:p>
        </w:tc>
        <w:tc>
          <w:tcPr>
            <w:tcW w:w="140" w:type="dxa"/>
            <w:vAlign w:val="bottom"/>
          </w:tcPr>
          <w:p>
            <w:pPr>
              <w:spacing w:after="0"/>
              <w:rPr>
                <w:sz w:val="15"/>
                <w:szCs w:val="15"/>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84"/>
              </w:rPr>
              <w:t>registered(1)</w:t>
            </w:r>
          </w:p>
        </w:tc>
        <w:tc>
          <w:tcPr>
            <w:tcW w:w="60" w:type="dxa"/>
            <w:vAlign w:val="bottom"/>
          </w:tcPr>
          <w:p>
            <w:pPr>
              <w:spacing w:after="0"/>
              <w:rPr>
                <w:sz w:val="15"/>
                <w:szCs w:val="15"/>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0"/>
              </w:rPr>
              <w:t>per unit(2)</w:t>
            </w:r>
          </w:p>
        </w:tc>
        <w:tc>
          <w:tcPr>
            <w:tcW w:w="40" w:type="dxa"/>
            <w:vAlign w:val="bottom"/>
          </w:tcPr>
          <w:p>
            <w:pPr>
              <w:spacing w:after="0"/>
              <w:rPr>
                <w:sz w:val="15"/>
                <w:szCs w:val="15"/>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1"/>
              </w:rPr>
              <w:t>price(1)(2)</w:t>
            </w:r>
          </w:p>
        </w:tc>
        <w:tc>
          <w:tcPr>
            <w:tcW w:w="40" w:type="dxa"/>
            <w:vAlign w:val="bottom"/>
          </w:tcPr>
          <w:p>
            <w:pPr>
              <w:spacing w:after="0"/>
              <w:rPr>
                <w:sz w:val="15"/>
                <w:szCs w:val="15"/>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84"/>
              </w:rPr>
              <w:t>registration fee</w:t>
            </w:r>
          </w:p>
        </w:tc>
      </w:tr>
      <w:tr>
        <w:trPr>
          <w:trHeight w:val="95"/>
        </w:trPr>
        <w:tc>
          <w:tcPr>
            <w:tcW w:w="48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54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54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540" w:type="dxa"/>
            <w:vAlign w:val="bottom"/>
            <w:tcBorders>
              <w:bottom w:val="single" w:sz="8" w:color="auto"/>
            </w:tcBorders>
          </w:tcPr>
          <w:p>
            <w:pPr>
              <w:spacing w:after="0"/>
              <w:rPr>
                <w:sz w:val="8"/>
                <w:szCs w:val="8"/>
                <w:color w:val="auto"/>
              </w:rPr>
            </w:pPr>
          </w:p>
        </w:tc>
      </w:tr>
    </w:tbl>
    <w:p>
      <w:pPr>
        <w:spacing w:after="0" w:line="200" w:lineRule="exact"/>
        <w:rPr>
          <w:sz w:val="24"/>
          <w:szCs w:val="24"/>
          <w:color w:val="auto"/>
        </w:rPr>
      </w:pPr>
    </w:p>
    <w:p>
      <w:pPr>
        <w:sectPr>
          <w:pgSz w:w="11900" w:h="16838" w:orient="portrait"/>
          <w:cols w:equalWidth="0" w:num="1">
            <w:col w:w="11400"/>
          </w:cols>
          <w:pgMar w:left="240" w:top="233" w:right="259" w:bottom="0" w:gutter="0" w:footer="0" w:header="0"/>
        </w:sectPr>
      </w:pPr>
    </w:p>
    <w:p>
      <w:pPr>
        <w:spacing w:after="0" w:line="48" w:lineRule="exact"/>
        <w:rPr>
          <w:sz w:val="24"/>
          <w:szCs w:val="24"/>
          <w:color w:val="auto"/>
        </w:rPr>
      </w:pPr>
    </w:p>
    <w:p>
      <w:pPr>
        <w:spacing w:after="0"/>
        <w:rPr>
          <w:sz w:val="20"/>
          <w:szCs w:val="20"/>
          <w:color w:val="auto"/>
        </w:rPr>
      </w:pPr>
      <w:r>
        <w:rPr>
          <w:rFonts w:ascii="Arial" w:cs="Arial" w:eastAsia="Arial" w:hAnsi="Arial"/>
          <w:sz w:val="15"/>
          <w:szCs w:val="15"/>
          <w:color w:val="auto"/>
        </w:rPr>
        <w:t>Ordinary Shares, par value NIS 1.00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-103505</wp:posOffset>
            </wp:positionV>
            <wp:extent cx="7246620" cy="137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0" w:lineRule="exact"/>
        <w:rPr>
          <w:sz w:val="24"/>
          <w:szCs w:val="24"/>
          <w:color w:val="auto"/>
        </w:rPr>
      </w:pPr>
    </w:p>
    <w:p>
      <w:pPr>
        <w:spacing w:after="0"/>
        <w:rPr>
          <w:sz w:val="20"/>
          <w:szCs w:val="20"/>
          <w:color w:val="auto"/>
        </w:rPr>
      </w:pPr>
      <w:r>
        <w:rPr>
          <w:rFonts w:ascii="Arial" w:cs="Arial" w:eastAsia="Arial" w:hAnsi="Arial"/>
          <w:sz w:val="18"/>
          <w:szCs w:val="18"/>
          <w:color w:val="auto"/>
        </w:rPr>
        <w:t>Capital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46620" cy="533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53340"/>
                    </a:xfrm>
                    <a:prstGeom prst="rect">
                      <a:avLst/>
                    </a:prstGeom>
                    <a:noFill/>
                  </pic:spPr>
                </pic:pic>
              </a:graphicData>
            </a:graphic>
          </wp:anchor>
        </w:drawing>
      </w:r>
    </w:p>
    <w:p>
      <w:pPr>
        <w:sectPr>
          <w:pgSz w:w="11900" w:h="16838" w:orient="portrait"/>
          <w:cols w:equalWidth="0" w:num="1">
            <w:col w:w="11400"/>
          </w:cols>
          <w:pgMar w:left="240" w:top="233" w:right="259" w:bottom="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0"/>
        </w:trPr>
        <w:tc>
          <w:tcPr>
            <w:tcW w:w="4820" w:type="dxa"/>
            <w:vAlign w:val="bottom"/>
          </w:tcPr>
          <w:p>
            <w:pPr>
              <w:spacing w:after="0"/>
              <w:rPr>
                <w:sz w:val="20"/>
                <w:szCs w:val="20"/>
                <w:color w:val="auto"/>
              </w:rPr>
            </w:pPr>
            <w:r>
              <w:rPr>
                <w:rFonts w:ascii="Arial" w:cs="Arial" w:eastAsia="Arial" w:hAnsi="Arial"/>
                <w:sz w:val="18"/>
                <w:szCs w:val="18"/>
                <w:color w:val="auto"/>
              </w:rPr>
              <w:t>Purchase Contracts</w:t>
            </w:r>
          </w:p>
        </w:tc>
        <w:tc>
          <w:tcPr>
            <w:tcW w:w="37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Warrants</w:t>
            </w:r>
          </w:p>
        </w:tc>
        <w:tc>
          <w:tcPr>
            <w:tcW w:w="37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Units</w:t>
            </w:r>
          </w:p>
        </w:tc>
        <w:tc>
          <w:tcPr>
            <w:tcW w:w="37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22"/>
        </w:trPr>
        <w:tc>
          <w:tcPr>
            <w:tcW w:w="4820" w:type="dxa"/>
            <w:vAlign w:val="bottom"/>
          </w:tcPr>
          <w:p>
            <w:pPr>
              <w:spacing w:after="0"/>
              <w:rPr>
                <w:sz w:val="20"/>
                <w:szCs w:val="20"/>
                <w:color w:val="auto"/>
              </w:rPr>
            </w:pPr>
            <w:r>
              <w:rPr>
                <w:rFonts w:ascii="Arial" w:cs="Arial" w:eastAsia="Arial" w:hAnsi="Arial"/>
                <w:sz w:val="18"/>
                <w:szCs w:val="18"/>
                <w:color w:val="auto"/>
              </w:rPr>
              <w:t>Total</w:t>
            </w:r>
          </w:p>
        </w:tc>
        <w:tc>
          <w:tcPr>
            <w:tcW w:w="37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30,000,000</w:t>
            </w:r>
          </w:p>
        </w:tc>
        <w:tc>
          <w:tcPr>
            <w:tcW w:w="4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1,179.00 (3)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-409575</wp:posOffset>
            </wp:positionV>
            <wp:extent cx="7246620" cy="137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224155</wp:posOffset>
            </wp:positionV>
            <wp:extent cx="11061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580" w:hanging="572"/>
        <w:spacing w:after="0" w:line="290" w:lineRule="auto"/>
        <w:tabs>
          <w:tab w:leader="none" w:pos="58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This registration statement covers offers, sales and distributions of an indeterminate number or aggregate principal amount of the registered securities which the registrant may from time to time issue at indeterminate prices. The aggregate maximum offering price of all securities covered by this registration statement will not exceed $30,000,000 or if the registrant issues any debt securities at an original issuance discount, such greater amount as shall result in proceeds of $30,000,000 to the registrant. The securities covered by this registration statement may be sold separately or as units with other classes of the registered securities. The securities covered by this registration statement also include such indeterminate numbers of ordinary shares and amount of capital notes and debt securities as may be issued upon conversion of or exchange for capital notes, debt securities or purchase contracts that provide for conversion or exchange, upon exercise of warrants or pursuant to the anti-dilution provisions of any such securities.</w:t>
      </w:r>
    </w:p>
    <w:p>
      <w:pPr>
        <w:spacing w:after="0" w:line="199" w:lineRule="exact"/>
        <w:rPr>
          <w:rFonts w:ascii="Arial" w:cs="Arial" w:eastAsia="Arial" w:hAnsi="Arial"/>
          <w:sz w:val="16"/>
          <w:szCs w:val="16"/>
          <w:color w:val="auto"/>
        </w:rPr>
      </w:pPr>
    </w:p>
    <w:p>
      <w:pPr>
        <w:ind w:left="580" w:right="160" w:hanging="572"/>
        <w:spacing w:after="0" w:line="259" w:lineRule="auto"/>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registrant will determine the proposed maximum offering price per unit and the proposed maximum aggregate offering price per class from time to time in connection with the issuance of the registered securities. The proposed maximum aggregate offering price for each class is omitted pursuant to General Instruction II.C of Form F-3 under the Securities Act of 1933.</w:t>
      </w:r>
    </w:p>
    <w:p>
      <w:pPr>
        <w:spacing w:after="0" w:line="221"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Calculated in accordance with Rule 457(o) under the Securities Act of 1933.</w:t>
      </w:r>
    </w:p>
    <w:p>
      <w:pPr>
        <w:spacing w:after="0" w:line="246" w:lineRule="exact"/>
        <w:rPr>
          <w:rFonts w:ascii="Arial" w:cs="Arial" w:eastAsia="Arial" w:hAnsi="Arial"/>
          <w:sz w:val="18"/>
          <w:szCs w:val="18"/>
          <w:color w:val="auto"/>
        </w:rPr>
      </w:pPr>
    </w:p>
    <w:p>
      <w:pPr>
        <w:ind w:left="580" w:right="660"/>
        <w:spacing w:after="0" w:line="301" w:lineRule="auto"/>
        <w:rPr>
          <w:rFonts w:ascii="Arial" w:cs="Arial" w:eastAsia="Arial" w:hAnsi="Arial"/>
          <w:sz w:val="18"/>
          <w:szCs w:val="18"/>
          <w:color w:val="auto"/>
        </w:rPr>
      </w:pPr>
      <w:r>
        <w:rPr>
          <w:rFonts w:ascii="Arial" w:cs="Arial" w:eastAsia="Arial" w:hAnsi="Arial"/>
          <w:sz w:val="16"/>
          <w:szCs w:val="16"/>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504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ind w:right="180"/>
        <w:spacing w:after="0" w:line="262" w:lineRule="auto"/>
        <w:rPr>
          <w:sz w:val="20"/>
          <w:szCs w:val="20"/>
          <w:color w:val="auto"/>
        </w:rPr>
      </w:pPr>
      <w:r>
        <w:rPr>
          <w:rFonts w:ascii="Arial" w:cs="Arial" w:eastAsia="Arial" w:hAnsi="Arial"/>
          <w:sz w:val="18"/>
          <w:szCs w:val="18"/>
          <w:b w:val="1"/>
          <w:bCs w:val="1"/>
          <w:color w:val="auto"/>
        </w:rPr>
        <w:t>The information in this preliminary prospectus is not complete and may be changed. These securities may not be sold until the registration statement filed with the Securities and Exchange Commission is effective. This preliminary prospectus is not an offer to sell nor does it seek an offer to buy these securities in any jurisdiction where the offer or sale is not permitted.</w:t>
      </w:r>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SUBJECT TO COMPLETION</w:t>
      </w:r>
    </w:p>
    <w:p>
      <w:pPr>
        <w:spacing w:after="0" w:line="306"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DATED ____ __, 2008</w:t>
      </w:r>
    </w:p>
    <w:p>
      <w:pPr>
        <w:spacing w:after="0" w:line="29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2603500</wp:posOffset>
            </wp:positionH>
            <wp:positionV relativeFrom="paragraph">
              <wp:posOffset>203835</wp:posOffset>
            </wp:positionV>
            <wp:extent cx="2058035" cy="677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058035" cy="677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$30,000,000</w:t>
      </w:r>
    </w:p>
    <w:p>
      <w:pPr>
        <w:spacing w:after="0" w:line="15"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Ordinary Shares</w:t>
      </w:r>
    </w:p>
    <w:p>
      <w:pPr>
        <w:spacing w:after="0" w:line="9"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Capital Notes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Debt Securities</w:t>
      </w:r>
    </w:p>
    <w:p>
      <w:pPr>
        <w:spacing w:after="0" w:line="9"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Purchase Contracts</w:t>
      </w:r>
    </w:p>
    <w:p>
      <w:pPr>
        <w:spacing w:after="0" w:line="9"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Warrants</w:t>
      </w:r>
    </w:p>
    <w:p>
      <w:pPr>
        <w:spacing w:after="0" w:line="9"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Units</w:t>
      </w:r>
    </w:p>
    <w:p>
      <w:pPr>
        <w:spacing w:after="0" w:line="219"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We may offer under this prospectus from time to time, at prices and on terms to be determined by market conditions at the time we make the offer, up to an aggregate of $30,000,000 of our:</w:t>
      </w:r>
    </w:p>
    <w:p>
      <w:pPr>
        <w:spacing w:after="0" w:line="18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ordinary shares;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capital notes;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debt securities (including convertible debt securities);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purchase contracts;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warrants to purchase ordinary shares or debt securities; or</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any combination of the above, separately or as units.</w:t>
      </w:r>
    </w:p>
    <w:p>
      <w:pPr>
        <w:spacing w:after="0" w:line="200" w:lineRule="exact"/>
        <w:rPr>
          <w:sz w:val="20"/>
          <w:szCs w:val="20"/>
          <w:color w:val="auto"/>
        </w:rPr>
      </w:pPr>
    </w:p>
    <w:p>
      <w:pPr>
        <w:spacing w:after="0" w:line="268" w:lineRule="exact"/>
        <w:rPr>
          <w:sz w:val="20"/>
          <w:szCs w:val="20"/>
          <w:color w:val="auto"/>
        </w:rPr>
      </w:pPr>
    </w:p>
    <w:p>
      <w:pPr>
        <w:ind w:right="460" w:firstLine="348"/>
        <w:spacing w:after="0" w:line="268" w:lineRule="auto"/>
        <w:rPr>
          <w:sz w:val="20"/>
          <w:szCs w:val="20"/>
          <w:color w:val="auto"/>
        </w:rPr>
      </w:pPr>
      <w:r>
        <w:rPr>
          <w:rFonts w:ascii="Arial" w:cs="Arial" w:eastAsia="Arial" w:hAnsi="Arial"/>
          <w:sz w:val="18"/>
          <w:szCs w:val="18"/>
          <w:color w:val="auto"/>
        </w:rPr>
        <w:t>This prospectus may not be used to sell our securities unless accompanied by a prospectus supplement. Before you invest in our securities, you should carefully read both this prospectus and the prospectus supplement related to the offering of the securities.</w:t>
      </w:r>
    </w:p>
    <w:p>
      <w:pPr>
        <w:spacing w:after="0" w:line="186" w:lineRule="exact"/>
        <w:rPr>
          <w:sz w:val="20"/>
          <w:szCs w:val="20"/>
          <w:color w:val="auto"/>
        </w:rPr>
      </w:pPr>
    </w:p>
    <w:p>
      <w:pPr>
        <w:ind w:right="40" w:firstLine="351"/>
        <w:spacing w:after="0" w:line="332" w:lineRule="auto"/>
        <w:rPr>
          <w:sz w:val="20"/>
          <w:szCs w:val="20"/>
          <w:color w:val="auto"/>
        </w:rPr>
      </w:pPr>
      <w:r>
        <w:rPr>
          <w:rFonts w:ascii="Arial" w:cs="Arial" w:eastAsia="Arial" w:hAnsi="Arial"/>
          <w:sz w:val="16"/>
          <w:szCs w:val="16"/>
          <w:color w:val="auto"/>
        </w:rPr>
        <w:t>Our ordinary shares are listed on the NASDAQ Global Market under the symbol “TSEM” and on the Tel Aviv Stock Exchange in Israel under the symbol “TSEM.” On January 17, 2008, the last reported sale price of our ordinary shares on the NASDAQ Global Market was $1.13 per share and on the Tel Aviv Stock</w:t>
      </w:r>
    </w:p>
    <w:p>
      <w:pPr>
        <w:sectPr>
          <w:pgSz w:w="11900" w:h="16838" w:orient="portrait"/>
          <w:cols w:equalWidth="0" w:num="1">
            <w:col w:w="11380"/>
          </w:cols>
          <w:pgMar w:left="240" w:top="131" w:right="279" w:bottom="0" w:gutter="0" w:footer="0" w:header="0"/>
        </w:sectPr>
      </w:pPr>
    </w:p>
    <w:bookmarkStart w:id="2" w:name="page3"/>
    <w:bookmarkEnd w:id="2"/>
    <w:p>
      <w:pPr>
        <w:ind w:right="100"/>
        <w:spacing w:after="0" w:line="306" w:lineRule="auto"/>
        <w:rPr>
          <w:sz w:val="20"/>
          <w:szCs w:val="20"/>
          <w:color w:val="auto"/>
        </w:rPr>
      </w:pPr>
      <w:r>
        <w:rPr>
          <w:rFonts w:ascii="Arial" w:cs="Arial" w:eastAsia="Arial" w:hAnsi="Arial"/>
          <w:sz w:val="16"/>
          <w:szCs w:val="16"/>
          <w:color w:val="auto"/>
        </w:rPr>
        <w:t>Exchange was NIS 4.19 per share. We have not yet determined whether any of the other securities that may be offered by this prospectus will be listed on any exchange, inter-dealer quotation system or over-the-counter market. If we decide to seek listing of any such securities, a prospectus supplement relating to those securities will disclose the exchange, quotation system or market on which the securities will be listed.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70"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If we sell securities through agents or underwriters, we will include their names and the fees, commissions and discounts they will receive, as well as the net proceeds to us, in the applicable prospectus supplement.</w:t>
      </w:r>
    </w:p>
    <w:p>
      <w:pPr>
        <w:spacing w:after="0" w:line="180"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The securities offered hereby involve a high degree of risk. See “Risk Factors” on page 2.</w:t>
      </w:r>
    </w:p>
    <w:p>
      <w:pPr>
        <w:spacing w:after="0" w:line="225" w:lineRule="exact"/>
        <w:rPr>
          <w:sz w:val="20"/>
          <w:szCs w:val="20"/>
          <w:color w:val="auto"/>
        </w:rPr>
      </w:pPr>
    </w:p>
    <w:p>
      <w:pPr>
        <w:jc w:val="both"/>
        <w:ind w:right="520" w:firstLine="351"/>
        <w:spacing w:after="0" w:line="310" w:lineRule="auto"/>
        <w:rPr>
          <w:sz w:val="20"/>
          <w:szCs w:val="20"/>
          <w:color w:val="auto"/>
        </w:rPr>
      </w:pPr>
      <w:r>
        <w:rPr>
          <w:rFonts w:ascii="Arial" w:cs="Arial" w:eastAsia="Arial" w:hAnsi="Arial"/>
          <w:sz w:val="16"/>
          <w:szCs w:val="16"/>
          <w:b w:val="1"/>
          <w:bCs w:val="1"/>
          <w:color w:val="auto"/>
        </w:rPr>
        <w:t>None of the U.S. Securities and Exchange Commission, the Israeli Securities Authority or any state securities commission have approved or disapproved of these securities or passed upon the adequacy, completeness or accuracy of this prospectus. Any representation to the contrary is a criminal offense under the laws of the United States and the laws of the State of Israel.</w:t>
      </w:r>
    </w:p>
    <w:p>
      <w:pPr>
        <w:spacing w:after="0" w:line="157"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The date of this prospectus is ________,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373"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500" w:type="dxa"/>
            <w:vAlign w:val="bottom"/>
            <w:tcBorders>
              <w:bottom w:val="single" w:sz="8" w:color="0000EE"/>
            </w:tcBorders>
            <w:gridSpan w:val="10"/>
          </w:tcPr>
          <w:p>
            <w:pPr>
              <w:spacing w:after="0"/>
              <w:rPr>
                <w:rFonts w:ascii="Arial" w:cs="Arial" w:eastAsia="Arial" w:hAnsi="Arial"/>
                <w:sz w:val="18"/>
                <w:szCs w:val="18"/>
                <w:color w:val="0000EE"/>
                <w:w w:val="85"/>
              </w:rPr>
            </w:pPr>
            <w:hyperlink w:anchor="page3">
              <w:r>
                <w:rPr>
                  <w:rFonts w:ascii="Arial" w:cs="Arial" w:eastAsia="Arial" w:hAnsi="Arial"/>
                  <w:sz w:val="18"/>
                  <w:szCs w:val="18"/>
                  <w:color w:val="0000EE"/>
                  <w:w w:val="85"/>
                </w:rPr>
                <w:t>Prospectus Summary</w:t>
              </w:r>
            </w:hyperlink>
          </w:p>
        </w:tc>
        <w:tc>
          <w:tcPr>
            <w:tcW w:w="4640" w:type="dxa"/>
            <w:vAlign w:val="bottom"/>
            <w:gridSpan w:val="10"/>
          </w:tcPr>
          <w:p>
            <w:pPr>
              <w:spacing w:after="0"/>
              <w:rPr>
                <w:sz w:val="17"/>
                <w:szCs w:val="17"/>
                <w:color w:val="auto"/>
              </w:rPr>
            </w:pPr>
          </w:p>
        </w:tc>
        <w:tc>
          <w:tcPr>
            <w:tcW w:w="51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7"/>
        </w:trPr>
        <w:tc>
          <w:tcPr>
            <w:tcW w:w="900" w:type="dxa"/>
            <w:vAlign w:val="bottom"/>
            <w:tcBorders>
              <w:bottom w:val="single" w:sz="8" w:color="0000EE"/>
            </w:tcBorders>
            <w:gridSpan w:val="3"/>
          </w:tcPr>
          <w:p>
            <w:pPr>
              <w:spacing w:after="0"/>
              <w:rPr>
                <w:rFonts w:ascii="Arial" w:cs="Arial" w:eastAsia="Arial" w:hAnsi="Arial"/>
                <w:sz w:val="18"/>
                <w:szCs w:val="18"/>
                <w:color w:val="0000EE"/>
                <w:w w:val="87"/>
              </w:rPr>
            </w:pPr>
            <w:hyperlink w:anchor="page4">
              <w:r>
                <w:rPr>
                  <w:rFonts w:ascii="Arial" w:cs="Arial" w:eastAsia="Arial" w:hAnsi="Arial"/>
                  <w:sz w:val="18"/>
                  <w:szCs w:val="18"/>
                  <w:color w:val="0000EE"/>
                  <w:w w:val="87"/>
                </w:rPr>
                <w:t>Risk Factors</w:t>
              </w:r>
            </w:hyperlink>
          </w:p>
        </w:tc>
        <w:tc>
          <w:tcPr>
            <w:tcW w:w="5240" w:type="dxa"/>
            <w:vAlign w:val="bottom"/>
            <w:gridSpan w:val="17"/>
          </w:tcPr>
          <w:p>
            <w:pPr>
              <w:spacing w:after="0"/>
              <w:rPr>
                <w:sz w:val="24"/>
                <w:szCs w:val="24"/>
                <w:color w:val="auto"/>
              </w:rPr>
            </w:pPr>
          </w:p>
        </w:tc>
        <w:tc>
          <w:tcPr>
            <w:tcW w:w="51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7"/>
        </w:trPr>
        <w:tc>
          <w:tcPr>
            <w:tcW w:w="3320" w:type="dxa"/>
            <w:vAlign w:val="bottom"/>
            <w:tcBorders>
              <w:bottom w:val="single" w:sz="8" w:color="0000EE"/>
            </w:tcBorders>
            <w:gridSpan w:val="17"/>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Note Concerning Forward-Looking Statements</w:t>
              </w:r>
            </w:hyperlink>
          </w:p>
        </w:tc>
        <w:tc>
          <w:tcPr>
            <w:tcW w:w="2820" w:type="dxa"/>
            <w:vAlign w:val="bottom"/>
            <w:gridSpan w:val="3"/>
          </w:tcPr>
          <w:p>
            <w:pPr>
              <w:spacing w:after="0"/>
              <w:rPr>
                <w:sz w:val="24"/>
                <w:szCs w:val="24"/>
                <w:color w:val="auto"/>
              </w:rPr>
            </w:pPr>
          </w:p>
        </w:tc>
        <w:tc>
          <w:tcPr>
            <w:tcW w:w="51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7"/>
        </w:trPr>
        <w:tc>
          <w:tcPr>
            <w:tcW w:w="6140" w:type="dxa"/>
            <w:vAlign w:val="bottom"/>
            <w:gridSpan w:val="20"/>
          </w:tcPr>
          <w:p>
            <w:pPr>
              <w:spacing w:after="0"/>
              <w:rPr>
                <w:rFonts w:ascii="Arial" w:cs="Arial" w:eastAsia="Arial" w:hAnsi="Arial"/>
                <w:sz w:val="18"/>
                <w:szCs w:val="18"/>
                <w:color w:val="0000EE"/>
                <w:w w:val="93"/>
              </w:rPr>
            </w:pPr>
            <w:hyperlink w:anchor="page5">
              <w:r>
                <w:rPr>
                  <w:rFonts w:ascii="Arial" w:cs="Arial" w:eastAsia="Arial" w:hAnsi="Arial"/>
                  <w:sz w:val="18"/>
                  <w:szCs w:val="18"/>
                  <w:color w:val="0000EE"/>
                  <w:w w:val="93"/>
                </w:rPr>
                <w:t>Where You Can Find More Information; Incorporation of Information by Reference</w:t>
              </w:r>
            </w:hyperlink>
          </w:p>
        </w:tc>
        <w:tc>
          <w:tcPr>
            <w:tcW w:w="51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7"/>
        </w:trPr>
        <w:tc>
          <w:tcPr>
            <w:tcW w:w="5900" w:type="dxa"/>
            <w:vAlign w:val="bottom"/>
            <w:tcBorders>
              <w:top w:val="single" w:sz="8" w:color="0000EE"/>
            </w:tcBorders>
            <w:gridSpan w:val="19"/>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Ratio of Earnings to Fixed Charges</w:t>
              </w:r>
            </w:hyperlink>
          </w:p>
        </w:tc>
        <w:tc>
          <w:tcPr>
            <w:tcW w:w="240" w:type="dxa"/>
            <w:vAlign w:val="bottom"/>
          </w:tcPr>
          <w:p>
            <w:pPr>
              <w:spacing w:after="0"/>
              <w:rPr>
                <w:sz w:val="24"/>
                <w:szCs w:val="24"/>
                <w:color w:val="auto"/>
              </w:rPr>
            </w:pPr>
          </w:p>
        </w:tc>
        <w:tc>
          <w:tcPr>
            <w:tcW w:w="51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77"/>
        </w:trPr>
        <w:tc>
          <w:tcPr>
            <w:tcW w:w="100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0"/>
              </w:rPr>
            </w:pPr>
            <w:hyperlink w:anchor="page7">
              <w:r>
                <w:rPr>
                  <w:rFonts w:ascii="Arial" w:cs="Arial" w:eastAsia="Arial" w:hAnsi="Arial"/>
                  <w:sz w:val="18"/>
                  <w:szCs w:val="18"/>
                  <w:color w:val="0000EE"/>
                  <w:w w:val="90"/>
                </w:rPr>
                <w:t>Capitalization</w:t>
              </w:r>
            </w:hyperlink>
          </w:p>
        </w:tc>
        <w:tc>
          <w:tcPr>
            <w:tcW w:w="1480" w:type="dxa"/>
            <w:vAlign w:val="bottom"/>
            <w:tcBorders>
              <w:top w:val="single" w:sz="8" w:color="0000EE"/>
            </w:tcBorders>
            <w:gridSpan w:val="11"/>
          </w:tcPr>
          <w:p>
            <w:pPr>
              <w:spacing w:after="0"/>
              <w:rPr>
                <w:sz w:val="24"/>
                <w:szCs w:val="24"/>
                <w:color w:val="auto"/>
              </w:rPr>
            </w:pPr>
          </w:p>
        </w:tc>
        <w:tc>
          <w:tcPr>
            <w:tcW w:w="3660" w:type="dxa"/>
            <w:vAlign w:val="bottom"/>
            <w:gridSpan w:val="4"/>
          </w:tcPr>
          <w:p>
            <w:pPr>
              <w:spacing w:after="0"/>
              <w:rPr>
                <w:sz w:val="24"/>
                <w:szCs w:val="24"/>
                <w:color w:val="auto"/>
              </w:rPr>
            </w:pPr>
          </w:p>
        </w:tc>
        <w:tc>
          <w:tcPr>
            <w:tcW w:w="51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77"/>
        </w:trPr>
        <w:tc>
          <w:tcPr>
            <w:tcW w:w="6140" w:type="dxa"/>
            <w:vAlign w:val="bottom"/>
            <w:gridSpan w:val="20"/>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Price Range of Ordinary Shares</w:t>
              </w:r>
            </w:hyperlink>
          </w:p>
        </w:tc>
        <w:tc>
          <w:tcPr>
            <w:tcW w:w="51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7"/>
        </w:trPr>
        <w:tc>
          <w:tcPr>
            <w:tcW w:w="2240" w:type="dxa"/>
            <w:vAlign w:val="bottom"/>
            <w:tcBorders>
              <w:top w:val="single" w:sz="8" w:color="0000EE"/>
            </w:tcBorders>
            <w:gridSpan w:val="14"/>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Use of Proceeds</w:t>
              </w:r>
            </w:hyperlink>
          </w:p>
        </w:tc>
        <w:tc>
          <w:tcPr>
            <w:tcW w:w="3900" w:type="dxa"/>
            <w:vAlign w:val="bottom"/>
            <w:gridSpan w:val="6"/>
          </w:tcPr>
          <w:p>
            <w:pPr>
              <w:spacing w:after="0"/>
              <w:rPr>
                <w:sz w:val="24"/>
                <w:szCs w:val="24"/>
                <w:color w:val="auto"/>
              </w:rPr>
            </w:pPr>
          </w:p>
        </w:tc>
        <w:tc>
          <w:tcPr>
            <w:tcW w:w="51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7"/>
        </w:trPr>
        <w:tc>
          <w:tcPr>
            <w:tcW w:w="60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6"/>
              </w:rPr>
            </w:pPr>
            <w:hyperlink w:anchor="page9">
              <w:r>
                <w:rPr>
                  <w:rFonts w:ascii="Arial" w:cs="Arial" w:eastAsia="Arial" w:hAnsi="Arial"/>
                  <w:sz w:val="18"/>
                  <w:szCs w:val="18"/>
                  <w:color w:val="0000EE"/>
                  <w:w w:val="96"/>
                </w:rPr>
                <w:t>Dilution</w:t>
              </w:r>
            </w:hyperlink>
          </w:p>
        </w:tc>
        <w:tc>
          <w:tcPr>
            <w:tcW w:w="540" w:type="dxa"/>
            <w:vAlign w:val="bottom"/>
            <w:tcBorders>
              <w:top w:val="single" w:sz="8" w:color="0000EE"/>
            </w:tcBorders>
            <w:gridSpan w:val="4"/>
          </w:tcPr>
          <w:p>
            <w:pPr>
              <w:spacing w:after="0"/>
              <w:rPr>
                <w:sz w:val="24"/>
                <w:szCs w:val="24"/>
                <w:color w:val="auto"/>
              </w:rPr>
            </w:pPr>
          </w:p>
        </w:tc>
        <w:tc>
          <w:tcPr>
            <w:tcW w:w="5000" w:type="dxa"/>
            <w:vAlign w:val="bottom"/>
            <w:gridSpan w:val="14"/>
          </w:tcPr>
          <w:p>
            <w:pPr>
              <w:spacing w:after="0"/>
              <w:rPr>
                <w:sz w:val="24"/>
                <w:szCs w:val="24"/>
                <w:color w:val="auto"/>
              </w:rPr>
            </w:pPr>
          </w:p>
        </w:tc>
        <w:tc>
          <w:tcPr>
            <w:tcW w:w="51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7"/>
        </w:trPr>
        <w:tc>
          <w:tcPr>
            <w:tcW w:w="202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9">
              <w:r>
                <w:rPr>
                  <w:rFonts w:ascii="Arial" w:cs="Arial" w:eastAsia="Arial" w:hAnsi="Arial"/>
                  <w:sz w:val="18"/>
                  <w:szCs w:val="18"/>
                  <w:color w:val="0000EE"/>
                  <w:w w:val="89"/>
                </w:rPr>
                <w:t>Description of Share Capital</w:t>
              </w:r>
            </w:hyperlink>
          </w:p>
        </w:tc>
        <w:tc>
          <w:tcPr>
            <w:tcW w:w="4120" w:type="dxa"/>
            <w:vAlign w:val="bottom"/>
            <w:gridSpan w:val="8"/>
          </w:tcPr>
          <w:p>
            <w:pPr>
              <w:spacing w:after="0"/>
              <w:rPr>
                <w:sz w:val="24"/>
                <w:szCs w:val="24"/>
                <w:color w:val="auto"/>
              </w:rPr>
            </w:pPr>
          </w:p>
        </w:tc>
        <w:tc>
          <w:tcPr>
            <w:tcW w:w="51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7"/>
        </w:trPr>
        <w:tc>
          <w:tcPr>
            <w:tcW w:w="6140" w:type="dxa"/>
            <w:vAlign w:val="bottom"/>
            <w:gridSpan w:val="20"/>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Description of Capital Notes</w:t>
              </w:r>
            </w:hyperlink>
          </w:p>
        </w:tc>
        <w:tc>
          <w:tcPr>
            <w:tcW w:w="51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r>
      <w:tr>
        <w:trPr>
          <w:trHeight w:val="277"/>
        </w:trPr>
        <w:tc>
          <w:tcPr>
            <w:tcW w:w="214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10">
              <w:r>
                <w:rPr>
                  <w:rFonts w:ascii="Arial" w:cs="Arial" w:eastAsia="Arial" w:hAnsi="Arial"/>
                  <w:sz w:val="18"/>
                  <w:szCs w:val="18"/>
                  <w:color w:val="0000EE"/>
                  <w:w w:val="89"/>
                </w:rPr>
                <w:t>Description of Debt Securities</w:t>
              </w:r>
            </w:hyperlink>
          </w:p>
        </w:tc>
        <w:tc>
          <w:tcPr>
            <w:tcW w:w="4000" w:type="dxa"/>
            <w:vAlign w:val="bottom"/>
            <w:gridSpan w:val="7"/>
          </w:tcPr>
          <w:p>
            <w:pPr>
              <w:spacing w:after="0"/>
              <w:rPr>
                <w:sz w:val="24"/>
                <w:szCs w:val="24"/>
                <w:color w:val="auto"/>
              </w:rPr>
            </w:pPr>
          </w:p>
        </w:tc>
        <w:tc>
          <w:tcPr>
            <w:tcW w:w="51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7"/>
        </w:trPr>
        <w:tc>
          <w:tcPr>
            <w:tcW w:w="2420" w:type="dxa"/>
            <w:vAlign w:val="bottom"/>
            <w:tcBorders>
              <w:bottom w:val="single" w:sz="8" w:color="0000EE"/>
            </w:tcBorders>
            <w:gridSpan w:val="15"/>
          </w:tcPr>
          <w:p>
            <w:pPr>
              <w:spacing w:after="0"/>
              <w:rPr>
                <w:rFonts w:ascii="Arial" w:cs="Arial" w:eastAsia="Arial" w:hAnsi="Arial"/>
                <w:sz w:val="18"/>
                <w:szCs w:val="18"/>
                <w:color w:val="0000EE"/>
                <w:w w:val="87"/>
              </w:rPr>
            </w:pPr>
            <w:hyperlink w:anchor="page14">
              <w:r>
                <w:rPr>
                  <w:rFonts w:ascii="Arial" w:cs="Arial" w:eastAsia="Arial" w:hAnsi="Arial"/>
                  <w:sz w:val="18"/>
                  <w:szCs w:val="18"/>
                  <w:color w:val="0000EE"/>
                  <w:w w:val="87"/>
                </w:rPr>
                <w:t>Description of Purchase Contracts</w:t>
              </w:r>
            </w:hyperlink>
          </w:p>
        </w:tc>
        <w:tc>
          <w:tcPr>
            <w:tcW w:w="3720" w:type="dxa"/>
            <w:vAlign w:val="bottom"/>
            <w:gridSpan w:val="5"/>
          </w:tcPr>
          <w:p>
            <w:pPr>
              <w:spacing w:after="0"/>
              <w:rPr>
                <w:sz w:val="24"/>
                <w:szCs w:val="24"/>
                <w:color w:val="auto"/>
              </w:rPr>
            </w:pPr>
          </w:p>
        </w:tc>
        <w:tc>
          <w:tcPr>
            <w:tcW w:w="51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77"/>
        </w:trPr>
        <w:tc>
          <w:tcPr>
            <w:tcW w:w="6140" w:type="dxa"/>
            <w:vAlign w:val="bottom"/>
            <w:gridSpan w:val="20"/>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Description of Units</w:t>
              </w:r>
            </w:hyperlink>
          </w:p>
        </w:tc>
        <w:tc>
          <w:tcPr>
            <w:tcW w:w="51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40" w:type="dxa"/>
            <w:vAlign w:val="bottom"/>
            <w:gridSpan w:val="7"/>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r>
      <w:tr>
        <w:trPr>
          <w:trHeight w:val="277"/>
        </w:trPr>
        <w:tc>
          <w:tcPr>
            <w:tcW w:w="170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14">
              <w:r>
                <w:rPr>
                  <w:rFonts w:ascii="Arial" w:cs="Arial" w:eastAsia="Arial" w:hAnsi="Arial"/>
                  <w:sz w:val="18"/>
                  <w:szCs w:val="18"/>
                  <w:color w:val="0000EE"/>
                  <w:w w:val="89"/>
                </w:rPr>
                <w:t>Description of Warrants</w:t>
              </w:r>
            </w:hyperlink>
          </w:p>
        </w:tc>
        <w:tc>
          <w:tcPr>
            <w:tcW w:w="4440" w:type="dxa"/>
            <w:vAlign w:val="bottom"/>
            <w:gridSpan w:val="9"/>
          </w:tcPr>
          <w:p>
            <w:pPr>
              <w:spacing w:after="0"/>
              <w:rPr>
                <w:sz w:val="24"/>
                <w:szCs w:val="24"/>
                <w:color w:val="auto"/>
              </w:rPr>
            </w:pPr>
          </w:p>
        </w:tc>
        <w:tc>
          <w:tcPr>
            <w:tcW w:w="51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7"/>
        </w:trPr>
        <w:tc>
          <w:tcPr>
            <w:tcW w:w="3540" w:type="dxa"/>
            <w:vAlign w:val="bottom"/>
            <w:tcBorders>
              <w:bottom w:val="single" w:sz="8" w:color="0000EE"/>
            </w:tcBorders>
            <w:gridSpan w:val="18"/>
          </w:tcPr>
          <w:p>
            <w:pPr>
              <w:spacing w:after="0"/>
              <w:rPr>
                <w:rFonts w:ascii="Arial" w:cs="Arial" w:eastAsia="Arial" w:hAnsi="Arial"/>
                <w:sz w:val="18"/>
                <w:szCs w:val="18"/>
                <w:color w:val="0000EE"/>
                <w:w w:val="89"/>
              </w:rPr>
            </w:pPr>
            <w:hyperlink w:anchor="page15">
              <w:r>
                <w:rPr>
                  <w:rFonts w:ascii="Arial" w:cs="Arial" w:eastAsia="Arial" w:hAnsi="Arial"/>
                  <w:sz w:val="18"/>
                  <w:szCs w:val="18"/>
                  <w:color w:val="0000EE"/>
                  <w:w w:val="89"/>
                </w:rPr>
                <w:t>Foreign Exchange Controls and Other Limitations</w:t>
              </w:r>
            </w:hyperlink>
          </w:p>
        </w:tc>
        <w:tc>
          <w:tcPr>
            <w:tcW w:w="2600" w:type="dxa"/>
            <w:vAlign w:val="bottom"/>
            <w:gridSpan w:val="2"/>
          </w:tcPr>
          <w:p>
            <w:pPr>
              <w:spacing w:after="0"/>
              <w:rPr>
                <w:sz w:val="24"/>
                <w:szCs w:val="24"/>
                <w:color w:val="auto"/>
              </w:rPr>
            </w:pPr>
          </w:p>
        </w:tc>
        <w:tc>
          <w:tcPr>
            <w:tcW w:w="51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7"/>
        </w:trPr>
        <w:tc>
          <w:tcPr>
            <w:tcW w:w="6140" w:type="dxa"/>
            <w:vAlign w:val="bottom"/>
            <w:gridSpan w:val="20"/>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Plan of Distribution</w:t>
              </w:r>
            </w:hyperlink>
          </w:p>
        </w:tc>
        <w:tc>
          <w:tcPr>
            <w:tcW w:w="51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7"/>
        </w:trPr>
        <w:tc>
          <w:tcPr>
            <w:tcW w:w="116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92"/>
              </w:rPr>
            </w:pPr>
            <w:hyperlink w:anchor="page16">
              <w:r>
                <w:rPr>
                  <w:rFonts w:ascii="Arial" w:cs="Arial" w:eastAsia="Arial" w:hAnsi="Arial"/>
                  <w:sz w:val="18"/>
                  <w:szCs w:val="18"/>
                  <w:color w:val="0000EE"/>
                  <w:w w:val="92"/>
                </w:rPr>
                <w:t>Dividend Policy</w:t>
              </w:r>
            </w:hyperlink>
          </w:p>
        </w:tc>
        <w:tc>
          <w:tcPr>
            <w:tcW w:w="280" w:type="dxa"/>
            <w:vAlign w:val="bottom"/>
            <w:tcBorders>
              <w:top w:val="single" w:sz="8" w:color="0000EE"/>
            </w:tcBorders>
            <w:gridSpan w:val="2"/>
          </w:tcPr>
          <w:p>
            <w:pPr>
              <w:spacing w:after="0"/>
              <w:rPr>
                <w:sz w:val="24"/>
                <w:szCs w:val="24"/>
                <w:color w:val="auto"/>
              </w:rPr>
            </w:pPr>
          </w:p>
        </w:tc>
        <w:tc>
          <w:tcPr>
            <w:tcW w:w="4700" w:type="dxa"/>
            <w:vAlign w:val="bottom"/>
            <w:gridSpan w:val="11"/>
          </w:tcPr>
          <w:p>
            <w:pPr>
              <w:spacing w:after="0"/>
              <w:rPr>
                <w:sz w:val="24"/>
                <w:szCs w:val="24"/>
                <w:color w:val="auto"/>
              </w:rPr>
            </w:pPr>
          </w:p>
        </w:tc>
        <w:tc>
          <w:tcPr>
            <w:tcW w:w="51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77"/>
        </w:trPr>
        <w:tc>
          <w:tcPr>
            <w:tcW w:w="1320" w:type="dxa"/>
            <w:vAlign w:val="bottom"/>
            <w:tcBorders>
              <w:bottom w:val="single" w:sz="8" w:color="0000EE"/>
            </w:tcBorders>
            <w:gridSpan w:val="8"/>
          </w:tcPr>
          <w:p>
            <w:pPr>
              <w:spacing w:after="0"/>
              <w:rPr>
                <w:rFonts w:ascii="Arial" w:cs="Arial" w:eastAsia="Arial" w:hAnsi="Arial"/>
                <w:sz w:val="18"/>
                <w:szCs w:val="18"/>
                <w:color w:val="0000EE"/>
                <w:w w:val="87"/>
              </w:rPr>
            </w:pPr>
            <w:hyperlink w:anchor="page16">
              <w:r>
                <w:rPr>
                  <w:rFonts w:ascii="Arial" w:cs="Arial" w:eastAsia="Arial" w:hAnsi="Arial"/>
                  <w:sz w:val="18"/>
                  <w:szCs w:val="18"/>
                  <w:color w:val="0000EE"/>
                  <w:w w:val="87"/>
                </w:rPr>
                <w:t>Offering Expenses</w:t>
              </w:r>
            </w:hyperlink>
          </w:p>
        </w:tc>
        <w:tc>
          <w:tcPr>
            <w:tcW w:w="4820" w:type="dxa"/>
            <w:vAlign w:val="bottom"/>
            <w:gridSpan w:val="12"/>
          </w:tcPr>
          <w:p>
            <w:pPr>
              <w:spacing w:after="0"/>
              <w:rPr>
                <w:sz w:val="24"/>
                <w:szCs w:val="24"/>
                <w:color w:val="auto"/>
              </w:rPr>
            </w:pPr>
          </w:p>
        </w:tc>
        <w:tc>
          <w:tcPr>
            <w:tcW w:w="51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77"/>
        </w:trPr>
        <w:tc>
          <w:tcPr>
            <w:tcW w:w="6140" w:type="dxa"/>
            <w:vAlign w:val="bottom"/>
            <w:gridSpan w:val="20"/>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Legal Matters</w:t>
              </w:r>
            </w:hyperlink>
          </w:p>
        </w:tc>
        <w:tc>
          <w:tcPr>
            <w:tcW w:w="51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77"/>
        </w:trPr>
        <w:tc>
          <w:tcPr>
            <w:tcW w:w="980" w:type="dxa"/>
            <w:vAlign w:val="bottom"/>
            <w:tcBorders>
              <w:top w:val="single" w:sz="8" w:color="0000EE"/>
            </w:tcBorders>
            <w:gridSpan w:val="4"/>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Experts</w:t>
              </w:r>
            </w:hyperlink>
          </w:p>
        </w:tc>
        <w:tc>
          <w:tcPr>
            <w:tcW w:w="5160" w:type="dxa"/>
            <w:vAlign w:val="bottom"/>
            <w:gridSpan w:val="16"/>
          </w:tcPr>
          <w:p>
            <w:pPr>
              <w:spacing w:after="0"/>
              <w:rPr>
                <w:sz w:val="24"/>
                <w:szCs w:val="24"/>
                <w:color w:val="auto"/>
              </w:rPr>
            </w:pPr>
          </w:p>
        </w:tc>
        <w:tc>
          <w:tcPr>
            <w:tcW w:w="51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0"/>
        </w:trPr>
        <w:tc>
          <w:tcPr>
            <w:tcW w:w="540" w:type="dxa"/>
            <w:vAlign w:val="bottom"/>
            <w:shd w:val="clear" w:color="auto" w:fill="0000EE"/>
          </w:tcPr>
          <w:p>
            <w:pPr>
              <w:spacing w:after="0" w:line="20" w:lineRule="exact"/>
              <w:rPr>
                <w:sz w:val="1"/>
                <w:szCs w:val="1"/>
                <w:color w:val="auto"/>
              </w:rPr>
            </w:pPr>
          </w:p>
        </w:tc>
        <w:tc>
          <w:tcPr>
            <w:tcW w:w="5600" w:type="dxa"/>
            <w:vAlign w:val="bottom"/>
            <w:gridSpan w:val="19"/>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r>
      <w:tr>
        <w:trPr>
          <w:trHeight w:val="277"/>
        </w:trPr>
        <w:tc>
          <w:tcPr>
            <w:tcW w:w="6140" w:type="dxa"/>
            <w:vAlign w:val="bottom"/>
            <w:tcBorders>
              <w:bottom w:val="single" w:sz="8" w:color="0000EE"/>
            </w:tcBorders>
            <w:gridSpan w:val="20"/>
          </w:tcPr>
          <w:p>
            <w:pPr>
              <w:spacing w:after="0"/>
              <w:rPr>
                <w:rFonts w:ascii="Arial" w:cs="Arial" w:eastAsia="Arial" w:hAnsi="Arial"/>
                <w:sz w:val="18"/>
                <w:szCs w:val="18"/>
                <w:color w:val="0000EE"/>
                <w:w w:val="90"/>
              </w:rPr>
            </w:pPr>
            <w:hyperlink w:anchor="page16">
              <w:r>
                <w:rPr>
                  <w:rFonts w:ascii="Arial" w:cs="Arial" w:eastAsia="Arial" w:hAnsi="Arial"/>
                  <w:sz w:val="18"/>
                  <w:szCs w:val="18"/>
                  <w:color w:val="0000EE"/>
                  <w:w w:val="90"/>
                </w:rPr>
                <w:t>Enforceability of Civil Liabilities and Agent for Service of Process in the United States</w:t>
              </w:r>
            </w:hyperlink>
          </w:p>
        </w:tc>
        <w:tc>
          <w:tcPr>
            <w:tcW w:w="5160" w:type="dxa"/>
            <w:vAlign w:val="bottom"/>
          </w:tcPr>
          <w:p>
            <w:pPr>
              <w:jc w:val="right"/>
              <w:spacing w:after="0"/>
              <w:rPr>
                <w:sz w:val="20"/>
                <w:szCs w:val="20"/>
                <w:color w:val="auto"/>
              </w:rPr>
            </w:pPr>
            <w:r>
              <w:rPr>
                <w:rFonts w:ascii="Arial" w:cs="Arial" w:eastAsia="Arial" w:hAnsi="Arial"/>
                <w:sz w:val="18"/>
                <w:szCs w:val="18"/>
                <w:color w:val="auto"/>
              </w:rPr>
              <w:t>23</w:t>
            </w:r>
          </w:p>
        </w:tc>
      </w:tr>
    </w:tbl>
    <w:p>
      <w:pPr>
        <w:spacing w:after="0" w:line="200" w:lineRule="exact"/>
        <w:rPr>
          <w:sz w:val="20"/>
          <w:szCs w:val="20"/>
          <w:color w:val="auto"/>
        </w:rPr>
      </w:pPr>
    </w:p>
    <w:p>
      <w:pPr>
        <w:spacing w:after="0" w:line="3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PROSPECTUS SUMMARY</w:t>
      </w:r>
    </w:p>
    <w:p>
      <w:pPr>
        <w:spacing w:after="0" w:line="312" w:lineRule="exact"/>
        <w:rPr>
          <w:sz w:val="20"/>
          <w:szCs w:val="20"/>
          <w:color w:val="auto"/>
        </w:rPr>
      </w:pPr>
    </w:p>
    <w:p>
      <w:pPr>
        <w:ind w:right="600" w:firstLine="348"/>
        <w:spacing w:after="0" w:line="268" w:lineRule="auto"/>
        <w:rPr>
          <w:sz w:val="20"/>
          <w:szCs w:val="20"/>
          <w:color w:val="auto"/>
        </w:rPr>
      </w:pPr>
      <w:r>
        <w:rPr>
          <w:rFonts w:ascii="Arial" w:cs="Arial" w:eastAsia="Arial" w:hAnsi="Arial"/>
          <w:sz w:val="18"/>
          <w:szCs w:val="18"/>
          <w:color w:val="auto"/>
        </w:rPr>
        <w:t>This is a summary of our business and this offering. For a more complete understanding of our business and this offering, you should read the entire prospectus and the documents incorporated by reference.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312"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We are a pure-play independent wafer foundry dedicated to the manufacture of semiconductors, strategically focused on embedded non-volatile memory, complementary metal oxide semiconductor (CMOS) image sensor, mixed signal and radio frequency CMOS (RFCMOS) technologies. Typically, pure-play foundries do not offer products of their own, but focus on producing integrated circuits, or ICs, based on the design specifications of their customers. We manufacture semiconductors using advanced production processes for our customers primarily based on third party designs and our own proprietary designs. We currently offer the manufacture of ICs with geometries ranging from 1.0 to 0.13-micron. We also provide complementary technical services and design support. ICs manufactured by us are incorporated into a wide range of products in diverse markets, including consumer electronics, personal computers, communications, automotive, industrial and medical device products.</w:t>
      </w:r>
    </w:p>
    <w:p>
      <w:pPr>
        <w:spacing w:after="0" w:line="172" w:lineRule="exact"/>
        <w:rPr>
          <w:sz w:val="20"/>
          <w:szCs w:val="20"/>
          <w:color w:val="auto"/>
        </w:rPr>
      </w:pPr>
    </w:p>
    <w:p>
      <w:pPr>
        <w:spacing w:after="0" w:line="335" w:lineRule="auto"/>
        <w:rPr>
          <w:sz w:val="20"/>
          <w:szCs w:val="20"/>
          <w:color w:val="auto"/>
        </w:rPr>
      </w:pPr>
      <w:r>
        <w:rPr>
          <w:rFonts w:ascii="Arial" w:cs="Arial" w:eastAsia="Arial" w:hAnsi="Arial"/>
          <w:sz w:val="15"/>
          <w:szCs w:val="15"/>
          <w:color w:val="auto"/>
        </w:rPr>
        <w:t>Our company was founded in 1993, when we acquired National Semiconductor’s 150-mm wafer fabrication facility, or Fab 1, and commenced operations as an independent foundry with a production capacity of approximately 5,000 wafers per month. Since then, we have significantly modernized our Fab 1 facility and equipment, which has improved our process geometries to range from 1.0-micron to 0.35-micron and enhanced our process technologies to include CMOS image</w:t>
      </w:r>
    </w:p>
    <w:p>
      <w:pPr>
        <w:sectPr>
          <w:pgSz w:w="11900" w:h="16838" w:orient="portrait"/>
          <w:cols w:equalWidth="0" w:num="1">
            <w:col w:w="11360"/>
          </w:cols>
          <w:pgMar w:left="240" w:top="131" w:right="299" w:bottom="0" w:gutter="0" w:footer="0" w:header="0"/>
        </w:sectPr>
      </w:pPr>
    </w:p>
    <w:bookmarkStart w:id="3" w:name="page4"/>
    <w:bookmarkEnd w:id="3"/>
    <w:p>
      <w:pPr>
        <w:ind w:right="520"/>
        <w:spacing w:after="0" w:line="268" w:lineRule="auto"/>
        <w:rPr>
          <w:sz w:val="20"/>
          <w:szCs w:val="20"/>
          <w:color w:val="auto"/>
        </w:rPr>
      </w:pPr>
      <w:r>
        <w:rPr>
          <w:rFonts w:ascii="Arial" w:cs="Arial" w:eastAsia="Arial" w:hAnsi="Arial"/>
          <w:sz w:val="18"/>
          <w:szCs w:val="18"/>
          <w:color w:val="auto"/>
        </w:rPr>
        <w:t>sensors, embedded flash and mixed-signal technologies. Depending on the process technology and product mix, as of September 30, 2007, Fab 1 is able to achieve capacity levels of approximately 16,000 wafers per month.</w:t>
      </w:r>
    </w:p>
    <w:p>
      <w:pPr>
        <w:spacing w:after="0" w:line="18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In January 2001, we commenced construction of a new, state-of-the-art wafer fabrication facility, which we refer to as Fab 2, located in Migdal Haemek, Israel and adjacent to our first facility, Fab 1. In 2003, we completed the infrastructure of Fab 2 and commenced production wafer shipments from this Fab. Fab 2 is designed to operate in geometries of 0.18-micron and below, using advanced materials and advanced CMOS technology licensed from Freescale and Toshiba and other technologies that we developed and will develop independently or with development partners. Production capacity of Fab 2 as of September 30, 2007 was approximately 24,000 wafers per month. Depending on the process technology and product mix, when fully ramped-up we estimate that Fab 2 will be able to achieve capacity levels of up to approximately 40,000 wafers per month.</w:t>
      </w:r>
    </w:p>
    <w:p>
      <w:pPr>
        <w:spacing w:after="0" w:line="174"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Manufacturing or production capacity refers to installed equipment capacity in our facilities and is a function of the process technology and product mix being manufactured because certain processes require more processing steps than others. All information herein with respect to the wafer capacity of our manufacturing facilities is based upon our estimate of the effectiveness of the manufacturing equipment and processes in use or expected to be in use during a period and the actual or expected process technology mix for such period. Unless otherwise specifically stated, all references herein to “wafers” in the context of capacity in Fab 1 are to 150-mm wafers and in Fab 2 are to 200-mm wafers.</w:t>
      </w:r>
    </w:p>
    <w:p>
      <w:pPr>
        <w:spacing w:after="0" w:line="170"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Our manufacturing facilities and executive offices are located in the Ramat Gavriel Industrial Park, Post Office Box 619, Migdal Haemek, 23105 Israel, and our telephone number is 972-4-650-6611.</w:t>
      </w:r>
    </w:p>
    <w:p>
      <w:pPr>
        <w:spacing w:after="0" w:line="186"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 xml:space="preserve">Additional information about us and our operations may be found at our web site: </w:t>
      </w:r>
      <w:r>
        <w:rPr>
          <w:rFonts w:ascii="Arial" w:cs="Arial" w:eastAsia="Arial" w:hAnsi="Arial"/>
          <w:sz w:val="18"/>
          <w:szCs w:val="18"/>
          <w:u w:val="single" w:color="auto"/>
          <w:color w:val="auto"/>
        </w:rPr>
        <w:t>www.towersemi.com</w:t>
      </w:r>
      <w:r>
        <w:rPr>
          <w:rFonts w:ascii="Arial" w:cs="Arial" w:eastAsia="Arial" w:hAnsi="Arial"/>
          <w:sz w:val="18"/>
          <w:szCs w:val="18"/>
          <w:color w:val="auto"/>
        </w:rPr>
        <w:t>. Information on our website is not incorporated by reference in this prospectus.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Offering</w:t>
      </w:r>
    </w:p>
    <w:p>
      <w:pPr>
        <w:spacing w:after="0" w:line="312" w:lineRule="exact"/>
        <w:rPr>
          <w:sz w:val="20"/>
          <w:szCs w:val="20"/>
          <w:color w:val="auto"/>
        </w:rPr>
      </w:pPr>
    </w:p>
    <w:p>
      <w:pPr>
        <w:ind w:firstLine="348"/>
        <w:spacing w:after="0" w:line="253" w:lineRule="auto"/>
        <w:rPr>
          <w:sz w:val="20"/>
          <w:szCs w:val="20"/>
          <w:color w:val="auto"/>
        </w:rPr>
      </w:pPr>
      <w:r>
        <w:rPr>
          <w:rFonts w:ascii="Arial" w:cs="Arial" w:eastAsia="Arial" w:hAnsi="Arial"/>
          <w:sz w:val="18"/>
          <w:szCs w:val="18"/>
          <w:color w:val="auto"/>
        </w:rPr>
        <w:t>This prospectus is part of a registration statement on Form F-3 that we filed with the Securities and Exchange Commission utilizing a “shelf” registration process. Under this process, we may sell any combination of the securities described in this prospectus in one or more offerings up to a total dollar amount of $20 million. This prospectus provides you with a general description of the securities we may offer. Each time we offer to sell securities under this prospectus, we will provide a prospectus supplement containing specific information about the terms of that offering. The prospectus supplement may also add, update or change information contained in this prospectus. To the extent that any information we provide in a prospectus supplement is inconsistent with information in this prospectus, the information in the prospectus supplement will modify or supersede this prospectus. You should read both this prospectus and any prospectus supplement together with the additional information described under the headings “Where You Can Find More Information; Incorporation of Information by Reference.”</w:t>
      </w: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312" w:lineRule="exact"/>
        <w:rPr>
          <w:sz w:val="20"/>
          <w:szCs w:val="20"/>
          <w:color w:val="auto"/>
        </w:rPr>
      </w:pPr>
    </w:p>
    <w:p>
      <w:pPr>
        <w:ind w:right="160" w:firstLine="351"/>
        <w:spacing w:after="0" w:line="294" w:lineRule="auto"/>
        <w:rPr>
          <w:sz w:val="20"/>
          <w:szCs w:val="20"/>
          <w:color w:val="auto"/>
        </w:rPr>
      </w:pPr>
      <w:r>
        <w:rPr>
          <w:rFonts w:ascii="Arial" w:cs="Arial" w:eastAsia="Arial" w:hAnsi="Arial"/>
          <w:sz w:val="16"/>
          <w:szCs w:val="16"/>
          <w:color w:val="auto"/>
        </w:rPr>
        <w:t>Investing in our securities involves risks which you should consider carefully. We have set forth below risk factors related specifically to this offering. For risks related to our business operations as well as other risks associated with our company, see “Risk Factors” in the prospectus included in our registration statement on Form S-8 filed with the Securities and Exchange Commission (“SEC”) on November 1, 2007 which is incorporated by reference herein, as well as all reports that we file with the SEC that we incorporate by reference into this prospectus. See “Where You Can Find More Information; Incorporation of Information by Reference” below. We may also include risk factors in a prospectus supplement.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Offering</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 in this offering may suffer immediate dilution.</w:t>
      </w:r>
    </w:p>
    <w:p>
      <w:pPr>
        <w:spacing w:after="0" w:line="299" w:lineRule="exact"/>
        <w:rPr>
          <w:sz w:val="20"/>
          <w:szCs w:val="20"/>
          <w:color w:val="auto"/>
        </w:rPr>
      </w:pPr>
    </w:p>
    <w:p>
      <w:pPr>
        <w:ind w:firstLine="341"/>
        <w:spacing w:after="0" w:line="256" w:lineRule="auto"/>
        <w:rPr>
          <w:sz w:val="20"/>
          <w:szCs w:val="20"/>
          <w:color w:val="auto"/>
        </w:rPr>
      </w:pPr>
      <w:r>
        <w:rPr>
          <w:rFonts w:ascii="Arial" w:cs="Arial" w:eastAsia="Arial" w:hAnsi="Arial"/>
          <w:sz w:val="18"/>
          <w:szCs w:val="18"/>
          <w:color w:val="auto"/>
        </w:rPr>
        <w:t>As of September 30, 2007, we had a net tangible book value of approximately $32.9 million which yields a net tangible book value of approximately $0.27 per ordinary share, assuming no exercise or conversion of any outstanding options, warrants or convertible securities. The net tangible book value per share is less than the market price per share as of January 10, 2008. If you pay more than the net tangible book value per share for shares in this offering, you will suffer immediate dilution.</w:t>
      </w:r>
    </w:p>
    <w:p>
      <w:pPr>
        <w:spacing w:after="0" w:line="19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If holders of our outstanding share options, warrants or convertible securities exercise or convert such securities, the value of your shares may decrease.</w:t>
      </w:r>
    </w:p>
    <w:p>
      <w:pPr>
        <w:spacing w:after="0" w:line="266" w:lineRule="exact"/>
        <w:rPr>
          <w:sz w:val="20"/>
          <w:szCs w:val="20"/>
          <w:color w:val="auto"/>
        </w:rPr>
      </w:pPr>
    </w:p>
    <w:p>
      <w:pPr>
        <w:ind w:right="720" w:firstLine="341"/>
        <w:spacing w:after="0" w:line="268" w:lineRule="auto"/>
        <w:rPr>
          <w:sz w:val="20"/>
          <w:szCs w:val="20"/>
          <w:color w:val="auto"/>
        </w:rPr>
      </w:pPr>
      <w:r>
        <w:rPr>
          <w:rFonts w:ascii="Arial" w:cs="Arial" w:eastAsia="Arial" w:hAnsi="Arial"/>
          <w:sz w:val="18"/>
          <w:szCs w:val="18"/>
          <w:color w:val="auto"/>
        </w:rPr>
        <w:t>As of December 31, 2007, we have reserved an aggregate of approximately 244million ordinary shares for issuance upon exercise or conversion of outstanding share options, warrants and convertible securities as follows:</w:t>
      </w:r>
    </w:p>
    <w:p>
      <w:pPr>
        <w:spacing w:after="0" w:line="18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29.6 million shares issuable on the exercise of share options, at exercise prices ranging from $1.16 to $25 per share, and expiring through 2015;</w:t>
      </w:r>
    </w:p>
    <w:p>
      <w:pPr>
        <w:spacing w:after="0" w:line="252" w:lineRule="exact"/>
        <w:rPr>
          <w:sz w:val="20"/>
          <w:szCs w:val="20"/>
          <w:color w:val="auto"/>
        </w:rPr>
      </w:pPr>
    </w:p>
    <w:p>
      <w:pPr>
        <w:ind w:left="1160" w:right="300" w:hanging="567"/>
        <w:spacing w:after="0" w:line="268" w:lineRule="auto"/>
        <w:rPr>
          <w:sz w:val="20"/>
          <w:szCs w:val="20"/>
          <w:color w:val="auto"/>
        </w:rPr>
      </w:pPr>
      <w:r>
        <w:rPr>
          <w:rFonts w:ascii="Arial" w:cs="Arial" w:eastAsia="Arial" w:hAnsi="Arial"/>
          <w:sz w:val="18"/>
          <w:szCs w:val="18"/>
          <w:color w:val="auto"/>
        </w:rPr>
        <w:t>—37.4 million shares issuable on the exercise of warrants, at exercise prices ranging from $1.21 to $6.17 per share, and expiring through March 2012;</w:t>
      </w:r>
    </w:p>
    <w:p>
      <w:pPr>
        <w:spacing w:after="0" w:line="21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117.8 million shares issuable upon the conversion, for no additional consideration, of capital notes; and</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7" w:lineRule="exact"/>
        <w:rPr>
          <w:sz w:val="20"/>
          <w:szCs w:val="20"/>
          <w:color w:val="auto"/>
        </w:rPr>
      </w:pPr>
    </w:p>
    <w:p>
      <w:pPr>
        <w:ind w:left="1160" w:hanging="567"/>
        <w:spacing w:after="0" w:line="256" w:lineRule="auto"/>
        <w:rPr>
          <w:sz w:val="20"/>
          <w:szCs w:val="20"/>
          <w:color w:val="auto"/>
        </w:rPr>
      </w:pPr>
      <w:r>
        <w:rPr>
          <w:rFonts w:ascii="Arial" w:cs="Arial" w:eastAsia="Arial" w:hAnsi="Arial"/>
          <w:sz w:val="18"/>
          <w:szCs w:val="18"/>
          <w:color w:val="auto"/>
        </w:rPr>
        <w:t>—59.2 million shares issuable upon the conversion of convertible debentures, $29.1 million principal amount of which is convertible at $1.10 per share through January 2012, $53.6 million principal amount of which is convertible at $2.21 per share through December 2011, $32.4 million principal amount of which is convertible at $4.58 per share through December 2012 and $16.0 million principal amount of which is convertible at $11..85per share through January 2009.</w:t>
      </w:r>
    </w:p>
    <w:p>
      <w:pPr>
        <w:sectPr>
          <w:pgSz w:w="11900" w:h="16838" w:orient="portrait"/>
          <w:cols w:equalWidth="0" w:num="1">
            <w:col w:w="11400"/>
          </w:cols>
          <w:pgMar w:left="240" w:top="131" w:right="259" w:bottom="0" w:gutter="0" w:footer="0" w:header="0"/>
        </w:sectPr>
      </w:pPr>
    </w:p>
    <w:bookmarkStart w:id="4" w:name="page5"/>
    <w:bookmarkEnd w:id="4"/>
    <w:p>
      <w:pPr>
        <w:ind w:right="60"/>
        <w:spacing w:after="0" w:line="290" w:lineRule="auto"/>
        <w:rPr>
          <w:sz w:val="20"/>
          <w:szCs w:val="20"/>
          <w:color w:val="auto"/>
        </w:rPr>
      </w:pPr>
      <w:r>
        <w:rPr>
          <w:rFonts w:ascii="Arial" w:cs="Arial" w:eastAsia="Arial" w:hAnsi="Arial"/>
          <w:sz w:val="16"/>
          <w:szCs w:val="16"/>
          <w:color w:val="auto"/>
        </w:rPr>
        <w:t>If the holders exercise those securities, or similar equity-based instruments we may issue in the future, you may experience dilution in the net tangible book value of your ordinary shares. In addition, the sale or availability for sale of the underlying shares in the marketplace could depress our share price. Of the underlying shares listed above, all but approximately 65.7 million of the shares underlying the capital notes and 5.4 million shares underlying warrants exercisable at $2.04 per share, are covered by an effective resale registration or are eligible for sale without restriction pursuant to Rule 144 or Regulation S under the Securities Act. Holders of these shares are entitled to resell the shares immediately upon issuance, potentially resulting in downward pressure on our stock. Holders of the balance of the underlying shares are entitled to resale registration rights which, if exercised, could permit the resale of these shares immediately upon issuance, adding to downward pressure on our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will have broad discretion over the use of the proceeds of this offering and may not realize a return.</w:t>
      </w:r>
    </w:p>
    <w:p>
      <w:pPr>
        <w:spacing w:after="0" w:line="231" w:lineRule="exact"/>
        <w:rPr>
          <w:sz w:val="20"/>
          <w:szCs w:val="20"/>
          <w:color w:val="auto"/>
        </w:rPr>
      </w:pPr>
    </w:p>
    <w:p>
      <w:pPr>
        <w:ind w:right="140" w:firstLine="348"/>
        <w:spacing w:after="0" w:line="259" w:lineRule="auto"/>
        <w:rPr>
          <w:sz w:val="20"/>
          <w:szCs w:val="20"/>
          <w:color w:val="auto"/>
        </w:rPr>
      </w:pPr>
      <w:r>
        <w:rPr>
          <w:rFonts w:ascii="Arial" w:cs="Arial" w:eastAsia="Arial" w:hAnsi="Arial"/>
          <w:sz w:val="18"/>
          <w:szCs w:val="18"/>
          <w:color w:val="auto"/>
        </w:rPr>
        <w:t>We will have considerable discretion in the application of the net proceeds of this offering. We have not determined the amount of net proceeds that we will apply to various corporate purposes, including potential acquisitions. We may use the net proceeds for purposes that do not yield a significant return, if any, for our shareholders.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 CONCERNING FORWARD-LOOKING STATEMENTS</w:t>
      </w:r>
    </w:p>
    <w:p>
      <w:pPr>
        <w:spacing w:after="0" w:line="312" w:lineRule="exact"/>
        <w:rPr>
          <w:sz w:val="20"/>
          <w:szCs w:val="20"/>
          <w:color w:val="auto"/>
        </w:rPr>
      </w:pPr>
    </w:p>
    <w:p>
      <w:pPr>
        <w:ind w:right="40" w:firstLine="436"/>
        <w:spacing w:after="0" w:line="282" w:lineRule="auto"/>
        <w:rPr>
          <w:sz w:val="20"/>
          <w:szCs w:val="20"/>
          <w:color w:val="auto"/>
        </w:rPr>
      </w:pPr>
      <w:r>
        <w:rPr>
          <w:rFonts w:ascii="Arial" w:cs="Arial" w:eastAsia="Arial" w:hAnsi="Arial"/>
          <w:sz w:val="16"/>
          <w:szCs w:val="16"/>
          <w:color w:val="auto"/>
        </w:rPr>
        <w:t>This prospectus, any prospectus supplement and the documents we incorporate by reference into this prospectus and any prospectus supplement contain statements which constitute forward-looking statements within the meaning of the Private Securities Litigation Reform Act of 1995. Statements which are not strictly statements of historical fact constitute forward-looking statements. These include, without limitation, statements regarding future cash requirements, financial performance and production capacity. Forward-looking statements are often identified by words such as “anticipates,” “believes,” “estimates,” “expects,” “plans,” “projects,” “targets” and similar expressions. Forward-looking statements involve known and unknown risks, uncertainties and other factors that may cause the actual results, performance or achievements of our company, or industry results, to be materially different from any future results, performance, or achievements expressed or implied by such forward-looking statements. Such risks and uncertainties include but are not limited to (i) the completion of the equipment installation, technology transfer and ramp-up of production in Fab 2 and raising the funds therefor, (ii) the cyclical nature of the semiconductor industry and resulting periodic overcapacity, fluctuations in operating results and future average selling price erosion, (iii) having sufficient capital to satisfy our short-term and long-term debt obligations, (iv) operating our facilities at high utilization rates which is critical in order to defray the high level of fixed costs associated with operating a foundry and reduce our losses, (v) our ability to satisfy the covenants stipulated in our amended credit facility agreement,</w:t>
      </w:r>
    </w:p>
    <w:p>
      <w:pPr>
        <w:spacing w:after="0" w:line="5" w:lineRule="exact"/>
        <w:rPr>
          <w:sz w:val="20"/>
          <w:szCs w:val="20"/>
          <w:color w:val="auto"/>
        </w:rPr>
      </w:pPr>
    </w:p>
    <w:p>
      <w:pPr>
        <w:ind w:right="60" w:firstLine="8"/>
        <w:spacing w:after="0" w:line="281" w:lineRule="auto"/>
        <w:tabs>
          <w:tab w:leader="none" w:pos="297"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ability to capitalize on increases in demand for foundry services, (vii) meeting the conditions to receive Israeli government grants and tax benefits approved for Fab 2, the possibility of the government requiring us to repay all or a portion of the grants already received, and obtaining the approval of the Israeli Investment Center for a new expansion program, (viii) our ability to accurately forecast financial performance, which is affected by limited order backlog and lengthy sales cycles, (vix) maintaining existing customers and attracting additional customers, (x) not receiving orders from our wafer partners and customers, which can result in excess capacity, (xi) our dependence on a relatively small number of products for a significant portion of our revenue, (xii) product returns,</w:t>
      </w:r>
    </w:p>
    <w:p>
      <w:pPr>
        <w:spacing w:after="0" w:line="3" w:lineRule="exact"/>
        <w:rPr>
          <w:rFonts w:ascii="Arial" w:cs="Arial" w:eastAsia="Arial" w:hAnsi="Arial"/>
          <w:sz w:val="16"/>
          <w:szCs w:val="16"/>
          <w:color w:val="auto"/>
        </w:rPr>
      </w:pPr>
    </w:p>
    <w:p>
      <w:pPr>
        <w:ind w:right="60" w:firstLine="8"/>
        <w:spacing w:after="0" w:line="281" w:lineRule="auto"/>
        <w:tabs>
          <w:tab w:leader="none" w:pos="395"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ability to maintain and develop our technology processes and services to keep pace with new technology, evolving standards, changing customer and end-user requirements, new product introductions and short product life cycles, (xiv) competing effectively, (xv) our large amount of debt and our ability to repay our short-term and long-term debt on a timely basis, (xvi) achieving acceptable device yields, product performance and delivery times, (xvii) our ability to manufacture products on a timely basis and to purchase equipment to increase Fab2 capacity beyond 24,000 wafers per month and timely installation thereof,</w:t>
      </w:r>
    </w:p>
    <w:p>
      <w:pPr>
        <w:spacing w:after="0" w:line="2" w:lineRule="exact"/>
        <w:rPr>
          <w:rFonts w:ascii="Arial" w:cs="Arial" w:eastAsia="Arial" w:hAnsi="Arial"/>
          <w:sz w:val="16"/>
          <w:szCs w:val="16"/>
          <w:color w:val="auto"/>
        </w:rPr>
      </w:pPr>
    </w:p>
    <w:p>
      <w:pPr>
        <w:ind w:right="40" w:firstLine="8"/>
        <w:spacing w:after="0" w:line="287" w:lineRule="auto"/>
        <w:tabs>
          <w:tab w:leader="none" w:pos="483"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dependence on intellectual property rights of others and our ability to operate our business without infringing others’ intellectual property rights, (xix) exposure to inflation, currency exchange and interest rate fluctuations and risks associated with doing business internationally and in Israel and (xx) business interruption due to fire, the security situation in Israel and other events beyond our control . These and other risks are described in greater detail in the documents that we incorporate by reference in this prospectus. You should consider these risks and the other cautionary statements made in this prospectus, any prospectus supplement or the documents we incorporate by reference in this prospectus as being applicable to all related forward-looking statements wherever they appear in this prospectus, any prospectus supplement or the documents incorporated by reference. You are cautioned not to place undue reliance on these forward-looking statements, which are based on the information available to management at the time and which speak only as of the date made. While we may elect to update or revise any forward-looking statements, we do not assume, and we expressly disclaim, any obligation to do so, whether as a result of new information, future events or otherwise.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WHERE YOU CAN FIND MORE INFORMATION; INCORPORATION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BY REFERENCE</w:t>
      </w:r>
    </w:p>
    <w:p>
      <w:pPr>
        <w:spacing w:after="0" w:line="300"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 xml:space="preserve">We have filed a registration statement on Form F-3 with the Securities and Exchange Commission in connection with this offering. In addition, we file reports with, and furnish information to, the Securities and Exchange Commission. You may read and copy the registration statement and any other documents we have filed at the Securities and Exchange Commission, including any exhibits and schedules, at the Securities and Exchange Commission’s public reference room at 100 F Street N.E., Washington, D.C. 20549. You may call the Securities and Exchange Commission at 1-800-SEC-0330 for further information on this public reference room. As a foreign private issuer, all documents which were filed after November 4, 2002 on the Securities and Exchange Commission’s EDGAR system are available for retrieval on the Securities and Exchange Commission’s website at www.sec.gov. These Securities and Exchange Commission filings are also available to the public on the Israel Securities Authority’s Magna website at </w:t>
      </w:r>
      <w:r>
        <w:rPr>
          <w:rFonts w:ascii="Arial" w:cs="Arial" w:eastAsia="Arial" w:hAnsi="Arial"/>
          <w:sz w:val="16"/>
          <w:szCs w:val="16"/>
          <w:u w:val="single" w:color="auto"/>
          <w:color w:val="auto"/>
        </w:rPr>
        <w:t>www.magna.isa.gov.il</w:t>
      </w:r>
      <w:r>
        <w:rPr>
          <w:rFonts w:ascii="Arial" w:cs="Arial" w:eastAsia="Arial" w:hAnsi="Arial"/>
          <w:sz w:val="16"/>
          <w:szCs w:val="16"/>
          <w:color w:val="auto"/>
        </w:rPr>
        <w:t xml:space="preserve"> and from commercial document retrieval services. We also generally make available on our own web site (www.towersemi.com) our quarterly and year-end financial statements as well as other information.</w:t>
      </w:r>
    </w:p>
    <w:p>
      <w:pPr>
        <w:spacing w:after="0" w:line="172"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This prospectus is part of the registration statement and does not contain all of the information included in the registration statement. Whenever a reference is made in this prospectus to any of our contracts or other documents, the reference may not be complete and, for a copy of the contract or document, you should refer to the exhibits that are a part of the registration statement.</w:t>
      </w:r>
    </w:p>
    <w:p>
      <w:pPr>
        <w:spacing w:after="0" w:line="194" w:lineRule="exact"/>
        <w:rPr>
          <w:sz w:val="20"/>
          <w:szCs w:val="20"/>
          <w:color w:val="auto"/>
        </w:rPr>
      </w:pPr>
    </w:p>
    <w:p>
      <w:pPr>
        <w:ind w:right="160" w:firstLine="348"/>
        <w:spacing w:after="0" w:line="306" w:lineRule="auto"/>
        <w:rPr>
          <w:sz w:val="20"/>
          <w:szCs w:val="20"/>
          <w:color w:val="auto"/>
        </w:rPr>
      </w:pPr>
      <w:r>
        <w:rPr>
          <w:rFonts w:ascii="Arial" w:cs="Arial" w:eastAsia="Arial" w:hAnsi="Arial"/>
          <w:sz w:val="16"/>
          <w:szCs w:val="16"/>
          <w:color w:val="auto"/>
        </w:rPr>
        <w:t>The Securities and Exchange Commission allows us to “incorporate by reference” into this prospectus the information we file with it, which means that we can disclose important information to you by referring you to those documents. Information incorporated by reference is part of this prospectus. The following documents filed with the Securities and Exchange Commission by our company are incorporated by reference in this registration statement:</w:t>
      </w:r>
    </w:p>
    <w:p>
      <w:pPr>
        <w:spacing w:after="0" w:line="161" w:lineRule="exact"/>
        <w:rPr>
          <w:sz w:val="20"/>
          <w:szCs w:val="20"/>
          <w:color w:val="auto"/>
        </w:rPr>
      </w:pPr>
    </w:p>
    <w:p>
      <w:pPr>
        <w:ind w:left="1160" w:right="280" w:hanging="567"/>
        <w:spacing w:after="0" w:line="268" w:lineRule="auto"/>
        <w:rPr>
          <w:sz w:val="20"/>
          <w:szCs w:val="20"/>
          <w:color w:val="auto"/>
        </w:rPr>
      </w:pPr>
      <w:r>
        <w:rPr>
          <w:rFonts w:ascii="Arial" w:cs="Arial" w:eastAsia="Arial" w:hAnsi="Arial"/>
          <w:sz w:val="18"/>
          <w:szCs w:val="18"/>
          <w:color w:val="auto"/>
        </w:rPr>
        <w:t>—Annual report on Form 20-F for the year ended December 31, 2006, filed on June 25, 2007, to the extent the information in that report has not been updated or superseded by this prospectus;</w:t>
      </w:r>
    </w:p>
    <w:p>
      <w:pPr>
        <w:spacing w:after="0" w:line="21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Report on Form 6-K dated May 2007 No. 2 (filed on May 2, 2007).</w:t>
      </w:r>
    </w:p>
    <w:p>
      <w:pPr>
        <w:sectPr>
          <w:pgSz w:w="11900" w:h="16838" w:orient="portrait"/>
          <w:cols w:equalWidth="0" w:num="1">
            <w:col w:w="11420"/>
          </w:cols>
          <w:pgMar w:left="240" w:top="131" w:right="239" w:bottom="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Report on Form 6-K dated June 2007 No. 2 (filed on June 13, 2007).</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Report on Form 6-K dated July 2007 No. 3 (filed on July 16, 2007).</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Report on Form 6-K dated July 2007 No. 5 (filed on July 26, 2007).</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Report on Form 6-K dated August 2007 No. 2 (filed on August 15, 2007).</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Report on Form 6-K dated August 2007 No. 3 (filed on August 15, 2007).</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Report on Form 6-K dated August 2007 No. 4 (filed on August 20, 2007).</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Report on Form 6-K dated September 2007 (filed on September 10, 2007).</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Report on Form 6-K dated September 2007 No. 3 (filed on September 25, 2007).</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Report on Form 6-K dated October 2007 No. 3 (filed on October 22, 2007).</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Report on Form 6-K dated November 2007 No. 2 (filed on November 7, 2007).</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Report on Form 6-K dated November 2007 No. 3 (filed on November 13, 2007).</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Report on Form 6-K dated November 2007 No.4 (filed on November 15, 2007).</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Report on Form 6-K dated November 2007 No. 5 (filed on November 28, 2007).</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Report on Form 6-K dated December 2007 (filed on December 4, 2007).</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Report on Form 6-K dated December 2007 No. 2 (filed on December 17, 2007).</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Report on Form 6-K dated December 2007 No. 3 (filed on December 19, 2007).</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Report on Form 6-K dated December 2007 No. 4 (filed on December 19, 2007).</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Report on Form 6-K dated January 2008 (filed on January 4, 2008).</w:t>
      </w:r>
    </w:p>
    <w:p>
      <w:pPr>
        <w:spacing w:after="0" w:line="252" w:lineRule="exact"/>
        <w:rPr>
          <w:sz w:val="20"/>
          <w:szCs w:val="20"/>
          <w:color w:val="auto"/>
        </w:rPr>
      </w:pPr>
    </w:p>
    <w:p>
      <w:pPr>
        <w:ind w:left="1160" w:right="180" w:hanging="567"/>
        <w:spacing w:after="0" w:line="268" w:lineRule="auto"/>
        <w:rPr>
          <w:sz w:val="20"/>
          <w:szCs w:val="20"/>
          <w:color w:val="auto"/>
        </w:rPr>
      </w:pPr>
      <w:r>
        <w:rPr>
          <w:rFonts w:ascii="Arial" w:cs="Arial" w:eastAsia="Arial" w:hAnsi="Arial"/>
          <w:sz w:val="18"/>
          <w:szCs w:val="18"/>
          <w:color w:val="auto"/>
        </w:rPr>
        <w:t>—The description of the Company’s Ordinary Shares which is contained in its Registration Statement on Form 8-A declared effective on October 25, 1994.</w:t>
      </w:r>
    </w:p>
    <w:p>
      <w:pPr>
        <w:spacing w:after="0" w:line="200" w:lineRule="exact"/>
        <w:rPr>
          <w:sz w:val="20"/>
          <w:szCs w:val="20"/>
          <w:color w:val="auto"/>
        </w:rPr>
      </w:pPr>
    </w:p>
    <w:p>
      <w:pPr>
        <w:spacing w:after="0" w:line="229" w:lineRule="exact"/>
        <w:rPr>
          <w:sz w:val="20"/>
          <w:szCs w:val="20"/>
          <w:color w:val="auto"/>
        </w:rPr>
      </w:pPr>
    </w:p>
    <w:p>
      <w:pPr>
        <w:ind w:firstLine="341"/>
        <w:spacing w:after="0" w:line="289" w:lineRule="auto"/>
        <w:rPr>
          <w:sz w:val="20"/>
          <w:szCs w:val="20"/>
          <w:color w:val="auto"/>
        </w:rPr>
      </w:pPr>
      <w:r>
        <w:rPr>
          <w:rFonts w:ascii="Arial" w:cs="Arial" w:eastAsia="Arial" w:hAnsi="Arial"/>
          <w:sz w:val="16"/>
          <w:szCs w:val="16"/>
          <w:color w:val="auto"/>
        </w:rPr>
        <w:t>All subsequent annual reports filed by our company pursuant to the Securities Exchange Act of 1934 on Form 20-F prior to the termination of the offering shall be deemed to be incorporated by reference in this prospectus and to be a part hereof from the date of filing of such documents. We may also incorporate any Form 6-K subsequently submitted by us to the Commission prior to the termination of the offering by identifying in such Forms 6-K that they are being incorporated by reference herein, and any Forms 6-K so identified shall be deemed to be incorporated by reference in this prospectus and to be a part hereof from the date of filing of such documents. Any statement contained in a document incorporated or deemed to be incorporated by reference herein shall be deemed to be modified or superseded for purposes of this prospectus to the extent that a statement contained herein or in any other subsequently filed document which also is incorporated or deemed to be incorporated by reference herein modifies or supersedes such statement. Any such statement so modified or superseded shall not be deemed, except as so modified or superseded, to constitute a part of this prospectus.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60" w:firstLine="348"/>
        <w:spacing w:after="0" w:line="306" w:lineRule="auto"/>
        <w:rPr>
          <w:sz w:val="20"/>
          <w:szCs w:val="20"/>
          <w:color w:val="auto"/>
        </w:rPr>
      </w:pPr>
      <w:r>
        <w:rPr>
          <w:rFonts w:ascii="Arial" w:cs="Arial" w:eastAsia="Arial" w:hAnsi="Arial"/>
          <w:sz w:val="16"/>
          <w:szCs w:val="16"/>
          <w:color w:val="auto"/>
        </w:rPr>
        <w:t xml:space="preserve">We will provide to each person, including any beneficial owner, to whom this prospectus is delivered, a copy of these filings, at no cost, upon written or oral request to us at: Ramat Gavriel Industrial Park, Post Office Box 619, Migdal Haemek, 23105 Israel, Attn: Corporate Secretary, telephone number: 972-4-650-6611. Copies of these filings may also be accessed at our website, </w:t>
      </w:r>
      <w:r>
        <w:rPr>
          <w:rFonts w:ascii="Arial" w:cs="Arial" w:eastAsia="Arial" w:hAnsi="Arial"/>
          <w:sz w:val="16"/>
          <w:szCs w:val="16"/>
          <w:u w:val="single" w:color="auto"/>
          <w:color w:val="auto"/>
        </w:rPr>
        <w:t>www.towersemi.com</w:t>
      </w:r>
      <w:r>
        <w:rPr>
          <w:rFonts w:ascii="Arial" w:cs="Arial" w:eastAsia="Arial" w:hAnsi="Arial"/>
          <w:sz w:val="16"/>
          <w:szCs w:val="16"/>
          <w:color w:val="auto"/>
        </w:rPr>
        <w:t>. Click on “Investor Relations” and then “Filings.”</w:t>
      </w:r>
    </w:p>
    <w:p>
      <w:pPr>
        <w:spacing w:after="0" w:line="161" w:lineRule="exact"/>
        <w:rPr>
          <w:sz w:val="20"/>
          <w:szCs w:val="20"/>
          <w:color w:val="auto"/>
        </w:rPr>
      </w:pPr>
    </w:p>
    <w:p>
      <w:pPr>
        <w:ind w:right="240" w:firstLine="341"/>
        <w:spacing w:after="0" w:line="332" w:lineRule="auto"/>
        <w:rPr>
          <w:sz w:val="20"/>
          <w:szCs w:val="20"/>
          <w:color w:val="auto"/>
        </w:rPr>
      </w:pPr>
      <w:r>
        <w:rPr>
          <w:rFonts w:ascii="Arial" w:cs="Arial" w:eastAsia="Arial" w:hAnsi="Arial"/>
          <w:sz w:val="16"/>
          <w:szCs w:val="16"/>
          <w:color w:val="auto"/>
        </w:rPr>
        <w:t xml:space="preserve">A copy of this prospectus, our memorandum of association and our articles of association, are available for inspection at our offices at Shaul Amor Street, Ramat Gavriel Industrial Park, Migdal Haemek, 23105 Israel and on the Israel Securities Authority’s Magna website, </w:t>
      </w:r>
      <w:r>
        <w:rPr>
          <w:rFonts w:ascii="Arial" w:cs="Arial" w:eastAsia="Arial" w:hAnsi="Arial"/>
          <w:sz w:val="16"/>
          <w:szCs w:val="16"/>
          <w:u w:val="single" w:color="auto"/>
          <w:color w:val="auto"/>
        </w:rPr>
        <w:t>www.magna.isa.gov.il</w:t>
      </w:r>
      <w:r>
        <w:rPr>
          <w:rFonts w:ascii="Arial" w:cs="Arial" w:eastAsia="Arial" w:hAnsi="Arial"/>
          <w:sz w:val="16"/>
          <w:szCs w:val="16"/>
          <w:color w:val="auto"/>
        </w:rPr>
        <w:t>.</w:t>
      </w:r>
    </w:p>
    <w:p>
      <w:pPr>
        <w:spacing w:after="0" w:line="139" w:lineRule="exact"/>
        <w:rPr>
          <w:sz w:val="20"/>
          <w:szCs w:val="20"/>
          <w:color w:val="auto"/>
        </w:rPr>
      </w:pPr>
    </w:p>
    <w:p>
      <w:pPr>
        <w:ind w:right="220" w:firstLine="341"/>
        <w:spacing w:after="0" w:line="332" w:lineRule="auto"/>
        <w:rPr>
          <w:sz w:val="20"/>
          <w:szCs w:val="20"/>
          <w:color w:val="auto"/>
        </w:rPr>
      </w:pPr>
      <w:r>
        <w:rPr>
          <w:rFonts w:ascii="Arial" w:cs="Arial" w:eastAsia="Arial" w:hAnsi="Arial"/>
          <w:sz w:val="16"/>
          <w:szCs w:val="16"/>
          <w:color w:val="auto"/>
        </w:rPr>
        <w:t>As a foreign private issuer, we are exempt from the rules under Section 14 of the Exchange Act prescribing the furnishing and content of proxy statements and our officers, directors and principal shareholders are exempt from the reporting and other provisions in Section 16 of the Exchange Act.</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RATIO OF EARNINGS TO FIXED CHARGES</w:t>
      </w:r>
    </w:p>
    <w:p>
      <w:pPr>
        <w:spacing w:after="0" w:line="31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ratios of earnings to fixed charges for the periods indicated below were as follows:</w:t>
      </w:r>
    </w:p>
    <w:p>
      <w:pPr>
        <w:spacing w:after="0" w:line="221" w:lineRule="exact"/>
        <w:rPr>
          <w:sz w:val="20"/>
          <w:szCs w:val="20"/>
          <w:color w:val="auto"/>
        </w:rPr>
      </w:pPr>
    </w:p>
    <w:tbl>
      <w:tblPr>
        <w:tblLayout w:type="fixed"/>
        <w:tblInd w:w="5960" w:type="dxa"/>
        <w:tblCellMar>
          <w:top w:w="0" w:type="dxa"/>
          <w:left w:w="0" w:type="dxa"/>
          <w:bottom w:w="0" w:type="dxa"/>
          <w:right w:w="0" w:type="dxa"/>
        </w:tblCellMar>
      </w:tblPr>
      <w:tr>
        <w:trPr>
          <w:trHeight w:val="161"/>
        </w:trPr>
        <w:tc>
          <w:tcPr>
            <w:tcW w:w="1000" w:type="dxa"/>
            <w:vAlign w:val="bottom"/>
          </w:tcPr>
          <w:p>
            <w:pPr>
              <w:jc w:val="center"/>
              <w:ind w:right="32"/>
              <w:spacing w:after="0"/>
              <w:rPr>
                <w:sz w:val="20"/>
                <w:szCs w:val="20"/>
                <w:color w:val="auto"/>
              </w:rPr>
            </w:pPr>
            <w:r>
              <w:rPr>
                <w:rFonts w:ascii="Arial" w:cs="Arial" w:eastAsia="Arial" w:hAnsi="Arial"/>
                <w:sz w:val="14"/>
                <w:szCs w:val="14"/>
                <w:b w:val="1"/>
                <w:bCs w:val="1"/>
                <w:color w:val="auto"/>
                <w:w w:val="88"/>
              </w:rPr>
              <w:t>Nine Months</w:t>
            </w: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540" w:type="dxa"/>
            <w:vAlign w:val="bottom"/>
            <w:gridSpan w:val="5"/>
          </w:tcPr>
          <w:p>
            <w:pPr>
              <w:jc w:val="center"/>
              <w:spacing w:after="0"/>
              <w:rPr>
                <w:sz w:val="20"/>
                <w:szCs w:val="20"/>
                <w:color w:val="auto"/>
              </w:rPr>
            </w:pPr>
            <w:r>
              <w:rPr>
                <w:rFonts w:ascii="Arial" w:cs="Arial" w:eastAsia="Arial" w:hAnsi="Arial"/>
                <w:sz w:val="14"/>
                <w:szCs w:val="14"/>
                <w:b w:val="1"/>
                <w:bCs w:val="1"/>
                <w:color w:val="auto"/>
                <w:w w:val="87"/>
              </w:rPr>
              <w:t>Year Ended December 31,</w:t>
            </w: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35"/>
        </w:trPr>
        <w:tc>
          <w:tcPr>
            <w:tcW w:w="1000" w:type="dxa"/>
            <w:vAlign w:val="bottom"/>
          </w:tcPr>
          <w:p>
            <w:pPr>
              <w:jc w:val="center"/>
              <w:ind w:right="32"/>
              <w:spacing w:after="0" w:line="135" w:lineRule="exact"/>
              <w:rPr>
                <w:sz w:val="20"/>
                <w:szCs w:val="20"/>
                <w:color w:val="auto"/>
              </w:rPr>
            </w:pPr>
            <w:r>
              <w:rPr>
                <w:rFonts w:ascii="Arial" w:cs="Arial" w:eastAsia="Arial" w:hAnsi="Arial"/>
                <w:sz w:val="14"/>
                <w:szCs w:val="14"/>
                <w:b w:val="1"/>
                <w:bCs w:val="1"/>
                <w:color w:val="auto"/>
                <w:w w:val="88"/>
              </w:rPr>
              <w:t>Ended</w:t>
            </w:r>
          </w:p>
        </w:tc>
        <w:tc>
          <w:tcPr>
            <w:tcW w:w="8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r>
      <w:tr>
        <w:trPr>
          <w:trHeight w:val="129"/>
        </w:trPr>
        <w:tc>
          <w:tcPr>
            <w:tcW w:w="1000" w:type="dxa"/>
            <w:vAlign w:val="bottom"/>
          </w:tcPr>
          <w:p>
            <w:pPr>
              <w:jc w:val="center"/>
              <w:ind w:right="32"/>
              <w:spacing w:after="0" w:line="129" w:lineRule="exact"/>
              <w:rPr>
                <w:sz w:val="20"/>
                <w:szCs w:val="20"/>
                <w:color w:val="auto"/>
              </w:rPr>
            </w:pPr>
            <w:r>
              <w:rPr>
                <w:rFonts w:ascii="Arial" w:cs="Arial" w:eastAsia="Arial" w:hAnsi="Arial"/>
                <w:sz w:val="14"/>
                <w:szCs w:val="14"/>
                <w:b w:val="1"/>
                <w:bCs w:val="1"/>
                <w:color w:val="auto"/>
                <w:w w:val="85"/>
              </w:rPr>
              <w:t>September 30,</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74"/>
        </w:trPr>
        <w:tc>
          <w:tcPr>
            <w:tcW w:w="1000" w:type="dxa"/>
            <w:vAlign w:val="bottom"/>
          </w:tcPr>
          <w:p>
            <w:pPr>
              <w:jc w:val="center"/>
              <w:ind w:right="32"/>
              <w:spacing w:after="0"/>
              <w:rPr>
                <w:sz w:val="20"/>
                <w:szCs w:val="20"/>
                <w:color w:val="auto"/>
              </w:rPr>
            </w:pPr>
            <w:r>
              <w:rPr>
                <w:rFonts w:ascii="Arial" w:cs="Arial" w:eastAsia="Arial" w:hAnsi="Arial"/>
                <w:sz w:val="14"/>
                <w:szCs w:val="14"/>
                <w:b w:val="1"/>
                <w:bCs w:val="1"/>
                <w:color w:val="auto"/>
                <w:w w:val="83"/>
              </w:rPr>
              <w:t>2007</w:t>
            </w:r>
          </w:p>
        </w:tc>
        <w:tc>
          <w:tcPr>
            <w:tcW w:w="820" w:type="dxa"/>
            <w:vAlign w:val="bottom"/>
          </w:tcPr>
          <w:p>
            <w:pPr>
              <w:jc w:val="right"/>
              <w:ind w:right="252"/>
              <w:spacing w:after="0"/>
              <w:rPr>
                <w:sz w:val="20"/>
                <w:szCs w:val="20"/>
                <w:color w:val="auto"/>
              </w:rPr>
            </w:pPr>
            <w:r>
              <w:rPr>
                <w:rFonts w:ascii="Arial" w:cs="Arial" w:eastAsia="Arial" w:hAnsi="Arial"/>
                <w:sz w:val="14"/>
                <w:szCs w:val="14"/>
                <w:b w:val="1"/>
                <w:bCs w:val="1"/>
                <w:color w:val="auto"/>
              </w:rPr>
              <w:t>2006</w:t>
            </w: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2005</w:t>
            </w:r>
          </w:p>
        </w:tc>
        <w:tc>
          <w:tcPr>
            <w:tcW w:w="122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tcPr>
          <w:p>
            <w:pPr>
              <w:jc w:val="right"/>
              <w:ind w:right="232"/>
              <w:spacing w:after="0"/>
              <w:rPr>
                <w:sz w:val="20"/>
                <w:szCs w:val="20"/>
                <w:color w:val="auto"/>
              </w:rPr>
            </w:pPr>
            <w:r>
              <w:rPr>
                <w:rFonts w:ascii="Arial" w:cs="Arial" w:eastAsia="Arial" w:hAnsi="Arial"/>
                <w:sz w:val="14"/>
                <w:szCs w:val="14"/>
                <w:b w:val="1"/>
                <w:bCs w:val="1"/>
                <w:color w:val="auto"/>
                <w:w w:val="83"/>
              </w:rPr>
              <w:t>2003</w:t>
            </w:r>
          </w:p>
        </w:tc>
        <w:tc>
          <w:tcPr>
            <w:tcW w:w="8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2002</w:t>
            </w:r>
          </w:p>
        </w:tc>
        <w:tc>
          <w:tcPr>
            <w:tcW w:w="80" w:type="dxa"/>
            <w:vAlign w:val="bottom"/>
          </w:tcPr>
          <w:p>
            <w:pPr>
              <w:spacing w:after="0"/>
              <w:rPr>
                <w:sz w:val="15"/>
                <w:szCs w:val="15"/>
                <w:color w:val="auto"/>
              </w:rPr>
            </w:pPr>
          </w:p>
        </w:tc>
      </w:tr>
      <w:tr>
        <w:trPr>
          <w:trHeight w:val="95"/>
        </w:trPr>
        <w:tc>
          <w:tcPr>
            <w:tcW w:w="10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r>
    </w:tbl>
    <w:p>
      <w:pPr>
        <w:sectPr>
          <w:pgSz w:w="11900" w:h="16838" w:orient="portrait"/>
          <w:cols w:equalWidth="0" w:num="1">
            <w:col w:w="11400"/>
          </w:cols>
          <w:pgMar w:left="240" w:top="131" w:right="259" w:bottom="0" w:gutter="0" w:footer="0" w:header="0"/>
        </w:sectPr>
      </w:pPr>
    </w:p>
    <w:bookmarkStart w:id="6" w:name="page7"/>
    <w:bookmarkEnd w:id="6"/>
    <w:p>
      <w:pPr>
        <w:spacing w:after="0"/>
        <w:tabs>
          <w:tab w:leader="none" w:pos="6280" w:val="left"/>
          <w:tab w:leader="none" w:pos="7200" w:val="left"/>
          <w:tab w:leader="none" w:pos="8120" w:val="left"/>
          <w:tab w:leader="none" w:pos="9040" w:val="left"/>
          <w:tab w:leader="none" w:pos="9940" w:val="left"/>
          <w:tab w:leader="none" w:pos="10840" w:val="left"/>
        </w:tabs>
        <w:rPr>
          <w:sz w:val="20"/>
          <w:szCs w:val="20"/>
          <w:color w:val="auto"/>
        </w:rPr>
      </w:pPr>
      <w:r>
        <w:rPr>
          <w:rFonts w:ascii="Arial" w:cs="Arial" w:eastAsia="Arial" w:hAnsi="Arial"/>
          <w:sz w:val="18"/>
          <w:szCs w:val="18"/>
          <w:color w:val="auto"/>
        </w:rPr>
        <w:t>Ratio of Earnings to Fixed Charges (1)</w:t>
      </w:r>
      <w:r>
        <w:rPr>
          <w:sz w:val="20"/>
          <w:szCs w:val="20"/>
          <w:color w:val="auto"/>
        </w:rPr>
        <w:tab/>
      </w:r>
      <w:r>
        <w:rPr>
          <w:rFonts w:ascii="Arial" w:cs="Arial" w:eastAsia="Arial" w:hAnsi="Arial"/>
          <w:sz w:val="18"/>
          <w:szCs w:val="18"/>
          <w:color w:val="auto"/>
        </w:rPr>
        <w:t>n/a</w:t>
      </w:r>
      <w:r>
        <w:rPr>
          <w:sz w:val="20"/>
          <w:szCs w:val="20"/>
          <w:color w:val="auto"/>
        </w:rPr>
        <w:tab/>
      </w:r>
      <w:r>
        <w:rPr>
          <w:rFonts w:ascii="Arial" w:cs="Arial" w:eastAsia="Arial" w:hAnsi="Arial"/>
          <w:sz w:val="18"/>
          <w:szCs w:val="18"/>
          <w:color w:val="auto"/>
        </w:rPr>
        <w:t>n/a</w:t>
      </w:r>
      <w:r>
        <w:rPr>
          <w:sz w:val="20"/>
          <w:szCs w:val="20"/>
          <w:color w:val="auto"/>
        </w:rPr>
        <w:tab/>
      </w:r>
      <w:r>
        <w:rPr>
          <w:rFonts w:ascii="Arial" w:cs="Arial" w:eastAsia="Arial" w:hAnsi="Arial"/>
          <w:sz w:val="18"/>
          <w:szCs w:val="18"/>
          <w:color w:val="auto"/>
        </w:rPr>
        <w:t>n/a</w:t>
      </w:r>
      <w:r>
        <w:rPr>
          <w:sz w:val="20"/>
          <w:szCs w:val="20"/>
          <w:color w:val="auto"/>
        </w:rPr>
        <w:tab/>
      </w:r>
      <w:r>
        <w:rPr>
          <w:rFonts w:ascii="Arial" w:cs="Arial" w:eastAsia="Arial" w:hAnsi="Arial"/>
          <w:sz w:val="18"/>
          <w:szCs w:val="18"/>
          <w:color w:val="auto"/>
        </w:rPr>
        <w:t>n/a</w:t>
      </w:r>
      <w:r>
        <w:rPr>
          <w:sz w:val="20"/>
          <w:szCs w:val="20"/>
          <w:color w:val="auto"/>
        </w:rPr>
        <w:tab/>
      </w:r>
      <w:r>
        <w:rPr>
          <w:rFonts w:ascii="Arial" w:cs="Arial" w:eastAsia="Arial" w:hAnsi="Arial"/>
          <w:sz w:val="18"/>
          <w:szCs w:val="18"/>
          <w:color w:val="auto"/>
        </w:rPr>
        <w:t>n/a</w:t>
      </w:r>
      <w:r>
        <w:rPr>
          <w:sz w:val="20"/>
          <w:szCs w:val="20"/>
          <w:color w:val="auto"/>
        </w:rPr>
        <w:tab/>
      </w:r>
      <w:r>
        <w:rPr>
          <w:rFonts w:ascii="Arial" w:cs="Arial" w:eastAsia="Arial" w:hAnsi="Arial"/>
          <w:sz w:val="15"/>
          <w:szCs w:val="15"/>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110617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580" w:right="260" w:hanging="572"/>
        <w:spacing w:after="0" w:line="370" w:lineRule="auto"/>
        <w:tabs>
          <w:tab w:leader="none" w:pos="580" w:val="left"/>
        </w:tabs>
        <w:numPr>
          <w:ilvl w:val="0"/>
          <w:numId w:val="10"/>
        </w:numPr>
        <w:rPr>
          <w:rFonts w:ascii="Arial" w:cs="Arial" w:eastAsia="Arial" w:hAnsi="Arial"/>
          <w:sz w:val="15"/>
          <w:szCs w:val="15"/>
          <w:color w:val="auto"/>
        </w:rPr>
      </w:pPr>
      <w:r>
        <w:rPr>
          <w:rFonts w:ascii="Arial" w:cs="Arial" w:eastAsia="Arial" w:hAnsi="Arial"/>
          <w:sz w:val="15"/>
          <w:szCs w:val="15"/>
          <w:color w:val="auto"/>
        </w:rPr>
        <w:t>Our earnings as adjusted were inadequate to cover fixed charges by $107.3 million for the nine months ended September 30, 2007 and $167.0 million, $201.7 million, $134.2 million, $127.3 million and $63.7 million for the years ended December 31, 2006, 2005, 2004, 2003 and 2002, respectively.</w:t>
      </w:r>
    </w:p>
    <w:p>
      <w:pPr>
        <w:spacing w:after="0" w:line="360" w:lineRule="exact"/>
        <w:rPr>
          <w:sz w:val="20"/>
          <w:szCs w:val="20"/>
          <w:color w:val="auto"/>
        </w:rPr>
      </w:pPr>
    </w:p>
    <w:p>
      <w:pPr>
        <w:ind w:right="320" w:firstLine="351"/>
        <w:spacing w:after="0" w:line="256" w:lineRule="auto"/>
        <w:rPr>
          <w:sz w:val="20"/>
          <w:szCs w:val="20"/>
          <w:color w:val="auto"/>
        </w:rPr>
      </w:pPr>
      <w:r>
        <w:rPr>
          <w:rFonts w:ascii="Arial" w:cs="Arial" w:eastAsia="Arial" w:hAnsi="Arial"/>
          <w:sz w:val="18"/>
          <w:szCs w:val="18"/>
          <w:color w:val="auto"/>
        </w:rPr>
        <w:t>For the purpose of these computations, earnings have been calculated as the sum of (i) pretax income from continuing operations and (ii) amortization of capitalized interest offset by interest capitalized. Fixed charges consist of the sum of (i) interest expensed and capitalized, amortized premiums, discounts and capitalized expenses related to indebtedness and (ii) an estimate of the interest within rental expense (calculated based on a reasonable approximation of the interest factor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312" w:lineRule="exact"/>
        <w:rPr>
          <w:sz w:val="20"/>
          <w:szCs w:val="20"/>
          <w:color w:val="auto"/>
        </w:rPr>
      </w:pPr>
    </w:p>
    <w:p>
      <w:pPr>
        <w:jc w:val="both"/>
        <w:ind w:right="440" w:firstLine="348"/>
        <w:spacing w:after="0" w:line="370" w:lineRule="auto"/>
        <w:rPr>
          <w:sz w:val="20"/>
          <w:szCs w:val="20"/>
          <w:color w:val="auto"/>
        </w:rPr>
      </w:pPr>
      <w:r>
        <w:rPr>
          <w:rFonts w:ascii="Arial" w:cs="Arial" w:eastAsia="Arial" w:hAnsi="Arial"/>
          <w:sz w:val="15"/>
          <w:szCs w:val="15"/>
          <w:color w:val="auto"/>
        </w:rPr>
        <w:t>The following table sets forth our long-term debt, convertible debentures and capitalization as of September 30, 2007 on an actual basis. This table was prepared in accordance with the Israeli GAAP. The financial data is derived from our unaudited consolidated financial statements as of September 30, 2007.</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56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September 30, 2007</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560" w:type="dxa"/>
            <w:vAlign w:val="bottom"/>
          </w:tcPr>
          <w:p>
            <w:pPr>
              <w:spacing w:after="0"/>
              <w:rPr>
                <w:sz w:val="8"/>
                <w:szCs w:val="8"/>
                <w:color w:val="auto"/>
              </w:rPr>
            </w:pPr>
          </w:p>
        </w:tc>
        <w:tc>
          <w:tcPr>
            <w:tcW w:w="23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56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(US dollars in</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56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4"/>
              </w:rPr>
              <w:t>thousands)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740" w:type="dxa"/>
            <w:vAlign w:val="bottom"/>
            <w:gridSpan w:val="2"/>
          </w:tcPr>
          <w:p>
            <w:pPr>
              <w:spacing w:after="0"/>
              <w:rPr>
                <w:sz w:val="8"/>
                <w:szCs w:val="8"/>
                <w:color w:val="auto"/>
              </w:rPr>
            </w:pPr>
          </w:p>
        </w:tc>
        <w:tc>
          <w:tcPr>
            <w:tcW w:w="23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vMerge w:val="restart"/>
          </w:tcPr>
          <w:p>
            <w:pPr>
              <w:spacing w:after="0"/>
              <w:rPr>
                <w:sz w:val="21"/>
                <w:szCs w:val="21"/>
                <w:color w:val="auto"/>
              </w:rPr>
            </w:pPr>
          </w:p>
        </w:tc>
        <w:tc>
          <w:tcPr>
            <w:tcW w:w="180" w:type="dxa"/>
            <w:vAlign w:val="bottom"/>
          </w:tcPr>
          <w:p>
            <w:pPr>
              <w:spacing w:after="0"/>
              <w:rPr>
                <w:sz w:val="21"/>
                <w:szCs w:val="21"/>
                <w:color w:val="auto"/>
              </w:rPr>
            </w:pPr>
          </w:p>
        </w:tc>
        <w:tc>
          <w:tcPr>
            <w:tcW w:w="756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maturities of convertibles debentures</w:t>
            </w: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7,340</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7760" w:type="dxa"/>
            <w:vAlign w:val="bottom"/>
            <w:gridSpan w:val="3"/>
          </w:tcPr>
          <w:p>
            <w:pPr>
              <w:spacing w:after="0"/>
              <w:rPr>
                <w:sz w:val="20"/>
                <w:szCs w:val="20"/>
                <w:color w:val="auto"/>
              </w:rPr>
            </w:pPr>
            <w:r>
              <w:rPr>
                <w:rFonts w:ascii="Arial" w:cs="Arial" w:eastAsia="Arial" w:hAnsi="Arial"/>
                <w:sz w:val="18"/>
                <w:szCs w:val="18"/>
                <w:color w:val="auto"/>
              </w:rPr>
              <w:t>Long-term bank debt from Banks</w:t>
            </w:r>
          </w:p>
        </w:tc>
        <w:tc>
          <w:tcPr>
            <w:tcW w:w="2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362,162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7740" w:type="dxa"/>
            <w:vAlign w:val="bottom"/>
            <w:gridSpan w:val="2"/>
          </w:tcPr>
          <w:p>
            <w:pPr>
              <w:spacing w:after="0"/>
              <w:rPr>
                <w:sz w:val="18"/>
                <w:szCs w:val="18"/>
                <w:color w:val="auto"/>
              </w:rPr>
            </w:pPr>
          </w:p>
        </w:tc>
        <w:tc>
          <w:tcPr>
            <w:tcW w:w="2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Debentures excluding current maturities</w:t>
            </w:r>
          </w:p>
        </w:tc>
        <w:tc>
          <w:tcPr>
            <w:tcW w:w="2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116,865</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7760" w:type="dxa"/>
            <w:vAlign w:val="bottom"/>
            <w:gridSpan w:val="3"/>
          </w:tcPr>
          <w:p>
            <w:pPr>
              <w:spacing w:after="0"/>
              <w:rPr>
                <w:sz w:val="20"/>
                <w:szCs w:val="20"/>
                <w:color w:val="auto"/>
              </w:rPr>
            </w:pPr>
            <w:r>
              <w:rPr>
                <w:rFonts w:ascii="Arial" w:cs="Arial" w:eastAsia="Arial" w:hAnsi="Arial"/>
                <w:sz w:val="18"/>
                <w:szCs w:val="18"/>
                <w:color w:val="auto"/>
              </w:rPr>
              <w:t>Long-term customers' advances</w:t>
            </w:r>
          </w:p>
        </w:tc>
        <w:tc>
          <w:tcPr>
            <w:tcW w:w="2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36,072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7740" w:type="dxa"/>
            <w:vAlign w:val="bottom"/>
            <w:gridSpan w:val="2"/>
          </w:tcPr>
          <w:p>
            <w:pPr>
              <w:spacing w:after="0"/>
              <w:rPr>
                <w:sz w:val="18"/>
                <w:szCs w:val="18"/>
                <w:color w:val="auto"/>
              </w:rPr>
            </w:pPr>
          </w:p>
        </w:tc>
        <w:tc>
          <w:tcPr>
            <w:tcW w:w="2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2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15,397</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7760" w:type="dxa"/>
            <w:vAlign w:val="bottom"/>
            <w:gridSpan w:val="3"/>
          </w:tcPr>
          <w:p>
            <w:pPr>
              <w:spacing w:after="0"/>
              <w:rPr>
                <w:sz w:val="20"/>
                <w:szCs w:val="20"/>
                <w:color w:val="auto"/>
              </w:rPr>
            </w:pPr>
            <w:r>
              <w:rPr>
                <w:rFonts w:ascii="Arial" w:cs="Arial" w:eastAsia="Arial" w:hAnsi="Arial"/>
                <w:sz w:val="18"/>
                <w:szCs w:val="18"/>
                <w:color w:val="auto"/>
              </w:rPr>
              <w:t>Shareholders' equity (deficit):</w:t>
            </w:r>
          </w:p>
        </w:tc>
        <w:tc>
          <w:tcPr>
            <w:tcW w:w="2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5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Ordinary Shares, NIS 1.00 par value per share; 800,000,000 authorized</w:t>
            </w:r>
          </w:p>
        </w:tc>
        <w:tc>
          <w:tcPr>
            <w:tcW w:w="2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shares, 125,333,673 issued shares* and 124,033,673 outstanding shares</w:t>
            </w:r>
          </w:p>
        </w:tc>
        <w:tc>
          <w:tcPr>
            <w:tcW w:w="2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29,721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560" w:type="dxa"/>
            <w:vAlign w:val="bottom"/>
          </w:tcPr>
          <w:p>
            <w:pPr>
              <w:ind w:left="100"/>
              <w:spacing w:after="0"/>
              <w:rPr>
                <w:sz w:val="20"/>
                <w:szCs w:val="20"/>
                <w:color w:val="auto"/>
              </w:rPr>
            </w:pPr>
            <w:r>
              <w:rPr>
                <w:rFonts w:ascii="Arial" w:cs="Arial" w:eastAsia="Arial" w:hAnsi="Arial"/>
                <w:sz w:val="18"/>
                <w:szCs w:val="18"/>
                <w:color w:val="auto"/>
              </w:rPr>
              <w:t>Additional paid-in capital</w:t>
            </w:r>
          </w:p>
        </w:tc>
        <w:tc>
          <w:tcPr>
            <w:tcW w:w="2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594,809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5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Capital notes</w:t>
            </w:r>
          </w:p>
        </w:tc>
        <w:tc>
          <w:tcPr>
            <w:tcW w:w="2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176,401</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24"/>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560" w:type="dxa"/>
            <w:vAlign w:val="bottom"/>
          </w:tcPr>
          <w:p>
            <w:pPr>
              <w:ind w:left="120"/>
              <w:spacing w:after="0"/>
              <w:rPr>
                <w:sz w:val="20"/>
                <w:szCs w:val="20"/>
                <w:color w:val="auto"/>
              </w:rPr>
            </w:pPr>
            <w:r>
              <w:rPr>
                <w:rFonts w:ascii="Arial" w:cs="Arial" w:eastAsia="Arial" w:hAnsi="Arial"/>
                <w:sz w:val="18"/>
                <w:szCs w:val="18"/>
                <w:color w:val="auto"/>
              </w:rPr>
              <w:t>Equity component of convertible debentures and cumulative stock based</w:t>
            </w:r>
          </w:p>
        </w:tc>
        <w:tc>
          <w:tcPr>
            <w:tcW w:w="2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560" w:type="dxa"/>
            <w:vAlign w:val="bottom"/>
          </w:tcPr>
          <w:p>
            <w:pPr>
              <w:ind w:left="120"/>
              <w:spacing w:after="0"/>
              <w:rPr>
                <w:sz w:val="20"/>
                <w:szCs w:val="20"/>
                <w:color w:val="auto"/>
              </w:rPr>
            </w:pPr>
            <w:r>
              <w:rPr>
                <w:rFonts w:ascii="Arial" w:cs="Arial" w:eastAsia="Arial" w:hAnsi="Arial"/>
                <w:sz w:val="18"/>
                <w:szCs w:val="18"/>
                <w:color w:val="auto"/>
              </w:rPr>
              <w:t>compensation</w:t>
            </w:r>
          </w:p>
        </w:tc>
        <w:tc>
          <w:tcPr>
            <w:tcW w:w="2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29,313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5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5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Accumulated deficit</w:t>
            </w:r>
          </w:p>
        </w:tc>
        <w:tc>
          <w:tcPr>
            <w:tcW w:w="2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(751,935)</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560" w:type="dxa"/>
            <w:vAlign w:val="bottom"/>
          </w:tcPr>
          <w:p>
            <w:pPr>
              <w:ind w:left="120"/>
              <w:spacing w:after="0"/>
              <w:rPr>
                <w:sz w:val="20"/>
                <w:szCs w:val="20"/>
                <w:color w:val="auto"/>
              </w:rPr>
            </w:pPr>
            <w:r>
              <w:rPr>
                <w:rFonts w:ascii="Arial" w:cs="Arial" w:eastAsia="Arial" w:hAnsi="Arial"/>
                <w:sz w:val="18"/>
                <w:szCs w:val="18"/>
                <w:color w:val="auto"/>
              </w:rPr>
              <w:t>Treasury stock, 1,300,000 shares</w:t>
            </w:r>
          </w:p>
        </w:tc>
        <w:tc>
          <w:tcPr>
            <w:tcW w:w="2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(9,072)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5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shareholders' equity</w:t>
            </w:r>
          </w:p>
        </w:tc>
        <w:tc>
          <w:tcPr>
            <w:tcW w:w="2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69,237</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7760" w:type="dxa"/>
            <w:vAlign w:val="bottom"/>
            <w:gridSpan w:val="3"/>
          </w:tcPr>
          <w:p>
            <w:pPr>
              <w:spacing w:after="0"/>
              <w:rPr>
                <w:sz w:val="20"/>
                <w:szCs w:val="20"/>
                <w:color w:val="auto"/>
              </w:rPr>
            </w:pPr>
            <w:r>
              <w:rPr>
                <w:rFonts w:ascii="Arial" w:cs="Arial" w:eastAsia="Arial" w:hAnsi="Arial"/>
                <w:sz w:val="18"/>
                <w:szCs w:val="18"/>
                <w:color w:val="auto"/>
              </w:rPr>
              <w:t>Total capitalization</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666,594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0" w:type="dxa"/>
            <w:vAlign w:val="bottom"/>
            <w:gridSpan w:val="2"/>
          </w:tcPr>
          <w:p>
            <w:pPr>
              <w:spacing w:after="0"/>
              <w:rPr>
                <w:sz w:val="20"/>
                <w:szCs w:val="20"/>
                <w:color w:val="auto"/>
              </w:rPr>
            </w:pPr>
            <w:r>
              <w:rPr>
                <w:rFonts w:ascii="Arial" w:cs="Arial" w:eastAsia="Arial" w:hAnsi="Arial"/>
                <w:sz w:val="18"/>
                <w:szCs w:val="18"/>
                <w:color w:val="auto"/>
              </w:rPr>
              <w:t>*</w:t>
            </w:r>
          </w:p>
        </w:tc>
        <w:tc>
          <w:tcPr>
            <w:tcW w:w="7560" w:type="dxa"/>
            <w:vAlign w:val="bottom"/>
          </w:tcPr>
          <w:p>
            <w:pPr>
              <w:ind w:left="380"/>
              <w:spacing w:after="0"/>
              <w:rPr>
                <w:sz w:val="20"/>
                <w:szCs w:val="20"/>
                <w:color w:val="auto"/>
              </w:rPr>
            </w:pPr>
            <w:r>
              <w:rPr>
                <w:rFonts w:ascii="Arial" w:cs="Arial" w:eastAsia="Arial" w:hAnsi="Arial"/>
                <w:sz w:val="18"/>
                <w:szCs w:val="18"/>
                <w:color w:val="auto"/>
              </w:rPr>
              <w:t>Includes 1,300,000 treasury shares.</w:t>
            </w:r>
          </w:p>
        </w:tc>
        <w:tc>
          <w:tcPr>
            <w:tcW w:w="2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information set forth on an actual basis in the foregoing table excludes the following securities as of September 30, 2007:</w:t>
      </w:r>
    </w:p>
    <w:p>
      <w:pPr>
        <w:spacing w:after="0" w:line="225" w:lineRule="exact"/>
        <w:rPr>
          <w:sz w:val="20"/>
          <w:szCs w:val="20"/>
          <w:color w:val="auto"/>
        </w:rPr>
      </w:pPr>
    </w:p>
    <w:p>
      <w:pPr>
        <w:ind w:left="1160" w:right="120" w:hanging="571"/>
        <w:spacing w:after="0" w:line="268" w:lineRule="auto"/>
        <w:tabs>
          <w:tab w:leader="none" w:pos="1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Approximately 15.1 million ordinary shares issuable upon exercise of options granted to employees and directors at a weighted average exercise price of $1.93;</w:t>
      </w:r>
    </w:p>
    <w:p>
      <w:pPr>
        <w:spacing w:after="0" w:line="212" w:lineRule="exact"/>
        <w:rPr>
          <w:rFonts w:ascii="Arial" w:cs="Arial" w:eastAsia="Arial" w:hAnsi="Arial"/>
          <w:sz w:val="18"/>
          <w:szCs w:val="18"/>
          <w:color w:val="auto"/>
        </w:rPr>
      </w:pPr>
    </w:p>
    <w:p>
      <w:pPr>
        <w:ind w:left="1160" w:right="440" w:hanging="571"/>
        <w:spacing w:after="0" w:line="268" w:lineRule="auto"/>
        <w:tabs>
          <w:tab w:leader="none" w:pos="1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15,691,877 ordinary shares issuable upon exercise of options granted to our Chief Executive Officer at a weighted average exercise price of $1.65;</w:t>
      </w:r>
    </w:p>
    <w:p>
      <w:pPr>
        <w:spacing w:after="0" w:line="212" w:lineRule="exact"/>
        <w:rPr>
          <w:rFonts w:ascii="Arial" w:cs="Arial" w:eastAsia="Arial" w:hAnsi="Arial"/>
          <w:sz w:val="18"/>
          <w:szCs w:val="18"/>
          <w:color w:val="auto"/>
        </w:rPr>
      </w:pPr>
    </w:p>
    <w:p>
      <w:pPr>
        <w:ind w:left="1160" w:right="440" w:hanging="571"/>
        <w:spacing w:after="0" w:line="268" w:lineRule="auto"/>
        <w:tabs>
          <w:tab w:leader="none" w:pos="1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1,348,527 ordinary shares issuable upon conversion of unsecured, subordinated convertible debentures, net, that we issued in January 2002, which are convertible through December 31, 2008;</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7" w:lineRule="exact"/>
        <w:rPr>
          <w:sz w:val="20"/>
          <w:szCs w:val="20"/>
          <w:color w:val="auto"/>
        </w:rPr>
      </w:pPr>
    </w:p>
    <w:p>
      <w:pPr>
        <w:ind w:left="1160" w:right="340" w:hanging="571"/>
        <w:spacing w:after="0" w:line="268" w:lineRule="auto"/>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896,596 ordinary shares issuable upon exercise of warrants issued to our banks in connection with our credit facility with an exercise price of $6.17 per share exercisable until September 2011;</w:t>
      </w:r>
    </w:p>
    <w:p>
      <w:pPr>
        <w:sectPr>
          <w:pgSz w:w="11900" w:h="16838" w:orient="portrait"/>
          <w:cols w:equalWidth="0" w:num="1">
            <w:col w:w="11420"/>
          </w:cols>
          <w:pgMar w:left="240" w:top="131" w:right="239" w:bottom="0" w:gutter="0" w:footer="0" w:header="0"/>
        </w:sectPr>
      </w:pPr>
    </w:p>
    <w:bookmarkStart w:id="7" w:name="page8"/>
    <w:bookmarkEnd w:id="7"/>
    <w:p>
      <w:pPr>
        <w:spacing w:after="0" w:line="45" w:lineRule="exact"/>
        <w:rPr>
          <w:sz w:val="20"/>
          <w:szCs w:val="20"/>
          <w:color w:val="auto"/>
        </w:rPr>
      </w:pPr>
    </w:p>
    <w:p>
      <w:pPr>
        <w:ind w:left="1160" w:hanging="571"/>
        <w:spacing w:after="0" w:line="268" w:lineRule="auto"/>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58,906 ordinary shares issuable upon exercise of warrants issued to Israel Corp. in connection with the November 2003 amendment to our facility agreement with an exercise price of $6.17 per share and exercisable until December 2008;</w:t>
      </w:r>
    </w:p>
    <w:p>
      <w:pPr>
        <w:spacing w:after="0" w:line="212" w:lineRule="exact"/>
        <w:rPr>
          <w:rFonts w:ascii="Arial" w:cs="Arial" w:eastAsia="Arial" w:hAnsi="Arial"/>
          <w:sz w:val="18"/>
          <w:szCs w:val="18"/>
          <w:color w:val="auto"/>
        </w:rPr>
      </w:pPr>
    </w:p>
    <w:p>
      <w:pPr>
        <w:ind w:left="1160" w:right="180" w:hanging="571"/>
        <w:spacing w:after="0" w:line="268" w:lineRule="auto"/>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8,264,464 ordinary shares issuable upon exercise of warrants we issued to our banks with an exercise price of $1.21 in connection with the July 2005 amendment to our facility agreement exercisable until September 2011;</w:t>
      </w:r>
    </w:p>
    <w:p>
      <w:pPr>
        <w:spacing w:after="0" w:line="212" w:lineRule="exact"/>
        <w:rPr>
          <w:rFonts w:ascii="Arial" w:cs="Arial" w:eastAsia="Arial" w:hAnsi="Arial"/>
          <w:sz w:val="18"/>
          <w:szCs w:val="18"/>
          <w:color w:val="auto"/>
        </w:rPr>
      </w:pPr>
    </w:p>
    <w:p>
      <w:pPr>
        <w:ind w:left="1160" w:right="560" w:hanging="571"/>
        <w:spacing w:after="0" w:line="268" w:lineRule="auto"/>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26,510,033 ordinary shares issuable upon conversion of our debentures convertible until December 2011, pursuant to the prospectus dated December 15, 2005;</w:t>
      </w:r>
    </w:p>
    <w:p>
      <w:pPr>
        <w:spacing w:after="0" w:line="212" w:lineRule="exact"/>
        <w:rPr>
          <w:rFonts w:ascii="Arial" w:cs="Arial" w:eastAsia="Arial" w:hAnsi="Arial"/>
          <w:sz w:val="18"/>
          <w:szCs w:val="18"/>
          <w:color w:val="auto"/>
        </w:rPr>
      </w:pPr>
    </w:p>
    <w:p>
      <w:pPr>
        <w:ind w:left="1160" w:right="440" w:hanging="571"/>
        <w:spacing w:after="0" w:line="268" w:lineRule="auto"/>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117,763,158 ordinary shares issuable upon conversion of the equity equivalent convertible capital notes we issued to our banks and to Israel Corp., in September 2006;</w:t>
      </w:r>
    </w:p>
    <w:p>
      <w:pPr>
        <w:spacing w:after="0" w:line="212" w:lineRule="exact"/>
        <w:rPr>
          <w:rFonts w:ascii="Arial" w:cs="Arial" w:eastAsia="Arial" w:hAnsi="Arial"/>
          <w:sz w:val="18"/>
          <w:szCs w:val="18"/>
          <w:color w:val="auto"/>
        </w:rPr>
      </w:pPr>
    </w:p>
    <w:p>
      <w:pPr>
        <w:ind w:left="1160" w:right="120" w:hanging="571"/>
        <w:spacing w:after="0" w:line="268" w:lineRule="auto"/>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5,481,000 ordinary shares issuable upon exercise of warrants issued in our June 2006 public offering in Israel with an exercise price of NIS 7.40 per share and exercisable until June 2009;</w:t>
      </w:r>
    </w:p>
    <w:p>
      <w:pPr>
        <w:spacing w:after="0" w:line="212" w:lineRule="exact"/>
        <w:rPr>
          <w:rFonts w:ascii="Arial" w:cs="Arial" w:eastAsia="Arial" w:hAnsi="Arial"/>
          <w:sz w:val="18"/>
          <w:szCs w:val="18"/>
          <w:color w:val="auto"/>
        </w:rPr>
      </w:pPr>
    </w:p>
    <w:p>
      <w:pPr>
        <w:ind w:left="1160" w:right="60" w:hanging="571"/>
        <w:spacing w:after="0" w:line="268" w:lineRule="auto"/>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5,227,500 ordinary shares issuable upon exercise of warrants sold in our private placements completed in November 2006, with an exercise price of approximately $2.26 per share and exercisable until December 2010;</w:t>
      </w:r>
    </w:p>
    <w:p>
      <w:pPr>
        <w:spacing w:after="0" w:line="212" w:lineRule="exact"/>
        <w:rPr>
          <w:rFonts w:ascii="Arial" w:cs="Arial" w:eastAsia="Arial" w:hAnsi="Arial"/>
          <w:sz w:val="18"/>
          <w:szCs w:val="18"/>
          <w:color w:val="auto"/>
        </w:rPr>
      </w:pPr>
    </w:p>
    <w:p>
      <w:pPr>
        <w:ind w:left="1160" w:right="40" w:hanging="571"/>
        <w:spacing w:after="0" w:line="268" w:lineRule="auto"/>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24,232,464 ordinary shares issuable upon conversion of our debentures convertible until December 2011, issued pursuant to our June 2006 public offering in Israel;</w:t>
      </w:r>
    </w:p>
    <w:p>
      <w:pPr>
        <w:spacing w:after="0" w:line="212" w:lineRule="exact"/>
        <w:rPr>
          <w:rFonts w:ascii="Arial" w:cs="Arial" w:eastAsia="Arial" w:hAnsi="Arial"/>
          <w:sz w:val="18"/>
          <w:szCs w:val="18"/>
          <w:color w:val="auto"/>
        </w:rPr>
      </w:pPr>
    </w:p>
    <w:p>
      <w:pPr>
        <w:ind w:left="1160" w:hanging="571"/>
        <w:spacing w:after="0"/>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28,207,796 ordinary shares issuable upon exercise of the warrants issued in our March 2007 private placement;</w:t>
      </w:r>
    </w:p>
    <w:p>
      <w:pPr>
        <w:spacing w:after="0" w:line="252" w:lineRule="exact"/>
        <w:rPr>
          <w:rFonts w:ascii="Arial" w:cs="Arial" w:eastAsia="Arial" w:hAnsi="Arial"/>
          <w:sz w:val="18"/>
          <w:szCs w:val="18"/>
          <w:color w:val="auto"/>
        </w:rPr>
      </w:pPr>
    </w:p>
    <w:p>
      <w:pPr>
        <w:ind w:left="1160" w:right="720" w:hanging="571"/>
        <w:spacing w:after="0" w:line="268" w:lineRule="auto"/>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7,068,881 ordinary shares issuable upon conversion of our debentures convertible until December 2012, issued in our June 2007 private placement and September 2007 public offering in Israel;</w:t>
      </w:r>
    </w:p>
    <w:p>
      <w:pPr>
        <w:spacing w:after="0" w:line="212" w:lineRule="exact"/>
        <w:rPr>
          <w:rFonts w:ascii="Arial" w:cs="Arial" w:eastAsia="Arial" w:hAnsi="Arial"/>
          <w:sz w:val="18"/>
          <w:szCs w:val="18"/>
          <w:color w:val="auto"/>
        </w:rPr>
      </w:pPr>
    </w:p>
    <w:p>
      <w:pPr>
        <w:ind w:left="1160" w:right="220" w:hanging="571"/>
        <w:spacing w:after="0" w:line="268" w:lineRule="auto"/>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2,686,444 ordinary shares issuable upon exercise of warrants issued in our June 2007 private placement and September 2007 public offering in Israel; and</w:t>
      </w:r>
    </w:p>
    <w:p>
      <w:pPr>
        <w:spacing w:after="0" w:line="212" w:lineRule="exact"/>
        <w:rPr>
          <w:rFonts w:ascii="Arial" w:cs="Arial" w:eastAsia="Arial" w:hAnsi="Arial"/>
          <w:sz w:val="18"/>
          <w:szCs w:val="18"/>
          <w:color w:val="auto"/>
        </w:rPr>
      </w:pPr>
    </w:p>
    <w:p>
      <w:pPr>
        <w:ind w:left="1160" w:right="300" w:hanging="571"/>
        <w:spacing w:after="0" w:line="268" w:lineRule="auto"/>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5,411,764 ordinary shares issuable upon exercise of warrants issued to our banks and Israel Corp. in connection with our September 2007 $60 million credit facilities with an exercise price of $2.04 per share exercisable until March 2010.</w:t>
      </w:r>
    </w:p>
    <w:p>
      <w:pPr>
        <w:spacing w:after="0" w:line="200" w:lineRule="exact"/>
        <w:rPr>
          <w:sz w:val="20"/>
          <w:szCs w:val="20"/>
          <w:color w:val="auto"/>
        </w:rPr>
      </w:pPr>
    </w:p>
    <w:p>
      <w:pPr>
        <w:spacing w:after="0" w:line="229" w:lineRule="exact"/>
        <w:rPr>
          <w:sz w:val="20"/>
          <w:szCs w:val="20"/>
          <w:color w:val="auto"/>
        </w:rPr>
      </w:pPr>
    </w:p>
    <w:p>
      <w:pPr>
        <w:ind w:right="180" w:firstLine="348"/>
        <w:spacing w:after="0" w:line="291" w:lineRule="auto"/>
        <w:rPr>
          <w:sz w:val="20"/>
          <w:szCs w:val="20"/>
          <w:color w:val="auto"/>
        </w:rPr>
      </w:pPr>
      <w:r>
        <w:rPr>
          <w:rFonts w:ascii="Arial" w:cs="Arial" w:eastAsia="Arial" w:hAnsi="Arial"/>
          <w:sz w:val="16"/>
          <w:szCs w:val="16"/>
          <w:color w:val="auto"/>
        </w:rPr>
        <w:t>This information does not take into account the following potential dilutive issuances of securities pursuant to our credit facility agreement and option arrangements with our chief executive officer, which cannot be calculated as of the date of this prospectus since the number of shares issuable will depend upon future transactions in which we may engage and/or the market price of our shares and/or other conditions: (i) ordinary shares issuable upon conversion of securities we may be required to issue in connection with a rights offering and outside investor provisions agreed to in the November 2003 amendment to our facility agreement; (ii) ordinary shares issuable to our banks in January 2011 as a result of the reduction of the interest rate applicable to the quarterly actual interest payments on our outstanding loans and (iii) anti-dilution options that may be granted to our Chief Executive Officer.</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PRICE RANGE OF ORDINARY SHARES</w:t>
      </w:r>
    </w:p>
    <w:p>
      <w:pPr>
        <w:spacing w:after="0" w:line="312" w:lineRule="exact"/>
        <w:rPr>
          <w:sz w:val="20"/>
          <w:szCs w:val="20"/>
          <w:color w:val="auto"/>
        </w:rPr>
      </w:pPr>
    </w:p>
    <w:p>
      <w:pPr>
        <w:ind w:right="440" w:firstLine="351"/>
        <w:spacing w:after="0" w:line="268" w:lineRule="auto"/>
        <w:rPr>
          <w:sz w:val="20"/>
          <w:szCs w:val="20"/>
          <w:color w:val="auto"/>
        </w:rPr>
      </w:pPr>
      <w:r>
        <w:rPr>
          <w:rFonts w:ascii="Arial" w:cs="Arial" w:eastAsia="Arial" w:hAnsi="Arial"/>
          <w:sz w:val="18"/>
          <w:szCs w:val="18"/>
          <w:color w:val="auto"/>
        </w:rPr>
        <w:t>Our ordinary shares are listed and traded on the NASDAQ Global Market under the symbol “TSEM”. In addition, in January 2001, our ordinary shares commenced trading on the Tel Aviv Stock Exchange (TASE) under the symbol “TSEM”.</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sets forth, for the periods indicated, the high and low reported sales prices of the ordinary shares on the NASDAQ Global Market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Tel Aviv Stock Exchange:</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60" w:type="dxa"/>
            <w:vAlign w:val="bottom"/>
          </w:tcPr>
          <w:p>
            <w:pPr>
              <w:spacing w:after="0"/>
              <w:rPr>
                <w:sz w:val="15"/>
                <w:szCs w:val="15"/>
                <w:color w:val="auto"/>
              </w:rPr>
            </w:pPr>
          </w:p>
        </w:tc>
        <w:tc>
          <w:tcPr>
            <w:tcW w:w="6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520" w:type="dxa"/>
            <w:vAlign w:val="bottom"/>
            <w:gridSpan w:val="3"/>
          </w:tcPr>
          <w:p>
            <w:pPr>
              <w:ind w:left="340"/>
              <w:spacing w:after="0"/>
              <w:rPr>
                <w:sz w:val="20"/>
                <w:szCs w:val="20"/>
                <w:color w:val="auto"/>
              </w:rPr>
            </w:pPr>
            <w:r>
              <w:rPr>
                <w:rFonts w:ascii="Arial" w:cs="Arial" w:eastAsia="Arial" w:hAnsi="Arial"/>
                <w:sz w:val="14"/>
                <w:szCs w:val="14"/>
                <w:b w:val="1"/>
                <w:bCs w:val="1"/>
                <w:color w:val="auto"/>
              </w:rPr>
              <w:t>NASDAQ GLOBAL MARKET</w:t>
            </w:r>
          </w:p>
        </w:tc>
        <w:tc>
          <w:tcPr>
            <w:tcW w:w="20" w:type="dxa"/>
            <w:vAlign w:val="bottom"/>
          </w:tcPr>
          <w:p>
            <w:pPr>
              <w:spacing w:after="0"/>
              <w:rPr>
                <w:sz w:val="15"/>
                <w:szCs w:val="15"/>
                <w:color w:val="auto"/>
              </w:rPr>
            </w:pPr>
          </w:p>
        </w:tc>
        <w:tc>
          <w:tcPr>
            <w:tcW w:w="2440" w:type="dxa"/>
            <w:vAlign w:val="bottom"/>
            <w:gridSpan w:val="3"/>
          </w:tcPr>
          <w:p>
            <w:pPr>
              <w:ind w:left="240"/>
              <w:spacing w:after="0"/>
              <w:rPr>
                <w:sz w:val="20"/>
                <w:szCs w:val="20"/>
                <w:color w:val="auto"/>
              </w:rPr>
            </w:pPr>
            <w:r>
              <w:rPr>
                <w:rFonts w:ascii="Arial" w:cs="Arial" w:eastAsia="Arial" w:hAnsi="Arial"/>
                <w:sz w:val="14"/>
                <w:szCs w:val="14"/>
                <w:b w:val="1"/>
                <w:bCs w:val="1"/>
                <w:color w:val="auto"/>
              </w:rPr>
              <w:t>TEL AVIV STOCK EXCHANGE</w:t>
            </w:r>
          </w:p>
        </w:tc>
      </w:tr>
      <w:tr>
        <w:trPr>
          <w:trHeight w:val="95"/>
        </w:trPr>
        <w:tc>
          <w:tcPr>
            <w:tcW w:w="160" w:type="dxa"/>
            <w:vAlign w:val="bottom"/>
          </w:tcPr>
          <w:p>
            <w:pPr>
              <w:spacing w:after="0"/>
              <w:rPr>
                <w:sz w:val="8"/>
                <w:szCs w:val="8"/>
                <w:color w:val="auto"/>
              </w:rPr>
            </w:pPr>
          </w:p>
        </w:tc>
        <w:tc>
          <w:tcPr>
            <w:tcW w:w="6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r>
      <w:tr>
        <w:trPr>
          <w:trHeight w:val="263"/>
        </w:trPr>
        <w:tc>
          <w:tcPr>
            <w:tcW w:w="6420" w:type="dxa"/>
            <w:vAlign w:val="bottom"/>
            <w:gridSpan w:val="3"/>
          </w:tcPr>
          <w:p>
            <w:pPr>
              <w:spacing w:after="0"/>
              <w:rPr>
                <w:sz w:val="20"/>
                <w:szCs w:val="20"/>
                <w:color w:val="auto"/>
              </w:rPr>
            </w:pPr>
            <w:r>
              <w:rPr>
                <w:rFonts w:ascii="Arial" w:cs="Arial" w:eastAsia="Arial" w:hAnsi="Arial"/>
                <w:sz w:val="14"/>
                <w:szCs w:val="14"/>
                <w:b w:val="1"/>
                <w:bCs w:val="1"/>
                <w:color w:val="auto"/>
              </w:rPr>
              <w:t>PERIOD</w:t>
            </w:r>
          </w:p>
        </w:tc>
        <w:tc>
          <w:tcPr>
            <w:tcW w:w="1240" w:type="dxa"/>
            <w:vAlign w:val="bottom"/>
          </w:tcPr>
          <w:p>
            <w:pPr>
              <w:ind w:left="340"/>
              <w:spacing w:after="0"/>
              <w:rPr>
                <w:sz w:val="20"/>
                <w:szCs w:val="20"/>
                <w:color w:val="auto"/>
              </w:rPr>
            </w:pPr>
            <w:r>
              <w:rPr>
                <w:rFonts w:ascii="Arial" w:cs="Arial" w:eastAsia="Arial" w:hAnsi="Arial"/>
                <w:sz w:val="14"/>
                <w:szCs w:val="14"/>
                <w:b w:val="1"/>
                <w:bCs w:val="1"/>
                <w:color w:val="auto"/>
              </w:rPr>
              <w:t>HIGH ($)</w:t>
            </w:r>
          </w:p>
        </w:tc>
        <w:tc>
          <w:tcPr>
            <w:tcW w:w="40" w:type="dxa"/>
            <w:vAlign w:val="bottom"/>
          </w:tcPr>
          <w:p>
            <w:pPr>
              <w:spacing w:after="0"/>
              <w:rPr>
                <w:sz w:val="22"/>
                <w:szCs w:val="22"/>
                <w:color w:val="auto"/>
              </w:rPr>
            </w:pPr>
          </w:p>
        </w:tc>
        <w:tc>
          <w:tcPr>
            <w:tcW w:w="1240" w:type="dxa"/>
            <w:vAlign w:val="bottom"/>
          </w:tcPr>
          <w:p>
            <w:pPr>
              <w:ind w:left="360"/>
              <w:spacing w:after="0"/>
              <w:rPr>
                <w:sz w:val="20"/>
                <w:szCs w:val="20"/>
                <w:color w:val="auto"/>
              </w:rPr>
            </w:pPr>
            <w:r>
              <w:rPr>
                <w:rFonts w:ascii="Arial" w:cs="Arial" w:eastAsia="Arial" w:hAnsi="Arial"/>
                <w:sz w:val="14"/>
                <w:szCs w:val="14"/>
                <w:b w:val="1"/>
                <w:bCs w:val="1"/>
                <w:color w:val="auto"/>
              </w:rPr>
              <w:t>LOW ($)</w:t>
            </w:r>
          </w:p>
        </w:tc>
        <w:tc>
          <w:tcPr>
            <w:tcW w:w="20" w:type="dxa"/>
            <w:vAlign w:val="bottom"/>
          </w:tcPr>
          <w:p>
            <w:pPr>
              <w:spacing w:after="0"/>
              <w:rPr>
                <w:sz w:val="22"/>
                <w:szCs w:val="22"/>
                <w:color w:val="auto"/>
              </w:rPr>
            </w:pPr>
          </w:p>
        </w:tc>
        <w:tc>
          <w:tcPr>
            <w:tcW w:w="1220" w:type="dxa"/>
            <w:vAlign w:val="bottom"/>
          </w:tcPr>
          <w:p>
            <w:pPr>
              <w:ind w:left="260"/>
              <w:spacing w:after="0"/>
              <w:rPr>
                <w:sz w:val="20"/>
                <w:szCs w:val="20"/>
                <w:color w:val="auto"/>
              </w:rPr>
            </w:pPr>
            <w:r>
              <w:rPr>
                <w:rFonts w:ascii="Arial" w:cs="Arial" w:eastAsia="Arial" w:hAnsi="Arial"/>
                <w:sz w:val="14"/>
                <w:szCs w:val="14"/>
                <w:b w:val="1"/>
                <w:bCs w:val="1"/>
                <w:color w:val="auto"/>
              </w:rPr>
              <w:t>HIGH (NIS)</w:t>
            </w:r>
          </w:p>
        </w:tc>
        <w:tc>
          <w:tcPr>
            <w:tcW w:w="20" w:type="dxa"/>
            <w:vAlign w:val="bottom"/>
          </w:tcPr>
          <w:p>
            <w:pPr>
              <w:spacing w:after="0"/>
              <w:rPr>
                <w:sz w:val="22"/>
                <w:szCs w:val="22"/>
                <w:color w:val="auto"/>
              </w:rPr>
            </w:pPr>
          </w:p>
        </w:tc>
        <w:tc>
          <w:tcPr>
            <w:tcW w:w="1200" w:type="dxa"/>
            <w:vAlign w:val="bottom"/>
          </w:tcPr>
          <w:p>
            <w:pPr>
              <w:ind w:left="260"/>
              <w:spacing w:after="0"/>
              <w:rPr>
                <w:sz w:val="20"/>
                <w:szCs w:val="20"/>
                <w:color w:val="auto"/>
              </w:rPr>
            </w:pPr>
            <w:r>
              <w:rPr>
                <w:rFonts w:ascii="Arial" w:cs="Arial" w:eastAsia="Arial" w:hAnsi="Arial"/>
                <w:sz w:val="14"/>
                <w:szCs w:val="14"/>
                <w:b w:val="1"/>
                <w:bCs w:val="1"/>
                <w:color w:val="auto"/>
              </w:rPr>
              <w:t>LOW (NIS)</w:t>
            </w:r>
          </w:p>
        </w:tc>
      </w:tr>
      <w:tr>
        <w:trPr>
          <w:trHeight w:val="95"/>
        </w:trPr>
        <w:tc>
          <w:tcPr>
            <w:tcW w:w="160" w:type="dxa"/>
            <w:vAlign w:val="bottom"/>
          </w:tcPr>
          <w:p>
            <w:pPr>
              <w:spacing w:after="0"/>
              <w:rPr>
                <w:sz w:val="8"/>
                <w:szCs w:val="8"/>
                <w:color w:val="auto"/>
              </w:rPr>
            </w:pPr>
          </w:p>
        </w:tc>
        <w:tc>
          <w:tcPr>
            <w:tcW w:w="61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88"/>
              </w:rPr>
              <w:t>Last Six Months:</w:t>
            </w:r>
          </w:p>
        </w:tc>
        <w:tc>
          <w:tcPr>
            <w:tcW w:w="3100" w:type="dxa"/>
            <w:vAlign w:val="bottom"/>
            <w:tcBorders>
              <w:bottom w:val="single" w:sz="8" w:color="CCEEFF"/>
            </w:tcBorders>
            <w:gridSpan w:val="2"/>
            <w:shd w:val="clear" w:color="auto" w:fill="CCEEFF"/>
          </w:tcPr>
          <w:p>
            <w:pPr>
              <w:spacing w:after="0"/>
              <w:rPr>
                <w:sz w:val="19"/>
                <w:szCs w:val="19"/>
                <w:color w:val="auto"/>
              </w:rPr>
            </w:pPr>
          </w:p>
        </w:tc>
        <w:tc>
          <w:tcPr>
            <w:tcW w:w="36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3"/>
          </w:tcPr>
          <w:p>
            <w:pPr>
              <w:spacing w:after="0"/>
              <w:rPr>
                <w:sz w:val="20"/>
                <w:szCs w:val="20"/>
                <w:color w:val="auto"/>
              </w:rPr>
            </w:pPr>
            <w:r>
              <w:rPr>
                <w:rFonts w:ascii="Arial" w:cs="Arial" w:eastAsia="Arial" w:hAnsi="Arial"/>
                <w:sz w:val="18"/>
                <w:szCs w:val="18"/>
                <w:color w:val="auto"/>
              </w:rPr>
              <w:t>December 2007</w:t>
            </w:r>
          </w:p>
        </w:tc>
        <w:tc>
          <w:tcPr>
            <w:tcW w:w="3620" w:type="dxa"/>
            <w:vAlign w:val="bottom"/>
          </w:tcPr>
          <w:p>
            <w:pPr>
              <w:jc w:val="right"/>
              <w:ind w:right="412"/>
              <w:spacing w:after="0"/>
              <w:rPr>
                <w:sz w:val="20"/>
                <w:szCs w:val="20"/>
                <w:color w:val="auto"/>
              </w:rPr>
            </w:pPr>
            <w:r>
              <w:rPr>
                <w:rFonts w:ascii="Arial" w:cs="Arial" w:eastAsia="Arial" w:hAnsi="Arial"/>
                <w:sz w:val="18"/>
                <w:szCs w:val="18"/>
                <w:color w:val="auto"/>
              </w:rPr>
              <w:t>1.58</w:t>
            </w:r>
          </w:p>
        </w:tc>
        <w:tc>
          <w:tcPr>
            <w:tcW w:w="1260" w:type="dxa"/>
            <w:vAlign w:val="bottom"/>
          </w:tcPr>
          <w:p>
            <w:pPr>
              <w:jc w:val="right"/>
              <w:ind w:right="392"/>
              <w:spacing w:after="0"/>
              <w:rPr>
                <w:sz w:val="20"/>
                <w:szCs w:val="20"/>
                <w:color w:val="auto"/>
              </w:rPr>
            </w:pPr>
            <w:r>
              <w:rPr>
                <w:rFonts w:ascii="Arial" w:cs="Arial" w:eastAsia="Arial" w:hAnsi="Arial"/>
                <w:sz w:val="18"/>
                <w:szCs w:val="18"/>
                <w:color w:val="auto"/>
              </w:rPr>
              <w:t>1.35</w:t>
            </w:r>
          </w:p>
        </w:tc>
        <w:tc>
          <w:tcPr>
            <w:tcW w:w="1240" w:type="dxa"/>
            <w:vAlign w:val="bottom"/>
          </w:tcPr>
          <w:p>
            <w:pPr>
              <w:jc w:val="right"/>
              <w:ind w:right="372"/>
              <w:spacing w:after="0"/>
              <w:rPr>
                <w:sz w:val="20"/>
                <w:szCs w:val="20"/>
                <w:color w:val="auto"/>
              </w:rPr>
            </w:pPr>
            <w:r>
              <w:rPr>
                <w:rFonts w:ascii="Arial" w:cs="Arial" w:eastAsia="Arial" w:hAnsi="Arial"/>
                <w:sz w:val="18"/>
                <w:szCs w:val="18"/>
                <w:color w:val="auto"/>
              </w:rPr>
              <w:t>6.17</w:t>
            </w:r>
          </w:p>
        </w:tc>
        <w:tc>
          <w:tcPr>
            <w:tcW w:w="980" w:type="dxa"/>
            <w:vAlign w:val="bottom"/>
          </w:tcPr>
          <w:p>
            <w:pPr>
              <w:jc w:val="right"/>
              <w:ind w:right="132"/>
              <w:spacing w:after="0"/>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November 2007</w:t>
            </w:r>
          </w:p>
        </w:tc>
        <w:tc>
          <w:tcPr>
            <w:tcW w:w="362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1.71</w:t>
            </w:r>
          </w:p>
        </w:tc>
        <w:tc>
          <w:tcPr>
            <w:tcW w:w="126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rPr>
              <w:t>1.44</w:t>
            </w:r>
          </w:p>
        </w:tc>
        <w:tc>
          <w:tcPr>
            <w:tcW w:w="124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6.89</w:t>
            </w:r>
          </w:p>
        </w:tc>
        <w:tc>
          <w:tcPr>
            <w:tcW w:w="9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3"/>
          </w:tcPr>
          <w:p>
            <w:pPr>
              <w:spacing w:after="0"/>
              <w:rPr>
                <w:sz w:val="20"/>
                <w:szCs w:val="20"/>
                <w:color w:val="auto"/>
              </w:rPr>
            </w:pPr>
            <w:r>
              <w:rPr>
                <w:rFonts w:ascii="Arial" w:cs="Arial" w:eastAsia="Arial" w:hAnsi="Arial"/>
                <w:sz w:val="18"/>
                <w:szCs w:val="18"/>
                <w:color w:val="auto"/>
              </w:rPr>
              <w:t>October 2007</w:t>
            </w:r>
          </w:p>
        </w:tc>
        <w:tc>
          <w:tcPr>
            <w:tcW w:w="3620" w:type="dxa"/>
            <w:vAlign w:val="bottom"/>
          </w:tcPr>
          <w:p>
            <w:pPr>
              <w:jc w:val="right"/>
              <w:ind w:right="412"/>
              <w:spacing w:after="0"/>
              <w:rPr>
                <w:sz w:val="20"/>
                <w:szCs w:val="20"/>
                <w:color w:val="auto"/>
              </w:rPr>
            </w:pPr>
            <w:r>
              <w:rPr>
                <w:rFonts w:ascii="Arial" w:cs="Arial" w:eastAsia="Arial" w:hAnsi="Arial"/>
                <w:sz w:val="18"/>
                <w:szCs w:val="18"/>
                <w:color w:val="auto"/>
              </w:rPr>
              <w:t>1.80</w:t>
            </w:r>
          </w:p>
        </w:tc>
        <w:tc>
          <w:tcPr>
            <w:tcW w:w="1260" w:type="dxa"/>
            <w:vAlign w:val="bottom"/>
          </w:tcPr>
          <w:p>
            <w:pPr>
              <w:jc w:val="right"/>
              <w:ind w:right="392"/>
              <w:spacing w:after="0"/>
              <w:rPr>
                <w:sz w:val="20"/>
                <w:szCs w:val="20"/>
                <w:color w:val="auto"/>
              </w:rPr>
            </w:pPr>
            <w:r>
              <w:rPr>
                <w:rFonts w:ascii="Arial" w:cs="Arial" w:eastAsia="Arial" w:hAnsi="Arial"/>
                <w:sz w:val="18"/>
                <w:szCs w:val="18"/>
                <w:color w:val="auto"/>
              </w:rPr>
              <w:t>1.57</w:t>
            </w:r>
          </w:p>
        </w:tc>
        <w:tc>
          <w:tcPr>
            <w:tcW w:w="1240" w:type="dxa"/>
            <w:vAlign w:val="bottom"/>
          </w:tcPr>
          <w:p>
            <w:pPr>
              <w:jc w:val="right"/>
              <w:ind w:right="372"/>
              <w:spacing w:after="0"/>
              <w:rPr>
                <w:sz w:val="20"/>
                <w:szCs w:val="20"/>
                <w:color w:val="auto"/>
              </w:rPr>
            </w:pPr>
            <w:r>
              <w:rPr>
                <w:rFonts w:ascii="Arial" w:cs="Arial" w:eastAsia="Arial" w:hAnsi="Arial"/>
                <w:sz w:val="18"/>
                <w:szCs w:val="18"/>
                <w:color w:val="auto"/>
              </w:rPr>
              <w:t>7.25</w:t>
            </w:r>
          </w:p>
        </w:tc>
        <w:tc>
          <w:tcPr>
            <w:tcW w:w="980" w:type="dxa"/>
            <w:vAlign w:val="bottom"/>
          </w:tcPr>
          <w:p>
            <w:pPr>
              <w:jc w:val="right"/>
              <w:ind w:right="132"/>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September 2007</w:t>
            </w:r>
          </w:p>
        </w:tc>
        <w:tc>
          <w:tcPr>
            <w:tcW w:w="362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1.84</w:t>
            </w:r>
          </w:p>
        </w:tc>
        <w:tc>
          <w:tcPr>
            <w:tcW w:w="126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rPr>
              <w:t>1.33</w:t>
            </w:r>
          </w:p>
        </w:tc>
        <w:tc>
          <w:tcPr>
            <w:tcW w:w="124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7.16</w:t>
            </w:r>
          </w:p>
        </w:tc>
        <w:tc>
          <w:tcPr>
            <w:tcW w:w="9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3"/>
          </w:tcPr>
          <w:p>
            <w:pPr>
              <w:spacing w:after="0"/>
              <w:rPr>
                <w:sz w:val="20"/>
                <w:szCs w:val="20"/>
                <w:color w:val="auto"/>
              </w:rPr>
            </w:pPr>
            <w:r>
              <w:rPr>
                <w:rFonts w:ascii="Arial" w:cs="Arial" w:eastAsia="Arial" w:hAnsi="Arial"/>
                <w:sz w:val="18"/>
                <w:szCs w:val="18"/>
                <w:color w:val="auto"/>
              </w:rPr>
              <w:t>August 2007</w:t>
            </w:r>
          </w:p>
        </w:tc>
        <w:tc>
          <w:tcPr>
            <w:tcW w:w="3620" w:type="dxa"/>
            <w:vAlign w:val="bottom"/>
          </w:tcPr>
          <w:p>
            <w:pPr>
              <w:jc w:val="right"/>
              <w:ind w:right="412"/>
              <w:spacing w:after="0"/>
              <w:rPr>
                <w:sz w:val="20"/>
                <w:szCs w:val="20"/>
                <w:color w:val="auto"/>
              </w:rPr>
            </w:pPr>
            <w:r>
              <w:rPr>
                <w:rFonts w:ascii="Arial" w:cs="Arial" w:eastAsia="Arial" w:hAnsi="Arial"/>
                <w:sz w:val="18"/>
                <w:szCs w:val="18"/>
                <w:color w:val="auto"/>
              </w:rPr>
              <w:t>1.70</w:t>
            </w:r>
          </w:p>
        </w:tc>
        <w:tc>
          <w:tcPr>
            <w:tcW w:w="1260" w:type="dxa"/>
            <w:vAlign w:val="bottom"/>
          </w:tcPr>
          <w:p>
            <w:pPr>
              <w:jc w:val="right"/>
              <w:ind w:right="392"/>
              <w:spacing w:after="0"/>
              <w:rPr>
                <w:sz w:val="20"/>
                <w:szCs w:val="20"/>
                <w:color w:val="auto"/>
              </w:rPr>
            </w:pPr>
            <w:r>
              <w:rPr>
                <w:rFonts w:ascii="Arial" w:cs="Arial" w:eastAsia="Arial" w:hAnsi="Arial"/>
                <w:sz w:val="18"/>
                <w:szCs w:val="18"/>
                <w:color w:val="auto"/>
              </w:rPr>
              <w:t>1.20</w:t>
            </w:r>
          </w:p>
        </w:tc>
        <w:tc>
          <w:tcPr>
            <w:tcW w:w="1240" w:type="dxa"/>
            <w:vAlign w:val="bottom"/>
          </w:tcPr>
          <w:p>
            <w:pPr>
              <w:jc w:val="right"/>
              <w:ind w:right="372"/>
              <w:spacing w:after="0"/>
              <w:rPr>
                <w:sz w:val="20"/>
                <w:szCs w:val="20"/>
                <w:color w:val="auto"/>
              </w:rPr>
            </w:pPr>
            <w:r>
              <w:rPr>
                <w:rFonts w:ascii="Arial" w:cs="Arial" w:eastAsia="Arial" w:hAnsi="Arial"/>
                <w:sz w:val="18"/>
                <w:szCs w:val="18"/>
                <w:color w:val="auto"/>
              </w:rPr>
              <w:t>7.09</w:t>
            </w:r>
          </w:p>
        </w:tc>
        <w:tc>
          <w:tcPr>
            <w:tcW w:w="980" w:type="dxa"/>
            <w:vAlign w:val="bottom"/>
          </w:tcPr>
          <w:p>
            <w:pPr>
              <w:jc w:val="right"/>
              <w:ind w:right="132"/>
              <w:spacing w:after="0"/>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July 2007</w:t>
            </w:r>
          </w:p>
        </w:tc>
        <w:tc>
          <w:tcPr>
            <w:tcW w:w="362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1.87</w:t>
            </w:r>
          </w:p>
        </w:tc>
        <w:tc>
          <w:tcPr>
            <w:tcW w:w="126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rPr>
              <w:t>1.42</w:t>
            </w:r>
          </w:p>
        </w:tc>
        <w:tc>
          <w:tcPr>
            <w:tcW w:w="124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7.97</w:t>
            </w:r>
          </w:p>
        </w:tc>
        <w:tc>
          <w:tcPr>
            <w:tcW w:w="9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419"/>
        </w:trPr>
        <w:tc>
          <w:tcPr>
            <w:tcW w:w="4320" w:type="dxa"/>
            <w:vAlign w:val="bottom"/>
            <w:gridSpan w:val="4"/>
          </w:tcPr>
          <w:p>
            <w:pPr>
              <w:spacing w:after="0"/>
              <w:rPr>
                <w:sz w:val="20"/>
                <w:szCs w:val="20"/>
                <w:color w:val="auto"/>
              </w:rPr>
            </w:pPr>
            <w:r>
              <w:rPr>
                <w:rFonts w:ascii="Arial" w:cs="Arial" w:eastAsia="Arial" w:hAnsi="Arial"/>
                <w:sz w:val="18"/>
                <w:szCs w:val="18"/>
                <w:color w:val="auto"/>
              </w:rPr>
              <w:t>Last Ten Quarters:</w:t>
            </w:r>
          </w:p>
        </w:tc>
        <w:tc>
          <w:tcPr>
            <w:tcW w:w="36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20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Fourth Quarter 2007</w:t>
            </w:r>
          </w:p>
        </w:tc>
        <w:tc>
          <w:tcPr>
            <w:tcW w:w="362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1.8</w:t>
            </w:r>
          </w:p>
        </w:tc>
        <w:tc>
          <w:tcPr>
            <w:tcW w:w="126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rPr>
              <w:t>1.35</w:t>
            </w:r>
          </w:p>
        </w:tc>
        <w:tc>
          <w:tcPr>
            <w:tcW w:w="124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7.25</w:t>
            </w:r>
          </w:p>
        </w:tc>
        <w:tc>
          <w:tcPr>
            <w:tcW w:w="9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3"/>
          </w:tcPr>
          <w:p>
            <w:pPr>
              <w:spacing w:after="0"/>
              <w:rPr>
                <w:sz w:val="20"/>
                <w:szCs w:val="20"/>
                <w:color w:val="auto"/>
              </w:rPr>
            </w:pPr>
            <w:r>
              <w:rPr>
                <w:rFonts w:ascii="Arial" w:cs="Arial" w:eastAsia="Arial" w:hAnsi="Arial"/>
                <w:sz w:val="18"/>
                <w:szCs w:val="18"/>
                <w:color w:val="auto"/>
              </w:rPr>
              <w:t>Third Quarter 2007</w:t>
            </w:r>
          </w:p>
        </w:tc>
        <w:tc>
          <w:tcPr>
            <w:tcW w:w="3620" w:type="dxa"/>
            <w:vAlign w:val="bottom"/>
          </w:tcPr>
          <w:p>
            <w:pPr>
              <w:jc w:val="right"/>
              <w:ind w:right="412"/>
              <w:spacing w:after="0"/>
              <w:rPr>
                <w:sz w:val="20"/>
                <w:szCs w:val="20"/>
                <w:color w:val="auto"/>
              </w:rPr>
            </w:pPr>
            <w:r>
              <w:rPr>
                <w:rFonts w:ascii="Arial" w:cs="Arial" w:eastAsia="Arial" w:hAnsi="Arial"/>
                <w:sz w:val="18"/>
                <w:szCs w:val="18"/>
                <w:color w:val="auto"/>
              </w:rPr>
              <w:t>1.87</w:t>
            </w:r>
          </w:p>
        </w:tc>
        <w:tc>
          <w:tcPr>
            <w:tcW w:w="1260" w:type="dxa"/>
            <w:vAlign w:val="bottom"/>
          </w:tcPr>
          <w:p>
            <w:pPr>
              <w:jc w:val="right"/>
              <w:ind w:right="392"/>
              <w:spacing w:after="0"/>
              <w:rPr>
                <w:sz w:val="20"/>
                <w:szCs w:val="20"/>
                <w:color w:val="auto"/>
              </w:rPr>
            </w:pPr>
            <w:r>
              <w:rPr>
                <w:rFonts w:ascii="Arial" w:cs="Arial" w:eastAsia="Arial" w:hAnsi="Arial"/>
                <w:sz w:val="18"/>
                <w:szCs w:val="18"/>
                <w:color w:val="auto"/>
              </w:rPr>
              <w:t>1.20</w:t>
            </w:r>
          </w:p>
        </w:tc>
        <w:tc>
          <w:tcPr>
            <w:tcW w:w="1240" w:type="dxa"/>
            <w:vAlign w:val="bottom"/>
          </w:tcPr>
          <w:p>
            <w:pPr>
              <w:jc w:val="right"/>
              <w:ind w:right="372"/>
              <w:spacing w:after="0"/>
              <w:rPr>
                <w:sz w:val="20"/>
                <w:szCs w:val="20"/>
                <w:color w:val="auto"/>
              </w:rPr>
            </w:pPr>
            <w:r>
              <w:rPr>
                <w:rFonts w:ascii="Arial" w:cs="Arial" w:eastAsia="Arial" w:hAnsi="Arial"/>
                <w:sz w:val="18"/>
                <w:szCs w:val="18"/>
                <w:color w:val="auto"/>
              </w:rPr>
              <w:t>7.97</w:t>
            </w:r>
          </w:p>
        </w:tc>
        <w:tc>
          <w:tcPr>
            <w:tcW w:w="980" w:type="dxa"/>
            <w:vAlign w:val="bottom"/>
          </w:tcPr>
          <w:p>
            <w:pPr>
              <w:jc w:val="right"/>
              <w:ind w:right="132"/>
              <w:spacing w:after="0"/>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Second Quarter 2007</w:t>
            </w:r>
          </w:p>
        </w:tc>
        <w:tc>
          <w:tcPr>
            <w:tcW w:w="362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1.94</w:t>
            </w:r>
          </w:p>
        </w:tc>
        <w:tc>
          <w:tcPr>
            <w:tcW w:w="126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rPr>
              <w:t>1.42</w:t>
            </w:r>
          </w:p>
        </w:tc>
        <w:tc>
          <w:tcPr>
            <w:tcW w:w="124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7.63</w:t>
            </w:r>
          </w:p>
        </w:tc>
        <w:tc>
          <w:tcPr>
            <w:tcW w:w="9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6.20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3"/>
          </w:tcPr>
          <w:p>
            <w:pPr>
              <w:spacing w:after="0"/>
              <w:rPr>
                <w:sz w:val="20"/>
                <w:szCs w:val="20"/>
                <w:color w:val="auto"/>
              </w:rPr>
            </w:pPr>
            <w:r>
              <w:rPr>
                <w:rFonts w:ascii="Arial" w:cs="Arial" w:eastAsia="Arial" w:hAnsi="Arial"/>
                <w:sz w:val="18"/>
                <w:szCs w:val="18"/>
                <w:color w:val="auto"/>
              </w:rPr>
              <w:t>First quarter 2007</w:t>
            </w:r>
          </w:p>
        </w:tc>
        <w:tc>
          <w:tcPr>
            <w:tcW w:w="3620" w:type="dxa"/>
            <w:vAlign w:val="bottom"/>
          </w:tcPr>
          <w:p>
            <w:pPr>
              <w:jc w:val="right"/>
              <w:ind w:right="412"/>
              <w:spacing w:after="0"/>
              <w:rPr>
                <w:sz w:val="20"/>
                <w:szCs w:val="20"/>
                <w:color w:val="auto"/>
              </w:rPr>
            </w:pPr>
            <w:r>
              <w:rPr>
                <w:rFonts w:ascii="Arial" w:cs="Arial" w:eastAsia="Arial" w:hAnsi="Arial"/>
                <w:sz w:val="18"/>
                <w:szCs w:val="18"/>
                <w:color w:val="auto"/>
              </w:rPr>
              <w:t>2.08</w:t>
            </w:r>
          </w:p>
        </w:tc>
        <w:tc>
          <w:tcPr>
            <w:tcW w:w="1260" w:type="dxa"/>
            <w:vAlign w:val="bottom"/>
          </w:tcPr>
          <w:p>
            <w:pPr>
              <w:jc w:val="right"/>
              <w:ind w:right="392"/>
              <w:spacing w:after="0"/>
              <w:rPr>
                <w:sz w:val="20"/>
                <w:szCs w:val="20"/>
                <w:color w:val="auto"/>
              </w:rPr>
            </w:pPr>
            <w:r>
              <w:rPr>
                <w:rFonts w:ascii="Arial" w:cs="Arial" w:eastAsia="Arial" w:hAnsi="Arial"/>
                <w:sz w:val="18"/>
                <w:szCs w:val="18"/>
                <w:color w:val="auto"/>
              </w:rPr>
              <w:t>1.64</w:t>
            </w:r>
          </w:p>
        </w:tc>
        <w:tc>
          <w:tcPr>
            <w:tcW w:w="1240" w:type="dxa"/>
            <w:vAlign w:val="bottom"/>
          </w:tcPr>
          <w:p>
            <w:pPr>
              <w:jc w:val="right"/>
              <w:ind w:right="372"/>
              <w:spacing w:after="0"/>
              <w:rPr>
                <w:sz w:val="20"/>
                <w:szCs w:val="20"/>
                <w:color w:val="auto"/>
              </w:rPr>
            </w:pPr>
            <w:r>
              <w:rPr>
                <w:rFonts w:ascii="Arial" w:cs="Arial" w:eastAsia="Arial" w:hAnsi="Arial"/>
                <w:sz w:val="18"/>
                <w:szCs w:val="18"/>
                <w:color w:val="auto"/>
              </w:rPr>
              <w:t>8.88</w:t>
            </w:r>
          </w:p>
        </w:tc>
        <w:tc>
          <w:tcPr>
            <w:tcW w:w="980" w:type="dxa"/>
            <w:vAlign w:val="bottom"/>
          </w:tcPr>
          <w:p>
            <w:pPr>
              <w:jc w:val="right"/>
              <w:ind w:right="132"/>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Fourth quarter 2006</w:t>
            </w:r>
          </w:p>
        </w:tc>
        <w:tc>
          <w:tcPr>
            <w:tcW w:w="362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2.18</w:t>
            </w:r>
          </w:p>
        </w:tc>
        <w:tc>
          <w:tcPr>
            <w:tcW w:w="126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rPr>
              <w:t>1.41</w:t>
            </w:r>
          </w:p>
        </w:tc>
        <w:tc>
          <w:tcPr>
            <w:tcW w:w="124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9.14</w:t>
            </w:r>
          </w:p>
        </w:tc>
        <w:tc>
          <w:tcPr>
            <w:tcW w:w="9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6.16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3"/>
          </w:tcPr>
          <w:p>
            <w:pPr>
              <w:spacing w:after="0"/>
              <w:rPr>
                <w:sz w:val="20"/>
                <w:szCs w:val="20"/>
                <w:color w:val="auto"/>
              </w:rPr>
            </w:pPr>
            <w:r>
              <w:rPr>
                <w:rFonts w:ascii="Arial" w:cs="Arial" w:eastAsia="Arial" w:hAnsi="Arial"/>
                <w:sz w:val="18"/>
                <w:szCs w:val="18"/>
                <w:color w:val="auto"/>
              </w:rPr>
              <w:t>Third quarter 2006</w:t>
            </w:r>
          </w:p>
        </w:tc>
        <w:tc>
          <w:tcPr>
            <w:tcW w:w="3620" w:type="dxa"/>
            <w:vAlign w:val="bottom"/>
          </w:tcPr>
          <w:p>
            <w:pPr>
              <w:jc w:val="right"/>
              <w:ind w:right="412"/>
              <w:spacing w:after="0"/>
              <w:rPr>
                <w:sz w:val="20"/>
                <w:szCs w:val="20"/>
                <w:color w:val="auto"/>
              </w:rPr>
            </w:pPr>
            <w:r>
              <w:rPr>
                <w:rFonts w:ascii="Arial" w:cs="Arial" w:eastAsia="Arial" w:hAnsi="Arial"/>
                <w:sz w:val="18"/>
                <w:szCs w:val="18"/>
                <w:color w:val="auto"/>
              </w:rPr>
              <w:t>1.51</w:t>
            </w:r>
          </w:p>
        </w:tc>
        <w:tc>
          <w:tcPr>
            <w:tcW w:w="1260" w:type="dxa"/>
            <w:vAlign w:val="bottom"/>
          </w:tcPr>
          <w:p>
            <w:pPr>
              <w:jc w:val="right"/>
              <w:ind w:right="392"/>
              <w:spacing w:after="0"/>
              <w:rPr>
                <w:sz w:val="20"/>
                <w:szCs w:val="20"/>
                <w:color w:val="auto"/>
              </w:rPr>
            </w:pPr>
            <w:r>
              <w:rPr>
                <w:rFonts w:ascii="Arial" w:cs="Arial" w:eastAsia="Arial" w:hAnsi="Arial"/>
                <w:sz w:val="18"/>
                <w:szCs w:val="18"/>
                <w:color w:val="auto"/>
              </w:rPr>
              <w:t>1.24</w:t>
            </w:r>
          </w:p>
        </w:tc>
        <w:tc>
          <w:tcPr>
            <w:tcW w:w="1240" w:type="dxa"/>
            <w:vAlign w:val="bottom"/>
          </w:tcPr>
          <w:p>
            <w:pPr>
              <w:jc w:val="right"/>
              <w:ind w:right="372"/>
              <w:spacing w:after="0"/>
              <w:rPr>
                <w:sz w:val="20"/>
                <w:szCs w:val="20"/>
                <w:color w:val="auto"/>
              </w:rPr>
            </w:pPr>
            <w:r>
              <w:rPr>
                <w:rFonts w:ascii="Arial" w:cs="Arial" w:eastAsia="Arial" w:hAnsi="Arial"/>
                <w:sz w:val="18"/>
                <w:szCs w:val="18"/>
                <w:color w:val="auto"/>
              </w:rPr>
              <w:t>6.69</w:t>
            </w:r>
          </w:p>
        </w:tc>
        <w:tc>
          <w:tcPr>
            <w:tcW w:w="980" w:type="dxa"/>
            <w:vAlign w:val="bottom"/>
          </w:tcPr>
          <w:p>
            <w:pPr>
              <w:jc w:val="right"/>
              <w:ind w:right="132"/>
              <w:spacing w:after="0"/>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Second quarter 2006</w:t>
            </w:r>
          </w:p>
        </w:tc>
        <w:tc>
          <w:tcPr>
            <w:tcW w:w="362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1.75</w:t>
            </w:r>
          </w:p>
        </w:tc>
        <w:tc>
          <w:tcPr>
            <w:tcW w:w="126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rPr>
              <w:t>1.22</w:t>
            </w:r>
          </w:p>
        </w:tc>
        <w:tc>
          <w:tcPr>
            <w:tcW w:w="124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7.91</w:t>
            </w:r>
          </w:p>
        </w:tc>
        <w:tc>
          <w:tcPr>
            <w:tcW w:w="9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3"/>
          </w:tcPr>
          <w:p>
            <w:pPr>
              <w:spacing w:after="0"/>
              <w:rPr>
                <w:sz w:val="20"/>
                <w:szCs w:val="20"/>
                <w:color w:val="auto"/>
              </w:rPr>
            </w:pPr>
            <w:r>
              <w:rPr>
                <w:rFonts w:ascii="Arial" w:cs="Arial" w:eastAsia="Arial" w:hAnsi="Arial"/>
                <w:sz w:val="18"/>
                <w:szCs w:val="18"/>
                <w:color w:val="auto"/>
              </w:rPr>
              <w:t>First quarter 2006</w:t>
            </w:r>
          </w:p>
        </w:tc>
        <w:tc>
          <w:tcPr>
            <w:tcW w:w="3620" w:type="dxa"/>
            <w:vAlign w:val="bottom"/>
          </w:tcPr>
          <w:p>
            <w:pPr>
              <w:jc w:val="right"/>
              <w:ind w:right="412"/>
              <w:spacing w:after="0"/>
              <w:rPr>
                <w:sz w:val="20"/>
                <w:szCs w:val="20"/>
                <w:color w:val="auto"/>
              </w:rPr>
            </w:pPr>
            <w:r>
              <w:rPr>
                <w:rFonts w:ascii="Arial" w:cs="Arial" w:eastAsia="Arial" w:hAnsi="Arial"/>
                <w:sz w:val="18"/>
                <w:szCs w:val="18"/>
                <w:color w:val="auto"/>
              </w:rPr>
              <w:t>1.93</w:t>
            </w:r>
          </w:p>
        </w:tc>
        <w:tc>
          <w:tcPr>
            <w:tcW w:w="1260" w:type="dxa"/>
            <w:vAlign w:val="bottom"/>
          </w:tcPr>
          <w:p>
            <w:pPr>
              <w:jc w:val="right"/>
              <w:ind w:right="392"/>
              <w:spacing w:after="0"/>
              <w:rPr>
                <w:sz w:val="20"/>
                <w:szCs w:val="20"/>
                <w:color w:val="auto"/>
              </w:rPr>
            </w:pPr>
            <w:r>
              <w:rPr>
                <w:rFonts w:ascii="Arial" w:cs="Arial" w:eastAsia="Arial" w:hAnsi="Arial"/>
                <w:sz w:val="18"/>
                <w:szCs w:val="18"/>
                <w:color w:val="auto"/>
              </w:rPr>
              <w:t>1.22</w:t>
            </w:r>
          </w:p>
        </w:tc>
        <w:tc>
          <w:tcPr>
            <w:tcW w:w="1240" w:type="dxa"/>
            <w:vAlign w:val="bottom"/>
          </w:tcPr>
          <w:p>
            <w:pPr>
              <w:jc w:val="right"/>
              <w:ind w:right="372"/>
              <w:spacing w:after="0"/>
              <w:rPr>
                <w:sz w:val="20"/>
                <w:szCs w:val="20"/>
                <w:color w:val="auto"/>
              </w:rPr>
            </w:pPr>
            <w:r>
              <w:rPr>
                <w:rFonts w:ascii="Arial" w:cs="Arial" w:eastAsia="Arial" w:hAnsi="Arial"/>
                <w:sz w:val="18"/>
                <w:szCs w:val="18"/>
                <w:color w:val="auto"/>
              </w:rPr>
              <w:t>8.54</w:t>
            </w:r>
          </w:p>
        </w:tc>
        <w:tc>
          <w:tcPr>
            <w:tcW w:w="980" w:type="dxa"/>
            <w:vAlign w:val="bottom"/>
          </w:tcPr>
          <w:p>
            <w:pPr>
              <w:jc w:val="right"/>
              <w:ind w:right="132"/>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Fourth quarter 2005</w:t>
            </w:r>
          </w:p>
        </w:tc>
        <w:tc>
          <w:tcPr>
            <w:tcW w:w="362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1.80</w:t>
            </w:r>
          </w:p>
        </w:tc>
        <w:tc>
          <w:tcPr>
            <w:tcW w:w="126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rPr>
              <w:t>1.02</w:t>
            </w:r>
          </w:p>
        </w:tc>
        <w:tc>
          <w:tcPr>
            <w:tcW w:w="124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8.30</w:t>
            </w:r>
          </w:p>
        </w:tc>
        <w:tc>
          <w:tcPr>
            <w:tcW w:w="9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bl>
    <w:p>
      <w:pPr>
        <w:sectPr>
          <w:pgSz w:w="11900" w:h="16884" w:orient="portrait"/>
          <w:cols w:equalWidth="0" w:num="1">
            <w:col w:w="11420"/>
          </w:cols>
          <w:pgMar w:left="240" w:top="374" w:right="239" w:bottom="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200" w:type="dxa"/>
            <w:vAlign w:val="bottom"/>
            <w:gridSpan w:val="3"/>
          </w:tcPr>
          <w:p>
            <w:pPr>
              <w:spacing w:after="0"/>
              <w:rPr>
                <w:sz w:val="20"/>
                <w:szCs w:val="20"/>
                <w:color w:val="auto"/>
              </w:rPr>
            </w:pPr>
            <w:r>
              <w:rPr>
                <w:rFonts w:ascii="Arial" w:cs="Arial" w:eastAsia="Arial" w:hAnsi="Arial"/>
                <w:sz w:val="18"/>
                <w:szCs w:val="18"/>
                <w:color w:val="auto"/>
              </w:rPr>
              <w:t>Third quarter 2005</w:t>
            </w:r>
          </w:p>
        </w:tc>
        <w:tc>
          <w:tcPr>
            <w:tcW w:w="3740" w:type="dxa"/>
            <w:vAlign w:val="bottom"/>
          </w:tcPr>
          <w:p>
            <w:pPr>
              <w:jc w:val="right"/>
              <w:ind w:right="412"/>
              <w:spacing w:after="0"/>
              <w:rPr>
                <w:sz w:val="20"/>
                <w:szCs w:val="20"/>
                <w:color w:val="auto"/>
              </w:rPr>
            </w:pPr>
            <w:r>
              <w:rPr>
                <w:rFonts w:ascii="Arial" w:cs="Arial" w:eastAsia="Arial" w:hAnsi="Arial"/>
                <w:sz w:val="18"/>
                <w:szCs w:val="18"/>
                <w:color w:val="auto"/>
              </w:rPr>
              <w:t>1.40</w:t>
            </w:r>
          </w:p>
        </w:tc>
        <w:tc>
          <w:tcPr>
            <w:tcW w:w="1200" w:type="dxa"/>
            <w:vAlign w:val="bottom"/>
          </w:tcPr>
          <w:p>
            <w:pPr>
              <w:jc w:val="right"/>
              <w:ind w:right="332"/>
              <w:spacing w:after="0"/>
              <w:rPr>
                <w:sz w:val="20"/>
                <w:szCs w:val="20"/>
                <w:color w:val="auto"/>
              </w:rPr>
            </w:pPr>
            <w:r>
              <w:rPr>
                <w:rFonts w:ascii="Arial" w:cs="Arial" w:eastAsia="Arial" w:hAnsi="Arial"/>
                <w:sz w:val="18"/>
                <w:szCs w:val="18"/>
                <w:color w:val="auto"/>
              </w:rPr>
              <w:t>0.92</w:t>
            </w:r>
          </w:p>
        </w:tc>
        <w:tc>
          <w:tcPr>
            <w:tcW w:w="1260" w:type="dxa"/>
            <w:vAlign w:val="bottom"/>
          </w:tcPr>
          <w:p>
            <w:pPr>
              <w:jc w:val="right"/>
              <w:ind w:right="332"/>
              <w:spacing w:after="0"/>
              <w:rPr>
                <w:sz w:val="20"/>
                <w:szCs w:val="20"/>
                <w:color w:val="auto"/>
              </w:rPr>
            </w:pPr>
            <w:r>
              <w:rPr>
                <w:rFonts w:ascii="Arial" w:cs="Arial" w:eastAsia="Arial" w:hAnsi="Arial"/>
                <w:sz w:val="18"/>
                <w:szCs w:val="18"/>
                <w:color w:val="auto"/>
              </w:rPr>
              <w:t>6.04</w:t>
            </w:r>
          </w:p>
        </w:tc>
        <w:tc>
          <w:tcPr>
            <w:tcW w:w="1020" w:type="dxa"/>
            <w:vAlign w:val="bottom"/>
          </w:tcPr>
          <w:p>
            <w:pPr>
              <w:jc w:val="right"/>
              <w:ind w:right="132"/>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45"/>
        </w:trPr>
        <w:tc>
          <w:tcPr>
            <w:tcW w:w="20" w:type="dxa"/>
            <w:vAlign w:val="bottom"/>
            <w:vMerge w:val="restart"/>
          </w:tcPr>
          <w:p>
            <w:pPr>
              <w:spacing w:after="0"/>
              <w:rPr>
                <w:sz w:val="21"/>
                <w:szCs w:val="21"/>
                <w:color w:val="auto"/>
              </w:rPr>
            </w:pPr>
          </w:p>
        </w:tc>
        <w:tc>
          <w:tcPr>
            <w:tcW w:w="1140" w:type="dxa"/>
            <w:vAlign w:val="bottom"/>
          </w:tcPr>
          <w:p>
            <w:pPr>
              <w:spacing w:after="0"/>
              <w:rPr>
                <w:sz w:val="21"/>
                <w:szCs w:val="21"/>
                <w:color w:val="auto"/>
              </w:rPr>
            </w:pPr>
          </w:p>
        </w:tc>
        <w:tc>
          <w:tcPr>
            <w:tcW w:w="3040" w:type="dxa"/>
            <w:vAlign w:val="bottom"/>
          </w:tcPr>
          <w:p>
            <w:pPr>
              <w:spacing w:after="0"/>
              <w:rPr>
                <w:sz w:val="21"/>
                <w:szCs w:val="21"/>
                <w:color w:val="auto"/>
              </w:rPr>
            </w:pPr>
          </w:p>
        </w:tc>
        <w:tc>
          <w:tcPr>
            <w:tcW w:w="37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18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Last Five Years:</w:t>
            </w:r>
          </w:p>
        </w:tc>
        <w:tc>
          <w:tcPr>
            <w:tcW w:w="37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2007</w:t>
            </w:r>
          </w:p>
        </w:tc>
        <w:tc>
          <w:tcPr>
            <w:tcW w:w="3040" w:type="dxa"/>
            <w:vAlign w:val="bottom"/>
            <w:tcBorders>
              <w:top w:val="single" w:sz="8" w:color="CCEEFF"/>
            </w:tcBorders>
          </w:tcPr>
          <w:p>
            <w:pPr>
              <w:spacing w:after="0"/>
              <w:rPr>
                <w:sz w:val="18"/>
                <w:szCs w:val="18"/>
                <w:color w:val="auto"/>
              </w:rPr>
            </w:pPr>
          </w:p>
        </w:tc>
        <w:tc>
          <w:tcPr>
            <w:tcW w:w="3740" w:type="dxa"/>
            <w:vAlign w:val="bottom"/>
            <w:tcBorders>
              <w:top w:val="single" w:sz="8" w:color="CCEEFF"/>
            </w:tcBorders>
          </w:tcPr>
          <w:p>
            <w:pPr>
              <w:jc w:val="right"/>
              <w:ind w:right="412"/>
              <w:spacing w:after="0"/>
              <w:rPr>
                <w:sz w:val="20"/>
                <w:szCs w:val="20"/>
                <w:color w:val="auto"/>
              </w:rPr>
            </w:pPr>
            <w:r>
              <w:rPr>
                <w:rFonts w:ascii="Arial" w:cs="Arial" w:eastAsia="Arial" w:hAnsi="Arial"/>
                <w:sz w:val="18"/>
                <w:szCs w:val="18"/>
                <w:color w:val="auto"/>
              </w:rPr>
              <w:t>2.08</w:t>
            </w:r>
          </w:p>
        </w:tc>
        <w:tc>
          <w:tcPr>
            <w:tcW w:w="1200" w:type="dxa"/>
            <w:vAlign w:val="bottom"/>
            <w:tcBorders>
              <w:top w:val="single" w:sz="8" w:color="CCEEFF"/>
            </w:tcBorders>
          </w:tcPr>
          <w:p>
            <w:pPr>
              <w:jc w:val="right"/>
              <w:ind w:right="332"/>
              <w:spacing w:after="0"/>
              <w:rPr>
                <w:sz w:val="20"/>
                <w:szCs w:val="20"/>
                <w:color w:val="auto"/>
              </w:rPr>
            </w:pPr>
            <w:r>
              <w:rPr>
                <w:rFonts w:ascii="Arial" w:cs="Arial" w:eastAsia="Arial" w:hAnsi="Arial"/>
                <w:sz w:val="18"/>
                <w:szCs w:val="18"/>
                <w:color w:val="auto"/>
              </w:rPr>
              <w:t>1.2</w:t>
            </w:r>
          </w:p>
        </w:tc>
        <w:tc>
          <w:tcPr>
            <w:tcW w:w="1260" w:type="dxa"/>
            <w:vAlign w:val="bottom"/>
            <w:tcBorders>
              <w:top w:val="single" w:sz="8" w:color="CCEEFF"/>
            </w:tcBorders>
          </w:tcPr>
          <w:p>
            <w:pPr>
              <w:jc w:val="right"/>
              <w:ind w:right="332"/>
              <w:spacing w:after="0"/>
              <w:rPr>
                <w:sz w:val="20"/>
                <w:szCs w:val="20"/>
                <w:color w:val="auto"/>
              </w:rPr>
            </w:pPr>
            <w:r>
              <w:rPr>
                <w:rFonts w:ascii="Arial" w:cs="Arial" w:eastAsia="Arial" w:hAnsi="Arial"/>
                <w:sz w:val="18"/>
                <w:szCs w:val="18"/>
                <w:color w:val="auto"/>
              </w:rPr>
              <w:t>8.88</w:t>
            </w:r>
          </w:p>
        </w:tc>
        <w:tc>
          <w:tcPr>
            <w:tcW w:w="1020" w:type="dxa"/>
            <w:vAlign w:val="bottom"/>
            <w:tcBorders>
              <w:top w:val="single" w:sz="8" w:color="CCEEFF"/>
            </w:tcBorders>
          </w:tcPr>
          <w:p>
            <w:pPr>
              <w:jc w:val="right"/>
              <w:ind w:right="132"/>
              <w:spacing w:after="0"/>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2006</w:t>
            </w:r>
          </w:p>
        </w:tc>
        <w:tc>
          <w:tcPr>
            <w:tcW w:w="3040" w:type="dxa"/>
            <w:vAlign w:val="bottom"/>
            <w:shd w:val="clear" w:color="auto" w:fill="CCEEFF"/>
          </w:tcPr>
          <w:p>
            <w:pPr>
              <w:spacing w:after="0"/>
              <w:rPr>
                <w:sz w:val="18"/>
                <w:szCs w:val="18"/>
                <w:color w:val="auto"/>
              </w:rPr>
            </w:pPr>
          </w:p>
        </w:tc>
        <w:tc>
          <w:tcPr>
            <w:tcW w:w="374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2.18</w:t>
            </w:r>
          </w:p>
        </w:tc>
        <w:tc>
          <w:tcPr>
            <w:tcW w:w="120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1.22</w:t>
            </w:r>
          </w:p>
        </w:tc>
        <w:tc>
          <w:tcPr>
            <w:tcW w:w="126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9.14</w:t>
            </w:r>
          </w:p>
        </w:tc>
        <w:tc>
          <w:tcPr>
            <w:tcW w:w="10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2005</w:t>
            </w:r>
          </w:p>
        </w:tc>
        <w:tc>
          <w:tcPr>
            <w:tcW w:w="3040" w:type="dxa"/>
            <w:vAlign w:val="bottom"/>
          </w:tcPr>
          <w:p>
            <w:pPr>
              <w:spacing w:after="0"/>
              <w:rPr>
                <w:sz w:val="18"/>
                <w:szCs w:val="18"/>
                <w:color w:val="auto"/>
              </w:rPr>
            </w:pPr>
          </w:p>
        </w:tc>
        <w:tc>
          <w:tcPr>
            <w:tcW w:w="3740" w:type="dxa"/>
            <w:vAlign w:val="bottom"/>
          </w:tcPr>
          <w:p>
            <w:pPr>
              <w:jc w:val="right"/>
              <w:ind w:right="412"/>
              <w:spacing w:after="0"/>
              <w:rPr>
                <w:sz w:val="20"/>
                <w:szCs w:val="20"/>
                <w:color w:val="auto"/>
              </w:rPr>
            </w:pPr>
            <w:r>
              <w:rPr>
                <w:rFonts w:ascii="Arial" w:cs="Arial" w:eastAsia="Arial" w:hAnsi="Arial"/>
                <w:sz w:val="18"/>
                <w:szCs w:val="18"/>
                <w:color w:val="auto"/>
              </w:rPr>
              <w:t>2.38</w:t>
            </w:r>
          </w:p>
        </w:tc>
        <w:tc>
          <w:tcPr>
            <w:tcW w:w="1200" w:type="dxa"/>
            <w:vAlign w:val="bottom"/>
          </w:tcPr>
          <w:p>
            <w:pPr>
              <w:jc w:val="right"/>
              <w:ind w:right="332"/>
              <w:spacing w:after="0"/>
              <w:rPr>
                <w:sz w:val="20"/>
                <w:szCs w:val="20"/>
                <w:color w:val="auto"/>
              </w:rPr>
            </w:pPr>
            <w:r>
              <w:rPr>
                <w:rFonts w:ascii="Arial" w:cs="Arial" w:eastAsia="Arial" w:hAnsi="Arial"/>
                <w:sz w:val="18"/>
                <w:szCs w:val="18"/>
                <w:color w:val="auto"/>
              </w:rPr>
              <w:t>0.92</w:t>
            </w:r>
          </w:p>
        </w:tc>
        <w:tc>
          <w:tcPr>
            <w:tcW w:w="1260" w:type="dxa"/>
            <w:vAlign w:val="bottom"/>
          </w:tcPr>
          <w:p>
            <w:pPr>
              <w:jc w:val="right"/>
              <w:ind w:right="332"/>
              <w:spacing w:after="0"/>
              <w:rPr>
                <w:sz w:val="20"/>
                <w:szCs w:val="20"/>
                <w:color w:val="auto"/>
              </w:rPr>
            </w:pPr>
            <w:r>
              <w:rPr>
                <w:rFonts w:ascii="Arial" w:cs="Arial" w:eastAsia="Arial" w:hAnsi="Arial"/>
                <w:sz w:val="18"/>
                <w:szCs w:val="18"/>
                <w:color w:val="auto"/>
              </w:rPr>
              <w:t>10.30</w:t>
            </w:r>
          </w:p>
        </w:tc>
        <w:tc>
          <w:tcPr>
            <w:tcW w:w="1020" w:type="dxa"/>
            <w:vAlign w:val="bottom"/>
          </w:tcPr>
          <w:p>
            <w:pPr>
              <w:jc w:val="right"/>
              <w:ind w:right="132"/>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2004</w:t>
            </w:r>
          </w:p>
        </w:tc>
        <w:tc>
          <w:tcPr>
            <w:tcW w:w="3040" w:type="dxa"/>
            <w:vAlign w:val="bottom"/>
            <w:shd w:val="clear" w:color="auto" w:fill="CCEEFF"/>
          </w:tcPr>
          <w:p>
            <w:pPr>
              <w:spacing w:after="0"/>
              <w:rPr>
                <w:sz w:val="18"/>
                <w:szCs w:val="18"/>
                <w:color w:val="auto"/>
              </w:rPr>
            </w:pPr>
          </w:p>
        </w:tc>
        <w:tc>
          <w:tcPr>
            <w:tcW w:w="374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10.80</w:t>
            </w:r>
          </w:p>
        </w:tc>
        <w:tc>
          <w:tcPr>
            <w:tcW w:w="120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1.62</w:t>
            </w:r>
          </w:p>
        </w:tc>
        <w:tc>
          <w:tcPr>
            <w:tcW w:w="126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46.39</w:t>
            </w:r>
          </w:p>
        </w:tc>
        <w:tc>
          <w:tcPr>
            <w:tcW w:w="10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7.70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2003</w:t>
            </w:r>
          </w:p>
        </w:tc>
        <w:tc>
          <w:tcPr>
            <w:tcW w:w="3040" w:type="dxa"/>
            <w:vAlign w:val="bottom"/>
          </w:tcPr>
          <w:p>
            <w:pPr>
              <w:spacing w:after="0"/>
              <w:rPr>
                <w:sz w:val="19"/>
                <w:szCs w:val="19"/>
                <w:color w:val="auto"/>
              </w:rPr>
            </w:pPr>
          </w:p>
        </w:tc>
        <w:tc>
          <w:tcPr>
            <w:tcW w:w="3740" w:type="dxa"/>
            <w:vAlign w:val="bottom"/>
          </w:tcPr>
          <w:p>
            <w:pPr>
              <w:jc w:val="right"/>
              <w:ind w:right="412"/>
              <w:spacing w:after="0"/>
              <w:rPr>
                <w:sz w:val="20"/>
                <w:szCs w:val="20"/>
                <w:color w:val="auto"/>
              </w:rPr>
            </w:pPr>
            <w:r>
              <w:rPr>
                <w:rFonts w:ascii="Arial" w:cs="Arial" w:eastAsia="Arial" w:hAnsi="Arial"/>
                <w:sz w:val="18"/>
                <w:szCs w:val="18"/>
                <w:color w:val="auto"/>
              </w:rPr>
              <w:t>7.90</w:t>
            </w:r>
          </w:p>
        </w:tc>
        <w:tc>
          <w:tcPr>
            <w:tcW w:w="1200" w:type="dxa"/>
            <w:vAlign w:val="bottom"/>
          </w:tcPr>
          <w:p>
            <w:pPr>
              <w:jc w:val="right"/>
              <w:ind w:right="332"/>
              <w:spacing w:after="0"/>
              <w:rPr>
                <w:sz w:val="20"/>
                <w:szCs w:val="20"/>
                <w:color w:val="auto"/>
              </w:rPr>
            </w:pPr>
            <w:r>
              <w:rPr>
                <w:rFonts w:ascii="Arial" w:cs="Arial" w:eastAsia="Arial" w:hAnsi="Arial"/>
                <w:sz w:val="18"/>
                <w:szCs w:val="18"/>
                <w:color w:val="auto"/>
              </w:rPr>
              <w:t>2.16</w:t>
            </w:r>
          </w:p>
        </w:tc>
        <w:tc>
          <w:tcPr>
            <w:tcW w:w="1260" w:type="dxa"/>
            <w:vAlign w:val="bottom"/>
          </w:tcPr>
          <w:p>
            <w:pPr>
              <w:jc w:val="right"/>
              <w:ind w:right="332"/>
              <w:spacing w:after="0"/>
              <w:rPr>
                <w:sz w:val="20"/>
                <w:szCs w:val="20"/>
                <w:color w:val="auto"/>
              </w:rPr>
            </w:pPr>
            <w:r>
              <w:rPr>
                <w:rFonts w:ascii="Arial" w:cs="Arial" w:eastAsia="Arial" w:hAnsi="Arial"/>
                <w:sz w:val="18"/>
                <w:szCs w:val="18"/>
                <w:color w:val="auto"/>
              </w:rPr>
              <w:t>35.00</w:t>
            </w:r>
          </w:p>
        </w:tc>
        <w:tc>
          <w:tcPr>
            <w:tcW w:w="1020" w:type="dxa"/>
            <w:vAlign w:val="bottom"/>
          </w:tcPr>
          <w:p>
            <w:pPr>
              <w:jc w:val="right"/>
              <w:ind w:right="132"/>
              <w:spacing w:after="0"/>
              <w:rPr>
                <w:sz w:val="20"/>
                <w:szCs w:val="20"/>
                <w:color w:val="auto"/>
              </w:rPr>
            </w:pPr>
            <w:r>
              <w:rPr>
                <w:rFonts w:ascii="Arial" w:cs="Arial" w:eastAsia="Arial" w:hAnsi="Arial"/>
                <w:sz w:val="18"/>
                <w:szCs w:val="18"/>
                <w:color w:val="auto"/>
              </w:rPr>
              <w:t>10.12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4" w:lineRule="exact"/>
        <w:rPr>
          <w:sz w:val="20"/>
          <w:szCs w:val="20"/>
          <w:color w:val="auto"/>
        </w:rPr>
      </w:pPr>
    </w:p>
    <w:p>
      <w:pPr>
        <w:ind w:right="680" w:firstLine="351"/>
        <w:spacing w:after="0" w:line="268" w:lineRule="auto"/>
        <w:rPr>
          <w:sz w:val="20"/>
          <w:szCs w:val="20"/>
          <w:color w:val="auto"/>
        </w:rPr>
      </w:pPr>
      <w:r>
        <w:rPr>
          <w:rFonts w:ascii="Arial" w:cs="Arial" w:eastAsia="Arial" w:hAnsi="Arial"/>
          <w:sz w:val="18"/>
          <w:szCs w:val="18"/>
          <w:color w:val="auto"/>
        </w:rPr>
        <w:t>On January 17, 2008, the last reported sale price of the ordinary shares was $1.13 on the Nasdaq Global Market and NIS 4.19 on the Tel Aviv Stock Exchange.</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312" w:lineRule="exact"/>
        <w:rPr>
          <w:sz w:val="20"/>
          <w:szCs w:val="20"/>
          <w:color w:val="auto"/>
        </w:rPr>
      </w:pPr>
    </w:p>
    <w:p>
      <w:pPr>
        <w:ind w:right="260" w:firstLine="395"/>
        <w:spacing w:after="0" w:line="256" w:lineRule="auto"/>
        <w:rPr>
          <w:sz w:val="20"/>
          <w:szCs w:val="20"/>
          <w:color w:val="auto"/>
        </w:rPr>
      </w:pPr>
      <w:r>
        <w:rPr>
          <w:rFonts w:ascii="Arial" w:cs="Arial" w:eastAsia="Arial" w:hAnsi="Arial"/>
          <w:sz w:val="18"/>
          <w:szCs w:val="18"/>
          <w:color w:val="auto"/>
        </w:rPr>
        <w:t>Unless we state otherwise in a prospectus supplement, we will use the net proceeds from the sale of securities under this prospectus for general corporate purposes including the ramp-up of Fab 2. From time to time, we may evaluate the possibility of acquiring businesses, products, equipment tools and technologies, and we may use a portion of the proceeds as consideration for acquisitions. Until we use net proceeds for these purposes, we may invest them in interest-bearing securities.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DILUTION</w:t>
      </w:r>
    </w:p>
    <w:p>
      <w:pPr>
        <w:spacing w:after="0" w:line="312" w:lineRule="exact"/>
        <w:rPr>
          <w:sz w:val="20"/>
          <w:szCs w:val="20"/>
          <w:color w:val="auto"/>
        </w:rPr>
      </w:pPr>
    </w:p>
    <w:p>
      <w:pPr>
        <w:ind w:right="620" w:firstLine="348"/>
        <w:spacing w:after="0" w:line="268" w:lineRule="auto"/>
        <w:rPr>
          <w:sz w:val="20"/>
          <w:szCs w:val="20"/>
          <w:color w:val="auto"/>
        </w:rPr>
      </w:pPr>
      <w:r>
        <w:rPr>
          <w:rFonts w:ascii="Arial" w:cs="Arial" w:eastAsia="Arial" w:hAnsi="Arial"/>
          <w:sz w:val="18"/>
          <w:szCs w:val="18"/>
          <w:color w:val="auto"/>
        </w:rPr>
        <w:t>We will set forth in a prospectus supplement the following information regarding any material dilution of the equity interests of investors purchasing securities in an offering under this prospectus:</w:t>
      </w:r>
    </w:p>
    <w:p>
      <w:pPr>
        <w:spacing w:after="0" w:line="18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the net tangible book value per share of our equity securities before and after the offering;</w:t>
      </w:r>
    </w:p>
    <w:p>
      <w:pPr>
        <w:spacing w:after="0" w:line="1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the amount of the increase in such net tangible book value per share attributable to the cash payments made by purchasers in the offering; and</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the amount of the immediate dilution from the public offering price which will be absorbed by such purchasers.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SHARE CAPITAL</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Ordinary Shares</w:t>
      </w:r>
    </w:p>
    <w:p>
      <w:pPr>
        <w:spacing w:after="0" w:line="299" w:lineRule="exact"/>
        <w:rPr>
          <w:sz w:val="20"/>
          <w:szCs w:val="20"/>
          <w:color w:val="auto"/>
        </w:rPr>
      </w:pPr>
    </w:p>
    <w:p>
      <w:pPr>
        <w:jc w:val="both"/>
        <w:ind w:right="200" w:firstLine="351"/>
        <w:spacing w:after="0" w:line="259" w:lineRule="auto"/>
        <w:rPr>
          <w:sz w:val="20"/>
          <w:szCs w:val="20"/>
          <w:color w:val="auto"/>
        </w:rPr>
      </w:pPr>
      <w:r>
        <w:rPr>
          <w:rFonts w:ascii="Arial" w:cs="Arial" w:eastAsia="Arial" w:hAnsi="Arial"/>
          <w:sz w:val="18"/>
          <w:szCs w:val="18"/>
          <w:color w:val="auto"/>
        </w:rPr>
        <w:t>Our authorized share capital consists of 800 million ordinary shares, par value NIS 1.00 per share. Under our articles of association, the ordinary shares do not have preemptive rights. We may from time to time, by approval of a majority of our shareholders, increase our authorized share capital. All ordinary shares are registered shares, rather than bearer shares.</w:t>
      </w:r>
    </w:p>
    <w:p>
      <w:pPr>
        <w:spacing w:after="0" w:line="194" w:lineRule="exact"/>
        <w:rPr>
          <w:sz w:val="20"/>
          <w:szCs w:val="20"/>
          <w:color w:val="auto"/>
        </w:rPr>
      </w:pPr>
    </w:p>
    <w:p>
      <w:pPr>
        <w:ind w:right="60" w:firstLine="348"/>
        <w:spacing w:after="0" w:line="255" w:lineRule="auto"/>
        <w:rPr>
          <w:sz w:val="20"/>
          <w:szCs w:val="20"/>
          <w:color w:val="auto"/>
        </w:rPr>
      </w:pPr>
      <w:r>
        <w:rPr>
          <w:rFonts w:ascii="Arial" w:cs="Arial" w:eastAsia="Arial" w:hAnsi="Arial"/>
          <w:sz w:val="18"/>
          <w:szCs w:val="18"/>
          <w:color w:val="auto"/>
        </w:rPr>
        <w:t>The ownership or voting rights of our ordinary shares by non-residents of Israel is not restricted in any way by our memorandum of association or articles of association. The State of Israel does not restrict in any way the ownership or voting rights of ordinary shares of Israeli entities by non-residents of Israel, except with respect to subjects of countries that are in a state of war with Israel. Our ordinary shares do not have cumulative voting rights for the election of directors. The affirmative vote of the shareholders present in person or by proxy that represent more than 50% of the voting power present in person or by proxy have the power to elect all nominees up for election to our board of directors.</w:t>
      </w:r>
    </w:p>
    <w:p>
      <w:pPr>
        <w:spacing w:after="0" w:line="197" w:lineRule="exact"/>
        <w:rPr>
          <w:sz w:val="20"/>
          <w:szCs w:val="20"/>
          <w:color w:val="auto"/>
        </w:rPr>
      </w:pPr>
    </w:p>
    <w:p>
      <w:pPr>
        <w:jc w:val="both"/>
        <w:ind w:right="80" w:firstLine="351"/>
        <w:spacing w:after="0" w:line="284" w:lineRule="auto"/>
        <w:rPr>
          <w:sz w:val="20"/>
          <w:szCs w:val="20"/>
          <w:color w:val="auto"/>
        </w:rPr>
      </w:pPr>
      <w:r>
        <w:rPr>
          <w:rFonts w:ascii="Arial" w:cs="Arial" w:eastAsia="Arial" w:hAnsi="Arial"/>
          <w:sz w:val="16"/>
          <w:szCs w:val="16"/>
          <w:color w:val="auto"/>
        </w:rPr>
        <w:t>In the event of our liquidation, after satisfaction of liabilities to creditors, our assets will be distributed to the holders of our ordinary shares in proportion to the nominal value of their respective holdings. This liquidation right may be affected by the grant of a preferential dividend or distribution right to the holder of a class of shares with preferential rights that may be authorized in the future. Dividends may be paid only out of profits, as defined in the Israeli Companies Law.</w:t>
      </w:r>
    </w:p>
    <w:p>
      <w:pPr>
        <w:spacing w:after="0" w:line="1"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Our Board of Directors is authorized to declare dividends, although our bank covenants currently in effect prohibit the payment of dividends on our ordinary shares, unless such payments are approved by our banks.</w:t>
      </w:r>
    </w:p>
    <w:p>
      <w:pPr>
        <w:spacing w:after="0" w:line="192" w:lineRule="exact"/>
        <w:rPr>
          <w:sz w:val="20"/>
          <w:szCs w:val="20"/>
          <w:color w:val="auto"/>
        </w:rPr>
      </w:pPr>
    </w:p>
    <w:p>
      <w:pPr>
        <w:ind w:right="20" w:firstLine="351"/>
        <w:spacing w:after="0" w:line="306" w:lineRule="auto"/>
        <w:rPr>
          <w:sz w:val="20"/>
          <w:szCs w:val="20"/>
          <w:color w:val="auto"/>
        </w:rPr>
      </w:pPr>
      <w:r>
        <w:rPr>
          <w:rFonts w:ascii="Arial" w:cs="Arial" w:eastAsia="Arial" w:hAnsi="Arial"/>
          <w:sz w:val="16"/>
          <w:szCs w:val="16"/>
          <w:color w:val="auto"/>
        </w:rPr>
        <w:t>Holders of ordinary shares have one vote for each ordinary share held on all matters submitted to a vote of shareholders. Subject to the provisions set forth in Section 46B of the Israeli Securities Law, these voting rights may be affected by the grant of any special voting rights to the holders of a class of shares with preferential rights that may be authorized in the future. Our major shareholders do not have different voting rights from each other or other shareholders.</w:t>
      </w:r>
    </w:p>
    <w:p>
      <w:pPr>
        <w:spacing w:after="0" w:line="16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Resolutions of shareholders (e.g. resolutions amending our articles of association, electing or removing directors, appointing an independent registered public accounting firm, authorizing changes in capitalization or the rights attached to our shares or approving a wind-up or merger) require the affirmative vote (at a meeting convened upon advance notice of no less than twenty one days) of shareholders present in person or by proxy and holding shares conferring, in the aggregate, at least a majority of the votes actually cast on such resolutions.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100" w:firstLine="348"/>
        <w:spacing w:after="0" w:line="298" w:lineRule="auto"/>
        <w:rPr>
          <w:sz w:val="20"/>
          <w:szCs w:val="20"/>
          <w:color w:val="auto"/>
        </w:rPr>
      </w:pPr>
      <w:r>
        <w:rPr>
          <w:rFonts w:ascii="Arial" w:cs="Arial" w:eastAsia="Arial" w:hAnsi="Arial"/>
          <w:sz w:val="16"/>
          <w:szCs w:val="16"/>
          <w:color w:val="auto"/>
        </w:rPr>
        <w:t>The quorum required for a meeting of shareholders is at least two shareholders present, in person or by proxy, within half an hour of the time fixed for the meeting’s commencement that together hold shares conferring in the aggregate more than 33% of the total voting power of our shares. A meeting adjourned for lack of a quorum is adjourned to the same day in the following week at the same time and place. At the reconvened meeting, in the event a quorum is not present within half an hour of the time fixed for the meetings commencement, the persons present shall constitute a quorum.</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registration number at the Israeli Registrar of Companies is 52-004199-7.</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objective stated in our articles of association is to engage in any lawful activity.</w:t>
      </w:r>
    </w:p>
    <w:p>
      <w:pPr>
        <w:sectPr>
          <w:pgSz w:w="11900" w:h="16838" w:orient="portrait"/>
          <w:cols w:equalWidth="0" w:num="1">
            <w:col w:w="11420"/>
          </w:cols>
          <w:pgMar w:left="240" w:top="131" w:right="239" w:bottom="0" w:gutter="0" w:footer="0" w:header="0"/>
        </w:sectPr>
      </w:pPr>
    </w:p>
    <w:bookmarkStart w:id="9" w:name="page10"/>
    <w:bookmarkEnd w:id="9"/>
    <w:p>
      <w:pPr>
        <w:ind w:right="80" w:firstLine="351"/>
        <w:spacing w:after="0" w:line="294" w:lineRule="auto"/>
        <w:rPr>
          <w:sz w:val="20"/>
          <w:szCs w:val="20"/>
          <w:color w:val="auto"/>
        </w:rPr>
      </w:pPr>
      <w:r>
        <w:rPr>
          <w:rFonts w:ascii="Arial" w:cs="Arial" w:eastAsia="Arial" w:hAnsi="Arial"/>
          <w:sz w:val="16"/>
          <w:szCs w:val="16"/>
          <w:color w:val="auto"/>
        </w:rPr>
        <w:t>Modification or abrogation of the rights of any existing class of shares requires either the written consent of all of the holders of the issued shares of such class or the adoption of a resolution by an ordinary majority of a general meeting of holders of such class. The quorum required for a class meeting is at least two shareholders present, in person or by proxy, within half an hour of the time fixed for the meetings commencement that together hold shares conferring in the aggregate at least 33% of the total voting power of the issued shares of such class. If no quorum is present, the meeting shall be adjourned to another time and at the adjourned meeting a quorum shall be constituted in the presence of any number of participants, regardless of the number of shares held by them.</w:t>
      </w:r>
    </w:p>
    <w:p>
      <w:pPr>
        <w:spacing w:after="0" w:line="170" w:lineRule="exact"/>
        <w:rPr>
          <w:sz w:val="20"/>
          <w:szCs w:val="20"/>
          <w:color w:val="auto"/>
        </w:rPr>
      </w:pPr>
    </w:p>
    <w:p>
      <w:pPr>
        <w:ind w:right="440" w:firstLine="348"/>
        <w:spacing w:after="0" w:line="332" w:lineRule="auto"/>
        <w:rPr>
          <w:sz w:val="20"/>
          <w:szCs w:val="20"/>
          <w:color w:val="auto"/>
        </w:rPr>
      </w:pPr>
      <w:r>
        <w:rPr>
          <w:rFonts w:ascii="Arial" w:cs="Arial" w:eastAsia="Arial" w:hAnsi="Arial"/>
          <w:sz w:val="16"/>
          <w:szCs w:val="16"/>
          <w:color w:val="auto"/>
        </w:rPr>
        <w:t>We had 124,033,673 ordinary shares outstanding as of September 30, 2007 and 124,226,116 ordinary shares outstanding as of December 31, 2007. The above numbers of outstanding ordinary shares do not include 1.3 million treasury shares held by us through a trustee.</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transfer agent and registrar for our ordinary shares is American Stock Transfer &amp; Trust Company, 59 Maiden Lane, New York, New York 10007.</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CAPITAL NOTES</w:t>
      </w:r>
    </w:p>
    <w:p>
      <w:pPr>
        <w:spacing w:after="0" w:line="312" w:lineRule="exact"/>
        <w:rPr>
          <w:sz w:val="20"/>
          <w:szCs w:val="20"/>
          <w:color w:val="auto"/>
        </w:rPr>
      </w:pPr>
    </w:p>
    <w:p>
      <w:pPr>
        <w:ind w:right="160" w:firstLine="348"/>
        <w:spacing w:after="0" w:line="306" w:lineRule="auto"/>
        <w:rPr>
          <w:sz w:val="20"/>
          <w:szCs w:val="20"/>
          <w:color w:val="auto"/>
        </w:rPr>
      </w:pPr>
      <w:r>
        <w:rPr>
          <w:rFonts w:ascii="Arial" w:cs="Arial" w:eastAsia="Arial" w:hAnsi="Arial"/>
          <w:sz w:val="16"/>
          <w:szCs w:val="16"/>
          <w:color w:val="auto"/>
        </w:rPr>
        <w:t>We may from time to time offer and sell under this prospectus capital notes, which we sometimes refer to as equity equivalent capital notes. When we offer to sell a particular series of capital notes, we will describe the specific terms of the series in a prospectus supplement. We will also indicate in the prospectus supplement whether the general terms and provisions described in this prospectus apply to a particular series of capital notes.</w:t>
      </w:r>
    </w:p>
    <w:p>
      <w:pPr>
        <w:spacing w:after="0" w:line="161"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 xml:space="preserve">The capital notes are instruments of equity and not debt. Unless otherwise specified in a prospectus supplement, (i) the face amounts of the capital notes will not bear interest nor will they be linked to any index, (ii) the face amounts of the capital notes will only payable by us out of distributions made upon the winding-up, liquidation or dissolution of our company on a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and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with the holders of our ordinary shares and (iii) we will have no right to prepay or redeem the equity equivalent capital notes. In addition, the holder may at any time, convert the face amount of the equity equivalent capital notes, in whole or in part, without payment of any additional consideration, into ordinary shares at a conversion price agreed with the holder. The equity equivalent capital notes have no maturity date and the right to convert into shares does not expire.</w:t>
      </w:r>
    </w:p>
    <w:p>
      <w:pPr>
        <w:spacing w:after="0" w:line="174" w:lineRule="exact"/>
        <w:rPr>
          <w:sz w:val="20"/>
          <w:szCs w:val="20"/>
          <w:color w:val="auto"/>
        </w:rPr>
      </w:pPr>
    </w:p>
    <w:p>
      <w:pPr>
        <w:ind w:right="60" w:firstLine="348"/>
        <w:spacing w:after="0" w:line="298" w:lineRule="auto"/>
        <w:rPr>
          <w:sz w:val="20"/>
          <w:szCs w:val="20"/>
          <w:color w:val="auto"/>
        </w:rPr>
      </w:pPr>
      <w:r>
        <w:rPr>
          <w:rFonts w:ascii="Arial" w:cs="Arial" w:eastAsia="Arial" w:hAnsi="Arial"/>
          <w:sz w:val="16"/>
          <w:szCs w:val="16"/>
          <w:color w:val="auto"/>
        </w:rPr>
        <w:t>The terms of any particular series of equity equivalent capital notes will be set forth in the purchase agreement with the purchasers and the governing capital note certificate, each of which will be incorporated by reference as an exhibit to the registration statement of which this prospectus forms a part. The foregoing summary of the equity equivalent capital notes is not complete. We encourage you to read the purchase agreement and capital note certificate, because they, and not this summary, will govern your rights as a holder of equity equivalent capital notes.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DEBT SECURITIES</w:t>
      </w:r>
    </w:p>
    <w:p>
      <w:pPr>
        <w:spacing w:after="0" w:line="312" w:lineRule="exact"/>
        <w:rPr>
          <w:sz w:val="20"/>
          <w:szCs w:val="20"/>
          <w:color w:val="auto"/>
        </w:rPr>
      </w:pPr>
    </w:p>
    <w:p>
      <w:pPr>
        <w:jc w:val="both"/>
        <w:ind w:right="120" w:firstLine="348"/>
        <w:spacing w:after="0" w:line="306" w:lineRule="auto"/>
        <w:rPr>
          <w:sz w:val="20"/>
          <w:szCs w:val="20"/>
          <w:color w:val="auto"/>
        </w:rPr>
      </w:pPr>
      <w:r>
        <w:rPr>
          <w:rFonts w:ascii="Arial" w:cs="Arial" w:eastAsia="Arial" w:hAnsi="Arial"/>
          <w:sz w:val="16"/>
          <w:szCs w:val="16"/>
          <w:color w:val="auto"/>
        </w:rPr>
        <w:t>This prospectus describes the general terms and provisions of the debt securities we may offer and sell by this prospectus. When we offer to sell a particular series of debt securities, we will describe the specific terms of the series in a prospectus supplement. We will also indicate in the prospectus supplement whether the general terms and provisions described in this prospectus apply to a particular series of debt securities.</w:t>
      </w:r>
    </w:p>
    <w:p>
      <w:pPr>
        <w:spacing w:after="0" w:line="161" w:lineRule="exact"/>
        <w:rPr>
          <w:sz w:val="20"/>
          <w:szCs w:val="20"/>
          <w:color w:val="auto"/>
        </w:rPr>
      </w:pPr>
    </w:p>
    <w:p>
      <w:pPr>
        <w:jc w:val="both"/>
        <w:ind w:firstLine="348"/>
        <w:spacing w:after="0" w:line="254" w:lineRule="auto"/>
        <w:rPr>
          <w:sz w:val="20"/>
          <w:szCs w:val="20"/>
          <w:color w:val="auto"/>
        </w:rPr>
      </w:pPr>
      <w:r>
        <w:rPr>
          <w:rFonts w:ascii="Arial" w:cs="Arial" w:eastAsia="Arial" w:hAnsi="Arial"/>
          <w:sz w:val="18"/>
          <w:szCs w:val="18"/>
          <w:color w:val="auto"/>
        </w:rPr>
        <w:t>We may offer under this prospectus up to $30,000,000 in aggregate principal amount of debt securities, or if debt securities are issued at a discount, or in a foreign currency or composite currency, such principal amount as may be sold for an initial offering price of up to $30,000,000. We may offer debt securities in the form of either senior debt securities or subordinated debt securities. The senior debt securities and the subordinated debt securities are together referred to in this prospectus as the “debt securities.” Unless otherwise specified in a prospectus supplement, the senior debt securities will be our direct, unsecured obligations and will rank equally with all of our other unsecured and unsubordinated indebtedness. The subordinated debt securities generally will be entitled to payment only after payment of our senior debt.</w:t>
      </w:r>
    </w:p>
    <w:p>
      <w:pPr>
        <w:spacing w:after="0" w:line="198" w:lineRule="exact"/>
        <w:rPr>
          <w:sz w:val="20"/>
          <w:szCs w:val="20"/>
          <w:color w:val="auto"/>
        </w:rPr>
      </w:pPr>
    </w:p>
    <w:p>
      <w:pPr>
        <w:ind w:right="140" w:firstLine="348"/>
        <w:spacing w:after="0" w:line="254" w:lineRule="auto"/>
        <w:rPr>
          <w:sz w:val="20"/>
          <w:szCs w:val="20"/>
          <w:color w:val="auto"/>
        </w:rPr>
      </w:pPr>
      <w:r>
        <w:rPr>
          <w:rFonts w:ascii="Arial" w:cs="Arial" w:eastAsia="Arial" w:hAnsi="Arial"/>
          <w:sz w:val="18"/>
          <w:szCs w:val="18"/>
          <w:color w:val="auto"/>
        </w:rPr>
        <w:t>The debt securities will be issued under an indenture between us and a trustee, the form of which is filed as an exhibit to the registration statement of which this prospectus forms a part. We have summarized the general features of the debt securities to be governed by the indenture. The summary is not complete. The executed indenture will be incorporated by reference from a report on Form 6-K. We encourage you to read the indenture, because the indenture, and not this summary, will govern your rights as a holder of debt securities. Capitalized terms used in this summary will have the meanings specified in the indenture. References to “we,” “us” and “our” in this section, unless the context otherwise requires or as otherwise expressly stated, refer to Tower Semiconductor Ltd., excluding its subsidiaries.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312"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The terms of each series of debt securities will be established by or pursuant to a resolution of our board of directors, or a committee thereof, and set forth or determined in the manner provided in an officers’ certificate or by a supplemental indenture. The particular terms of each series of debt securities will be described in a prospectus supplement relating to such series, including any pricing supplement.</w:t>
      </w:r>
    </w:p>
    <w:p>
      <w:pPr>
        <w:spacing w:after="0" w:line="194"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We may issue an unlimited amount of debt securities under the indenture, and the debt securities may be in one or more series with the same or various maturities, at par, at a premium or at a discount. Except as set forth in any prospectus supplement, we will also have the right to “reopen” a previous series of debt securities by issuing additional debt securities of such series without the consent of the holders of debt securities of the series being reopened or any other series. Any additional debt securities of the series being reopened will have the same ranking, interest rate, maturity and other terms as the previously issued debt securities of that series. These additional debt securities, together with the previously issued debt securities of that series, will constitute a single series of debt securities under the terms of the applicable indenture.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We will set forth in a prospectus supplement, including any pricing supplement, relating to any series of debt securities being offered, the aggregate principal amount and other terms of the debt securities, which will include some or all of the following:</w:t>
      </w:r>
    </w:p>
    <w:p>
      <w:pPr>
        <w:spacing w:after="0" w:line="18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the title;</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any limit on the amount that may be issued;</w:t>
      </w:r>
    </w:p>
    <w:p>
      <w:pPr>
        <w:sectPr>
          <w:pgSz w:w="11900" w:h="16838" w:orient="portrait"/>
          <w:cols w:equalWidth="0" w:num="1">
            <w:col w:w="11420"/>
          </w:cols>
          <w:pgMar w:left="240" w:top="131" w:right="239" w:bottom="0" w:gutter="0" w:footer="0" w:header="0"/>
        </w:sectPr>
      </w:pPr>
    </w:p>
    <w:bookmarkStart w:id="10" w:name="page11"/>
    <w:bookmarkEnd w:id="10"/>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whether or not we will issue the series of debt securities in global form, and, if so, the terms and the name of the depository;</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the maturity date;</w:t>
      </w:r>
    </w:p>
    <w:p>
      <w:pPr>
        <w:spacing w:after="0" w:line="252" w:lineRule="exact"/>
        <w:rPr>
          <w:sz w:val="20"/>
          <w:szCs w:val="20"/>
          <w:color w:val="auto"/>
        </w:rPr>
      </w:pPr>
    </w:p>
    <w:p>
      <w:pPr>
        <w:ind w:left="1160" w:right="540" w:hanging="567"/>
        <w:spacing w:after="0" w:line="332" w:lineRule="auto"/>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the interest rate, which may be fixed or variable, or the method for determining the rate and the date interest will begin to accrue, the dates interest will be payable and the regular record dates for interest payment dates or the method for determining such dates;</w:t>
      </w:r>
    </w:p>
    <w:p>
      <w:pPr>
        <w:spacing w:after="0" w:line="16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whether or not the debt securities will be secured or unsecured, and the terms of any securities;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classification as senior or subordinated debt securities;</w:t>
      </w:r>
    </w:p>
    <w:p>
      <w:pPr>
        <w:spacing w:after="0" w:line="252" w:lineRule="exact"/>
        <w:rPr>
          <w:sz w:val="20"/>
          <w:szCs w:val="20"/>
          <w:color w:val="auto"/>
        </w:rPr>
      </w:pPr>
    </w:p>
    <w:p>
      <w:pPr>
        <w:ind w:left="1160" w:right="600" w:hanging="567"/>
        <w:spacing w:after="0" w:line="332" w:lineRule="auto"/>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in the case of subordinated debt securities, the degree, if any, to which the subordinated debt securities of the series will be senior to or be subordinated to other indebtedness of our in right of payment, whether the other indebtedness is outstanding or not;</w:t>
      </w:r>
    </w:p>
    <w:p>
      <w:pPr>
        <w:spacing w:after="0" w:line="166" w:lineRule="exact"/>
        <w:rPr>
          <w:sz w:val="20"/>
          <w:szCs w:val="20"/>
          <w:color w:val="auto"/>
        </w:rPr>
      </w:pPr>
    </w:p>
    <w:p>
      <w:pPr>
        <w:ind w:left="1160" w:right="100" w:hanging="567"/>
        <w:spacing w:after="0" w:line="256" w:lineRule="auto"/>
        <w:rPr>
          <w:sz w:val="20"/>
          <w:szCs w:val="20"/>
          <w:color w:val="auto"/>
        </w:rPr>
      </w:pPr>
      <w:r>
        <w:rPr>
          <w:rFonts w:ascii="Arial" w:cs="Arial" w:eastAsia="Arial" w:hAnsi="Arial"/>
          <w:sz w:val="18"/>
          <w:szCs w:val="18"/>
          <w:color w:val="auto"/>
        </w:rPr>
        <w:t>—the terms on which any series of debt securities may be convertible into or exchangeable for our common stock or other of our securities, including (a) provisions as to whether conversion or exchange is mandatory, at the option of the holder or at our option and (b) provisions pursuant to which the number of shares of common stock or other securities of ours that the holders of the series of debt securities receive would be subject to adjustment;</w:t>
      </w:r>
    </w:p>
    <w:p>
      <w:pPr>
        <w:spacing w:after="0" w:line="22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the place where payments will be payable;</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our right, if any, to defer payment of interest and the maximum length of any such deferral period;</w:t>
      </w:r>
    </w:p>
    <w:p>
      <w:pPr>
        <w:spacing w:after="0" w:line="252" w:lineRule="exact"/>
        <w:rPr>
          <w:sz w:val="20"/>
          <w:szCs w:val="20"/>
          <w:color w:val="auto"/>
        </w:rPr>
      </w:pPr>
    </w:p>
    <w:p>
      <w:pPr>
        <w:ind w:left="1160" w:right="800" w:hanging="567"/>
        <w:spacing w:after="0" w:line="268" w:lineRule="auto"/>
        <w:rPr>
          <w:sz w:val="20"/>
          <w:szCs w:val="20"/>
          <w:color w:val="auto"/>
        </w:rPr>
      </w:pPr>
      <w:r>
        <w:rPr>
          <w:rFonts w:ascii="Arial" w:cs="Arial" w:eastAsia="Arial" w:hAnsi="Arial"/>
          <w:sz w:val="18"/>
          <w:szCs w:val="18"/>
          <w:color w:val="auto"/>
        </w:rPr>
        <w:t>—the date, if any, after which, and the price at which, we may, at our option, redeem the series of debt securities pursuant to any optional redemption provisions;</w:t>
      </w:r>
    </w:p>
    <w:p>
      <w:pPr>
        <w:spacing w:after="0" w:line="212" w:lineRule="exact"/>
        <w:rPr>
          <w:sz w:val="20"/>
          <w:szCs w:val="20"/>
          <w:color w:val="auto"/>
        </w:rPr>
      </w:pPr>
    </w:p>
    <w:p>
      <w:pPr>
        <w:ind w:left="1160" w:right="60" w:hanging="567"/>
        <w:spacing w:after="0" w:line="268" w:lineRule="auto"/>
        <w:rPr>
          <w:sz w:val="20"/>
          <w:szCs w:val="20"/>
          <w:color w:val="auto"/>
        </w:rPr>
      </w:pPr>
      <w:r>
        <w:rPr>
          <w:rFonts w:ascii="Arial" w:cs="Arial" w:eastAsia="Arial" w:hAnsi="Arial"/>
          <w:sz w:val="18"/>
          <w:szCs w:val="18"/>
          <w:color w:val="auto"/>
        </w:rPr>
        <w:t>—the date, if any, on which, and the price at which we are obligated, pursuant to any mandatory sinking fund provisions or otherwise, to redeem, or at the holder’s option to purchase, the series of debt securities;</w:t>
      </w:r>
    </w:p>
    <w:p>
      <w:pPr>
        <w:spacing w:after="0" w:line="21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whether the indenture will restrict our ability to pay dividends, or will require us to maintain any asset ratios or reserves;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whether we will be restricted from incurring any additional indebtedness;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any listing of a series of debt securities on a securities exchange or market;</w:t>
      </w:r>
    </w:p>
    <w:p>
      <w:pPr>
        <w:spacing w:after="0" w:line="252" w:lineRule="exact"/>
        <w:rPr>
          <w:sz w:val="20"/>
          <w:szCs w:val="20"/>
          <w:color w:val="auto"/>
        </w:rPr>
      </w:pPr>
    </w:p>
    <w:p>
      <w:pPr>
        <w:ind w:left="1160" w:right="280" w:hanging="567"/>
        <w:spacing w:after="0" w:line="268" w:lineRule="auto"/>
        <w:rPr>
          <w:sz w:val="20"/>
          <w:szCs w:val="20"/>
          <w:color w:val="auto"/>
        </w:rPr>
      </w:pPr>
      <w:r>
        <w:rPr>
          <w:rFonts w:ascii="Arial" w:cs="Arial" w:eastAsia="Arial" w:hAnsi="Arial"/>
          <w:sz w:val="18"/>
          <w:szCs w:val="18"/>
          <w:color w:val="auto"/>
        </w:rPr>
        <w:t>—the denominations in which we will issue the series of debt securities, if other than denominations of $1,000 and any integral multiple thereof; and</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any other specific terms, preferences, rights or limitations of, or restrictions on, the debt securities.</w:t>
      </w:r>
    </w:p>
    <w:p>
      <w:pPr>
        <w:spacing w:after="0" w:line="200" w:lineRule="exact"/>
        <w:rPr>
          <w:sz w:val="20"/>
          <w:szCs w:val="20"/>
          <w:color w:val="auto"/>
        </w:rPr>
      </w:pPr>
    </w:p>
    <w:p>
      <w:pPr>
        <w:spacing w:after="0" w:line="268"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We will provide information on the applicable United States and Israeli income tax considerations and other special considerations applicable to any of these debt securities in the applicable prospectus supplement.</w:t>
      </w:r>
    </w:p>
    <w:p>
      <w:pPr>
        <w:spacing w:after="0" w:line="186"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If we denominate the purchase price of any of the debt securities in a foreign currency or currencies or a foreign currency unit or units, or if the principal of, and premium and interest on, any series of debt securities is payable in a foreign currency or currencies or a foreign currency unit or units, we will provide you with information on the restrictions, elections, general tax considerations, specific terms and other information with respect to that issue of debt securities and such foreign currency or currencies or foreign currency unit or units in the applicable prospectus supplement.</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and Exchange</w:t>
      </w:r>
    </w:p>
    <w:p>
      <w:pPr>
        <w:spacing w:after="0" w:line="312"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Each debt security will be represented by either one or more global securities registered in the name of The Depositary Trust Company, as Depositary, or a nominee (we will refer to any debt security represented by a global debt security as a “book-entry debt security”), or a certificate issued in definitive registered form (we will refer to any debt security represented by a certificated security as a “certificated debt security”) as set forth in the applicable prospectus supplement.</w:t>
      </w:r>
    </w:p>
    <w:p>
      <w:pPr>
        <w:spacing w:after="0" w:line="161" w:lineRule="exact"/>
        <w:rPr>
          <w:sz w:val="20"/>
          <w:szCs w:val="20"/>
          <w:color w:val="auto"/>
        </w:rPr>
      </w:pPr>
    </w:p>
    <w:p>
      <w:pPr>
        <w:ind w:right="40" w:firstLine="345"/>
        <w:spacing w:after="0" w:line="259" w:lineRule="auto"/>
        <w:rPr>
          <w:sz w:val="20"/>
          <w:szCs w:val="20"/>
          <w:color w:val="auto"/>
        </w:rPr>
      </w:pPr>
      <w:r>
        <w:rPr>
          <w:rFonts w:ascii="Arial" w:cs="Arial" w:eastAsia="Arial" w:hAnsi="Arial"/>
          <w:sz w:val="18"/>
          <w:szCs w:val="18"/>
          <w:color w:val="auto"/>
        </w:rPr>
        <w:t>You may transfer or exchange certificated debt securities at any office we maintain for this purpose in accordance with the terms of the indenture. No service charge will be made for any transfer or exchange of certificated debt securities, but we may require payment of a sum sufficient to cover any tax or other governmental charge payable in connection with a transfer or exchange.</w:t>
      </w:r>
    </w:p>
    <w:p>
      <w:pPr>
        <w:spacing w:after="0" w:line="194" w:lineRule="exact"/>
        <w:rPr>
          <w:sz w:val="20"/>
          <w:szCs w:val="20"/>
          <w:color w:val="auto"/>
        </w:rPr>
      </w:pPr>
    </w:p>
    <w:p>
      <w:pPr>
        <w:ind w:right="160" w:firstLine="345"/>
        <w:spacing w:after="0" w:line="259" w:lineRule="auto"/>
        <w:rPr>
          <w:sz w:val="20"/>
          <w:szCs w:val="20"/>
          <w:color w:val="auto"/>
        </w:rPr>
      </w:pPr>
      <w:r>
        <w:rPr>
          <w:rFonts w:ascii="Arial" w:cs="Arial" w:eastAsia="Arial" w:hAnsi="Arial"/>
          <w:sz w:val="18"/>
          <w:szCs w:val="18"/>
          <w:color w:val="auto"/>
        </w:rPr>
        <w:t>You may effect the transfer of certificated debt securities and the right to receive the principal of, and any premium and interest on, certificated debt securities only by surrendering the certificate representing those certificated debt securities and either reissuance by us or the trustee of the certificate to the new holder or the issuance by us or the trustee of a new certificate to the new holder.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Protection in the Event of a Change of Control</w:t>
      </w:r>
    </w:p>
    <w:p>
      <w:pPr>
        <w:spacing w:after="0" w:line="312"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color w:val="auto"/>
        </w:rPr>
        <w:t>Unless we state otherwise in the applicable prospectus supplement, the debt securities will not contain any provisions which may afford holders of the debt securities protection in the event we undergo a change in control or in the event of a highly leveraged transaction (whether or not such transaction results in a change in control) which could adversely affect holders of debt securities.</w:t>
      </w:r>
    </w:p>
    <w:p>
      <w:pPr>
        <w:sectPr>
          <w:pgSz w:w="11900" w:h="16838" w:orient="portrait"/>
          <w:cols w:equalWidth="0" w:num="1">
            <w:col w:w="11420"/>
          </w:cols>
          <w:pgMar w:left="240" w:top="374" w:right="239" w:bottom="0" w:gutter="0" w:footer="0" w:header="0"/>
        </w:sectPr>
      </w:pPr>
    </w:p>
    <w:bookmarkStart w:id="11" w:name="page12"/>
    <w:bookmarkEnd w:id="11"/>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w:t>
      </w:r>
    </w:p>
    <w:p>
      <w:pPr>
        <w:spacing w:after="0" w:line="29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will set forth in the applicable prospectus supplement any restrictive covenants applicable to any issue of debt securities.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and Sale of Assets</w:t>
      </w:r>
    </w:p>
    <w:p>
      <w:pPr>
        <w:spacing w:after="0" w:line="299"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We may not consolidate with or merge with or into, or convey, transfer or lease all or substantially all of our properties and assets to, any person, which we refer to as a successor person, unless:</w:t>
      </w:r>
    </w:p>
    <w:p>
      <w:pPr>
        <w:spacing w:after="0" w:line="186" w:lineRule="exact"/>
        <w:rPr>
          <w:sz w:val="20"/>
          <w:szCs w:val="20"/>
          <w:color w:val="auto"/>
        </w:rPr>
      </w:pPr>
    </w:p>
    <w:p>
      <w:pPr>
        <w:ind w:left="1160" w:right="120" w:hanging="567"/>
        <w:spacing w:after="0" w:line="268" w:lineRule="auto"/>
        <w:rPr>
          <w:sz w:val="20"/>
          <w:szCs w:val="20"/>
          <w:color w:val="auto"/>
        </w:rPr>
      </w:pPr>
      <w:r>
        <w:rPr>
          <w:rFonts w:ascii="Arial" w:cs="Arial" w:eastAsia="Arial" w:hAnsi="Arial"/>
          <w:sz w:val="18"/>
          <w:szCs w:val="18"/>
          <w:color w:val="auto"/>
        </w:rPr>
        <w:t>—we are the surviving corporation or the successor person (if other than us) expressly assumes our obligations on the debt securities and under the indenture;</w:t>
      </w:r>
    </w:p>
    <w:p>
      <w:pPr>
        <w:spacing w:after="0" w:line="212" w:lineRule="exact"/>
        <w:rPr>
          <w:sz w:val="20"/>
          <w:szCs w:val="20"/>
          <w:color w:val="auto"/>
        </w:rPr>
      </w:pPr>
    </w:p>
    <w:p>
      <w:pPr>
        <w:ind w:left="1160" w:right="20" w:hanging="567"/>
        <w:spacing w:after="0" w:line="268" w:lineRule="auto"/>
        <w:rPr>
          <w:sz w:val="20"/>
          <w:szCs w:val="20"/>
          <w:color w:val="auto"/>
        </w:rPr>
      </w:pPr>
      <w:r>
        <w:rPr>
          <w:rFonts w:ascii="Arial" w:cs="Arial" w:eastAsia="Arial" w:hAnsi="Arial"/>
          <w:sz w:val="18"/>
          <w:szCs w:val="18"/>
          <w:color w:val="auto"/>
        </w:rPr>
        <w:t>—immediately after giving effect to the transaction, no event of default, and no event which, after notice or lapse of time, or both, would become an event of default, shall have occurred and be continuing under the indenture; and</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certain other conditions are met, including any additional conditions described in the applicable prospectus supplement.</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29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Event of default means, with respect to any series of debt securities, any of the following:</w:t>
      </w:r>
    </w:p>
    <w:p>
      <w:pPr>
        <w:spacing w:after="0" w:line="225" w:lineRule="exact"/>
        <w:rPr>
          <w:sz w:val="20"/>
          <w:szCs w:val="20"/>
          <w:color w:val="auto"/>
        </w:rPr>
      </w:pPr>
    </w:p>
    <w:p>
      <w:pPr>
        <w:ind w:left="1160" w:right="20" w:hanging="567"/>
        <w:spacing w:after="0" w:line="259" w:lineRule="auto"/>
        <w:rPr>
          <w:sz w:val="20"/>
          <w:szCs w:val="20"/>
          <w:color w:val="auto"/>
        </w:rPr>
      </w:pPr>
      <w:r>
        <w:rPr>
          <w:rFonts w:ascii="Arial" w:cs="Arial" w:eastAsia="Arial" w:hAnsi="Arial"/>
          <w:sz w:val="18"/>
          <w:szCs w:val="18"/>
          <w:color w:val="auto"/>
        </w:rPr>
        <w:t>—default in the payment of any interest upon any debt security of that series when it becomes due and payable, and continuance of that default for a period of 30 days (unless the entire amount of the payment is deposited by us with the trustee or with a paying agent prior to the expiration of the 30-day period);</w:t>
      </w:r>
    </w:p>
    <w:p>
      <w:pPr>
        <w:spacing w:after="0" w:line="2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default in the payment of principal of or premium on any debt security of that series when due and payable;</w:t>
      </w:r>
    </w:p>
    <w:p>
      <w:pPr>
        <w:spacing w:after="0" w:line="252" w:lineRule="exact"/>
        <w:rPr>
          <w:sz w:val="20"/>
          <w:szCs w:val="20"/>
          <w:color w:val="auto"/>
        </w:rPr>
      </w:pPr>
    </w:p>
    <w:p>
      <w:pPr>
        <w:jc w:val="both"/>
        <w:ind w:left="1160" w:right="20" w:hanging="567"/>
        <w:spacing w:after="0" w:line="298" w:lineRule="auto"/>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default in the performance or breach of any other covenant or warranty by us in the indenture (other than a covenant or warranty that has been included in the indenture solely for the benefit of a series of debt securities other than that series), which default continues uncured for a period of 90 days after we receive written notice from the trustee or we and the trustee receive written notice from the holders of not less than a majority in principal amount of the outstanding debt securities of that series as provided in the indenture;</w:t>
      </w:r>
    </w:p>
    <w:p>
      <w:pPr>
        <w:spacing w:after="0" w:line="19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certain events of bankruptcy, insolvency or reorganization of our company; and</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any other event of default provided with respect to debt securities of that series that is described in the applicable prospectus supplement.</w:t>
      </w:r>
    </w:p>
    <w:p>
      <w:pPr>
        <w:spacing w:after="0" w:line="200" w:lineRule="exact"/>
        <w:rPr>
          <w:sz w:val="20"/>
          <w:szCs w:val="20"/>
          <w:color w:val="auto"/>
        </w:rPr>
      </w:pPr>
    </w:p>
    <w:p>
      <w:pPr>
        <w:spacing w:after="0" w:line="268" w:lineRule="exact"/>
        <w:rPr>
          <w:sz w:val="20"/>
          <w:szCs w:val="20"/>
          <w:color w:val="auto"/>
        </w:rPr>
      </w:pPr>
    </w:p>
    <w:p>
      <w:pPr>
        <w:ind w:right="160" w:firstLine="351"/>
        <w:spacing w:after="0" w:line="298" w:lineRule="auto"/>
        <w:rPr>
          <w:sz w:val="20"/>
          <w:szCs w:val="20"/>
          <w:color w:val="auto"/>
        </w:rPr>
      </w:pPr>
      <w:r>
        <w:rPr>
          <w:rFonts w:ascii="Arial" w:cs="Arial" w:eastAsia="Arial" w:hAnsi="Arial"/>
          <w:sz w:val="16"/>
          <w:szCs w:val="16"/>
          <w:color w:val="auto"/>
        </w:rPr>
        <w:t>No event of default with respect to a particular series of debt securities (except as to certain events of bankruptcy, insolvency or reorganization) necessarily constitutes an event of default with respect to any other series of debt securities. The occurrence of an event of default may constitute an event of default under our bank credit agreements in existence from time to time. In addition, the occurrence of certain events of default or an acceleration under the indenture may constitute an event of default under certain of our other indebtedness outstanding from time to time.</w:t>
      </w:r>
    </w:p>
    <w:p>
      <w:pPr>
        <w:spacing w:after="0" w:line="167"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If an event of default with respect to debt securities of any series at the time outstanding occurs and is continuing, then the trustee or the holders of not less than a majority in principal amount of the outstanding debt securities of that series may, by a notice in writing to us (and to the trustee if given by the holders), declare to be due and payable immediately the principal (or, if the debt securities of that series are discount securities, that portion of the principal amount as may be specified in the terms of that series) of, and accrued and unpaid interest, if any, on all debt securities of that series. In the case of an event of default resulting from certain events of bankruptcy, insolvency or reorganization, the principal (or such specified amount) of and accrued and unpaid interest, if any, on all outstanding debt securities will become and be immediately due and payable without any declaration or other act on the part of the trustee or any holder of outstanding debt securities. At any time after a declaration of acceleration with respect to debt securities of any series has been made, but before a judgment or decree for payment of the money due has been obtained by the trustee, the holders of a majority in principal amount of the outstanding debt securities of that series may rescind and annul the acceleration if all events of default, other than the non-payment of accelerated principal and interest, if any, with respect to debt securities of that series, have been cured or waived as provided in the indenture. We refer you to the prospectus supplement relating to any series of debt securities that are discount securities for the particular provisions relating to acceleration of a portion of the principal amount of such discount securities upon the occurrence of an event of default.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The indenture provides that the trustee will be under no obligation to exercise any of its rights or powers under the indenture at the request of any holder of outstanding debt securities, unless the trustee receives indemnity satisfactory to it against any loss, liability or expense. Subject to certain rights of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w:t>
      </w:r>
    </w:p>
    <w:p>
      <w:pPr>
        <w:spacing w:after="0" w:line="167" w:lineRule="exact"/>
        <w:rPr>
          <w:sz w:val="20"/>
          <w:szCs w:val="20"/>
          <w:color w:val="auto"/>
        </w:rPr>
      </w:pPr>
    </w:p>
    <w:p>
      <w:pPr>
        <w:ind w:right="400" w:firstLine="351"/>
        <w:spacing w:after="0" w:line="268" w:lineRule="auto"/>
        <w:rPr>
          <w:sz w:val="20"/>
          <w:szCs w:val="20"/>
          <w:color w:val="auto"/>
        </w:rPr>
      </w:pPr>
      <w:r>
        <w:rPr>
          <w:rFonts w:ascii="Arial" w:cs="Arial" w:eastAsia="Arial" w:hAnsi="Arial"/>
          <w:sz w:val="18"/>
          <w:szCs w:val="18"/>
          <w:color w:val="auto"/>
        </w:rPr>
        <w:t>No holder of any debt security of any series will have any right to institute any proceeding, judicial or otherwise, with respect to the indenture or for the appointment of a receiver or trustee, or for any remedy under the indenture, unless:</w:t>
      </w:r>
    </w:p>
    <w:p>
      <w:pPr>
        <w:spacing w:after="0" w:line="18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that holder has previously given to the trustee written notice of a continuing event of default with respect to debt securities of that series; and</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the holders of at least a majority in principal amount of the outstanding debt securities of that series have made written request, and offered</w:t>
      </w:r>
    </w:p>
    <w:p>
      <w:pPr>
        <w:sectPr>
          <w:pgSz w:w="11900" w:h="16839" w:orient="portrait"/>
          <w:cols w:equalWidth="0" w:num="1">
            <w:col w:w="11420"/>
          </w:cols>
          <w:pgMar w:left="240" w:top="125" w:right="239" w:bottom="0" w:gutter="0" w:footer="0" w:header="0"/>
        </w:sectPr>
      </w:pPr>
    </w:p>
    <w:bookmarkStart w:id="12" w:name="page13"/>
    <w:bookmarkEnd w:id="12"/>
    <w:p>
      <w:pPr>
        <w:ind w:left="1160" w:right="560"/>
        <w:spacing w:after="0" w:line="259" w:lineRule="auto"/>
        <w:rPr>
          <w:sz w:val="20"/>
          <w:szCs w:val="20"/>
          <w:color w:val="auto"/>
        </w:rPr>
      </w:pPr>
      <w:r>
        <w:rPr>
          <w:rFonts w:ascii="Arial" w:cs="Arial" w:eastAsia="Arial" w:hAnsi="Arial"/>
          <w:sz w:val="18"/>
          <w:szCs w:val="18"/>
          <w:color w:val="auto"/>
        </w:rPr>
        <w:t>reasonable indemnity, to the trustee to institute the proceeding as trustee, and the trustee has not received from the holders of a majority in principal amount of the outstanding debt securities of that series a direction inconsistent with that request and has failed to institute the proceeding within 60 days.</w:t>
      </w:r>
    </w:p>
    <w:p>
      <w:pPr>
        <w:spacing w:after="0" w:line="200" w:lineRule="exact"/>
        <w:rPr>
          <w:sz w:val="20"/>
          <w:szCs w:val="20"/>
          <w:color w:val="auto"/>
        </w:rPr>
      </w:pPr>
    </w:p>
    <w:p>
      <w:pPr>
        <w:spacing w:after="0" w:line="237" w:lineRule="exact"/>
        <w:rPr>
          <w:sz w:val="20"/>
          <w:szCs w:val="20"/>
          <w:color w:val="auto"/>
        </w:rPr>
      </w:pPr>
    </w:p>
    <w:p>
      <w:pPr>
        <w:ind w:right="140" w:firstLine="351"/>
        <w:spacing w:after="0" w:line="332" w:lineRule="auto"/>
        <w:rPr>
          <w:sz w:val="20"/>
          <w:szCs w:val="20"/>
          <w:color w:val="auto"/>
        </w:rPr>
      </w:pPr>
      <w:r>
        <w:rPr>
          <w:rFonts w:ascii="Arial" w:cs="Arial" w:eastAsia="Arial" w:hAnsi="Arial"/>
          <w:sz w:val="16"/>
          <w:szCs w:val="16"/>
          <w:color w:val="auto"/>
        </w:rPr>
        <w:t>Notwithstanding the foregoing, the holder of any debt security will have an absolute and unconditional right to receive payment of the principal of, and any premium and interest on, that debt security on or after the due dates expressed in that debt security and to institute suit for the enforcement of payment.</w:t>
      </w:r>
    </w:p>
    <w:p>
      <w:pPr>
        <w:spacing w:after="0" w:line="139" w:lineRule="exact"/>
        <w:rPr>
          <w:sz w:val="20"/>
          <w:szCs w:val="20"/>
          <w:color w:val="auto"/>
        </w:rPr>
      </w:pPr>
    </w:p>
    <w:p>
      <w:pPr>
        <w:ind w:right="200" w:firstLine="351"/>
        <w:spacing w:after="0" w:line="256" w:lineRule="auto"/>
        <w:rPr>
          <w:sz w:val="20"/>
          <w:szCs w:val="20"/>
          <w:color w:val="auto"/>
        </w:rPr>
      </w:pPr>
      <w:r>
        <w:rPr>
          <w:rFonts w:ascii="Arial" w:cs="Arial" w:eastAsia="Arial" w:hAnsi="Arial"/>
          <w:sz w:val="18"/>
          <w:szCs w:val="18"/>
          <w:color w:val="auto"/>
        </w:rPr>
        <w:t>If any securities are outstanding under the indenture, the indenture requires us, within 120 days after the end of our fiscal year, to furnish to the trustee a statement as to compliance with the indenture. The indenture provides that the trustee may withhold notice to the holders of debt securities of any series of any default or event of default (except in payment on any debt securities of that series) with respect to debt securities of that series if it in good faith determines that withholding notice is in the interest of the holders of those debt securities.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and Waiver</w:t>
      </w:r>
    </w:p>
    <w:p>
      <w:pPr>
        <w:spacing w:after="0" w:line="299" w:lineRule="exact"/>
        <w:rPr>
          <w:sz w:val="20"/>
          <w:szCs w:val="20"/>
          <w:color w:val="auto"/>
        </w:rPr>
      </w:pPr>
    </w:p>
    <w:p>
      <w:pPr>
        <w:jc w:val="both"/>
        <w:ind w:right="140" w:firstLine="348"/>
        <w:spacing w:after="0" w:line="259" w:lineRule="auto"/>
        <w:rPr>
          <w:sz w:val="20"/>
          <w:szCs w:val="20"/>
          <w:color w:val="auto"/>
        </w:rPr>
      </w:pPr>
      <w:r>
        <w:rPr>
          <w:rFonts w:ascii="Arial" w:cs="Arial" w:eastAsia="Arial" w:hAnsi="Arial"/>
          <w:sz w:val="18"/>
          <w:szCs w:val="18"/>
          <w:color w:val="auto"/>
        </w:rPr>
        <w:t>We may modify and amend the indenture with the consent of the holders of at least a majority in principal amount of the outstanding debt securities of each series affected by the modifications or amendments. We may not make any modification or amendment without the consent of the holders of each affected debt security then outstanding if that amendment will:</w:t>
      </w:r>
    </w:p>
    <w:p>
      <w:pPr>
        <w:spacing w:after="0" w:line="19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reduce the amount of debt securities whose holders must consent to an amendment or waiver;</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reduce the rate of or extend the time for payment of interest (including default interest) on any debt security;</w:t>
      </w:r>
    </w:p>
    <w:p>
      <w:pPr>
        <w:spacing w:after="0" w:line="252" w:lineRule="exact"/>
        <w:rPr>
          <w:sz w:val="20"/>
          <w:szCs w:val="20"/>
          <w:color w:val="auto"/>
        </w:rPr>
      </w:pPr>
    </w:p>
    <w:p>
      <w:pPr>
        <w:ind w:left="1160" w:right="80" w:hanging="567"/>
        <w:spacing w:after="0" w:line="268" w:lineRule="auto"/>
        <w:rPr>
          <w:sz w:val="20"/>
          <w:szCs w:val="20"/>
          <w:color w:val="auto"/>
        </w:rPr>
      </w:pPr>
      <w:r>
        <w:rPr>
          <w:rFonts w:ascii="Arial" w:cs="Arial" w:eastAsia="Arial" w:hAnsi="Arial"/>
          <w:sz w:val="18"/>
          <w:szCs w:val="18"/>
          <w:color w:val="auto"/>
        </w:rPr>
        <w:t>—reduce the principal of, or premium on, or change the fixed maturity of, any debt security or reduce the amount of, or postpone the date fixed for, the payment of any sinking fund or analogous obligation with respect to any series of debt securities;</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reduce the principal amount of discount securities payable upon acceleration of maturity;</w:t>
      </w:r>
    </w:p>
    <w:p>
      <w:pPr>
        <w:spacing w:after="0" w:line="252" w:lineRule="exact"/>
        <w:rPr>
          <w:sz w:val="20"/>
          <w:szCs w:val="20"/>
          <w:color w:val="auto"/>
        </w:rPr>
      </w:pPr>
    </w:p>
    <w:p>
      <w:pPr>
        <w:ind w:left="1160" w:right="40" w:hanging="567"/>
        <w:spacing w:after="0" w:line="259" w:lineRule="auto"/>
        <w:rPr>
          <w:sz w:val="20"/>
          <w:szCs w:val="20"/>
          <w:color w:val="auto"/>
        </w:rPr>
      </w:pPr>
      <w:r>
        <w:rPr>
          <w:rFonts w:ascii="Arial" w:cs="Arial" w:eastAsia="Arial" w:hAnsi="Arial"/>
          <w:sz w:val="18"/>
          <w:szCs w:val="18"/>
          <w:color w:val="auto"/>
        </w:rPr>
        <w:t>—waive a default in the payment of the principal of, or premium or interest on, any debt security (except a rescission of acceleration of the debt securities of any series by the holders of at least a majority in aggregate principal amount of the then outstanding debt securities of that series and a waiver of the payment default that resulted from such acceleration);</w:t>
      </w:r>
    </w:p>
    <w:p>
      <w:pPr>
        <w:spacing w:after="0" w:line="2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make the principal of, or premium or interest on, any debt security payable in currency other than that stated in the debt security;</w:t>
      </w:r>
    </w:p>
    <w:p>
      <w:pPr>
        <w:spacing w:after="0" w:line="252" w:lineRule="exact"/>
        <w:rPr>
          <w:sz w:val="20"/>
          <w:szCs w:val="20"/>
          <w:color w:val="auto"/>
        </w:rPr>
      </w:pPr>
    </w:p>
    <w:p>
      <w:pPr>
        <w:ind w:left="1160" w:hanging="567"/>
        <w:spacing w:after="0" w:line="259" w:lineRule="auto"/>
        <w:rPr>
          <w:sz w:val="20"/>
          <w:szCs w:val="20"/>
          <w:color w:val="auto"/>
        </w:rPr>
      </w:pPr>
      <w:r>
        <w:rPr>
          <w:rFonts w:ascii="Arial" w:cs="Arial" w:eastAsia="Arial" w:hAnsi="Arial"/>
          <w:sz w:val="18"/>
          <w:szCs w:val="18"/>
          <w:color w:val="auto"/>
        </w:rPr>
        <w:t>—make any change to certain provisions of the indenture relating to, among other things, the right of holders of debt securities to receive payment of the principal of, and premium and interest on, those debt securities and to institute suit for the enforcement of any such payment and to waivers or amendments; or</w:t>
      </w:r>
    </w:p>
    <w:p>
      <w:pPr>
        <w:spacing w:after="0" w:line="2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waive a redemption payment with respect to any debt security.</w:t>
      </w:r>
    </w:p>
    <w:p>
      <w:pPr>
        <w:spacing w:after="0" w:line="200" w:lineRule="exact"/>
        <w:rPr>
          <w:sz w:val="20"/>
          <w:szCs w:val="20"/>
          <w:color w:val="auto"/>
        </w:rPr>
      </w:pPr>
    </w:p>
    <w:p>
      <w:pPr>
        <w:spacing w:after="0" w:line="268"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 xml:space="preserve">Except for certain specified provisions, the holders of at least a majority in principal amount of the outstanding debt securities of any series may on behalf of the holders of all debt securities of that series waive our compliance with provisions of the indenture.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or any premium or interest on, any debt security of that series or in respect of a covenant or provision, which cannot be modified or amended without the consent of the holder of each outstanding debt security of the series affected;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holders of a majority in principal amount of the outstanding debt securities of any series may rescind an acceleration of the debt securities of such series and its consequences, including any related payment default that resulted from the acceleration.</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Discharging Our Obligations</w:t>
      </w:r>
    </w:p>
    <w:p>
      <w:pPr>
        <w:spacing w:after="0" w:line="299"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color w:val="auto"/>
        </w:rPr>
        <w:t>We may choose to either discharge our obligations on the debt securities of any series in a legal defeasance, or to release ourselves from our covenant restrictions on the debt securities of any series in a covenant defeasance. We may do so at any time after we deposit with the trustee sufficient cash or government securities to pay the principal, interest, any premium and any other sums due to the stated maturity date or a redemption date of the debt securities of the series. If we choose the legal defeasance option, the holders of the debt securities of the series will not be entitled to the benefits of the indenture except for registration of transfer and exchange of debt securities, replacement of lost, stolen, destroyed or mutilated debt securities, conversion or exchange of debt securities, sinking fund payments and receipt of principal and interest on the original stated due dates or specified redemption dates.</w:t>
      </w:r>
    </w:p>
    <w:p>
      <w:pPr>
        <w:spacing w:after="0" w:line="174" w:lineRule="exact"/>
        <w:rPr>
          <w:sz w:val="20"/>
          <w:szCs w:val="20"/>
          <w:color w:val="auto"/>
        </w:rPr>
      </w:pPr>
    </w:p>
    <w:p>
      <w:pPr>
        <w:ind w:right="420" w:firstLine="348"/>
        <w:spacing w:after="0" w:line="268" w:lineRule="auto"/>
        <w:rPr>
          <w:sz w:val="20"/>
          <w:szCs w:val="20"/>
          <w:color w:val="auto"/>
        </w:rPr>
      </w:pPr>
      <w:r>
        <w:rPr>
          <w:rFonts w:ascii="Arial" w:cs="Arial" w:eastAsia="Arial" w:hAnsi="Arial"/>
          <w:sz w:val="18"/>
          <w:szCs w:val="18"/>
          <w:color w:val="auto"/>
        </w:rPr>
        <w:t>We may discharge our obligations under the indenture or release ourselves from covenant restrictions only if, in addition to making the deposit with the trustee, we meet some specific requirements. Among other things:</w:t>
      </w:r>
    </w:p>
    <w:p>
      <w:pPr>
        <w:spacing w:after="0" w:line="186" w:lineRule="exact"/>
        <w:rPr>
          <w:sz w:val="20"/>
          <w:szCs w:val="20"/>
          <w:color w:val="auto"/>
        </w:rPr>
      </w:pPr>
    </w:p>
    <w:p>
      <w:pPr>
        <w:ind w:left="1160" w:right="100" w:hanging="567"/>
        <w:spacing w:after="0" w:line="259" w:lineRule="auto"/>
        <w:rPr>
          <w:sz w:val="20"/>
          <w:szCs w:val="20"/>
          <w:color w:val="auto"/>
        </w:rPr>
      </w:pPr>
      <w:r>
        <w:rPr>
          <w:rFonts w:ascii="Arial" w:cs="Arial" w:eastAsia="Arial" w:hAnsi="Arial"/>
          <w:sz w:val="18"/>
          <w:szCs w:val="18"/>
          <w:color w:val="auto"/>
        </w:rPr>
        <w:t>—we must deliver an opinion of our legal counsel that the discharge will not result in holders having to recognize taxable income or loss or subject them to different tax treatment. In the case of legal defeasance, this opinion must be based on either an IRS letter ruling or change in federal tax law;</w:t>
      </w:r>
    </w:p>
    <w:p>
      <w:pPr>
        <w:spacing w:after="0" w:line="2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we may not have a default on the debt securities discharged on the date of deposit;</w:t>
      </w:r>
    </w:p>
    <w:p>
      <w:pPr>
        <w:sectPr>
          <w:pgSz w:w="11900" w:h="16838" w:orient="portrait"/>
          <w:cols w:equalWidth="0" w:num="1">
            <w:col w:w="11420"/>
          </w:cols>
          <w:pgMar w:left="240" w:top="131" w:right="239" w:bottom="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504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type w:val="continuous"/>
        </w:sectPr>
      </w:pPr>
    </w:p>
    <w:bookmarkStart w:id="13" w:name="page14"/>
    <w:bookmarkEnd w:id="13"/>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the discharge may not violate any of our agreements; and</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the discharge may not result in our becoming an investment company in violation of the Investment Company Act of 1940.</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312" w:lineRule="exact"/>
        <w:rPr>
          <w:sz w:val="20"/>
          <w:szCs w:val="20"/>
          <w:color w:val="auto"/>
        </w:rPr>
      </w:pPr>
    </w:p>
    <w:p>
      <w:pPr>
        <w:ind w:right="240" w:firstLine="348"/>
        <w:spacing w:after="0" w:line="268" w:lineRule="auto"/>
        <w:rPr>
          <w:sz w:val="20"/>
          <w:szCs w:val="20"/>
          <w:color w:val="auto"/>
        </w:rPr>
      </w:pPr>
      <w:r>
        <w:rPr>
          <w:rFonts w:ascii="Arial" w:cs="Arial" w:eastAsia="Arial" w:hAnsi="Arial"/>
          <w:sz w:val="18"/>
          <w:szCs w:val="18"/>
          <w:color w:val="auto"/>
        </w:rPr>
        <w:t>The indenture and the debt securities will be governed by, and construed in accordance with, the internal laws of the State of New York, without regard to conflict of law principles that would result in the application of any law other than the laws of the State of New York.</w:t>
      </w: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PURCHASE CONTRACTS</w:t>
      </w:r>
    </w:p>
    <w:p>
      <w:pPr>
        <w:spacing w:after="0" w:line="312" w:lineRule="exact"/>
        <w:rPr>
          <w:sz w:val="20"/>
          <w:szCs w:val="20"/>
          <w:color w:val="auto"/>
        </w:rPr>
      </w:pPr>
    </w:p>
    <w:p>
      <w:pPr>
        <w:ind w:right="340" w:firstLine="348"/>
        <w:spacing w:after="0" w:line="332" w:lineRule="auto"/>
        <w:rPr>
          <w:sz w:val="20"/>
          <w:szCs w:val="20"/>
          <w:color w:val="auto"/>
        </w:rPr>
      </w:pPr>
      <w:r>
        <w:rPr>
          <w:rFonts w:ascii="Arial" w:cs="Arial" w:eastAsia="Arial" w:hAnsi="Arial"/>
          <w:sz w:val="16"/>
          <w:szCs w:val="16"/>
          <w:color w:val="auto"/>
        </w:rPr>
        <w:t>We may issue purchase contracts for the purchase or sale of debt or equity securities (including capital notes) issued by us or securities of third parties, a basket of such securities, an index or indices of such securities or any combination of the above as specified in the applicable prospectus supplement.</w:t>
      </w:r>
    </w:p>
    <w:p>
      <w:pPr>
        <w:spacing w:after="0" w:line="139"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Each purchase contract will entitle the holder thereof to purchase or sell, and obligate us to sell or purchase, on specified dates, such securities, currencies or commodities at a specified purchase price, which may be based on a formula, all as set forth in the applicable prospectus supplement. We may, however, satisfy our obligations, if any, with respect to any purchase contract by delivering the cash value of such purchase contract or the cash value of the property otherwise deliverable or, in the case of purchase contracts on underlying currencies, by delivering the underlying currencies, as set forth in the applicable prospectus supplement. The applicable prospectus supplement will also specify the methods by which the holders may purchase or sell such securities, currencies or commodities and any acceleration, cancellation or termination provisions or other provisions relating to the settlement of a purchase contract.</w:t>
      </w:r>
    </w:p>
    <w:p>
      <w:pPr>
        <w:spacing w:after="0" w:line="174"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The purchase contracts may require us to make periodic payments to the holders thereof or vice versa, which payments may be deferred to the extent set forth in the applicable prospectus supplement, and those payments may be unsecured or prefunded on some basis. The purchase contracts may require the holders thereof to secure their obligations in a specified manner to be described in the applicable prospectus supplement. Alternatively, purchase contracts may require holders to satisfy their obligations thereunder when the purchase contracts are issued. Our obligation to settle such pre-paid purchase contracts on the relevant settlement date may constitute indebtedness. Accordingly, pre-paid purchase contracts will be issued under the indenture.</w:t>
      </w: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UNITS</w:t>
      </w:r>
    </w:p>
    <w:p>
      <w:pPr>
        <w:spacing w:after="0" w:line="312"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We may, from time to time, issue units comprised of one or more of the other securities that may be offered under this prospectus, in any combination. Each unit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Any applicable prospectus supplement will describe:</w:t>
      </w:r>
    </w:p>
    <w:p>
      <w:pPr>
        <w:spacing w:after="0" w:line="225" w:lineRule="exact"/>
        <w:rPr>
          <w:sz w:val="20"/>
          <w:szCs w:val="20"/>
          <w:color w:val="auto"/>
        </w:rPr>
      </w:pPr>
    </w:p>
    <w:p>
      <w:pPr>
        <w:ind w:left="1160" w:hanging="567"/>
        <w:spacing w:after="0" w:line="268" w:lineRule="auto"/>
        <w:rPr>
          <w:sz w:val="20"/>
          <w:szCs w:val="20"/>
          <w:color w:val="auto"/>
        </w:rPr>
      </w:pPr>
      <w:r>
        <w:rPr>
          <w:rFonts w:ascii="Arial" w:cs="Arial" w:eastAsia="Arial" w:hAnsi="Arial"/>
          <w:sz w:val="18"/>
          <w:szCs w:val="18"/>
          <w:color w:val="auto"/>
        </w:rPr>
        <w:t>—the material terms of the units and of the securities comprising the units, including whether and under what circumstances those securities may be held or transferred separately;</w:t>
      </w: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7" w:lineRule="exact"/>
        <w:rPr>
          <w:sz w:val="20"/>
          <w:szCs w:val="20"/>
          <w:color w:val="auto"/>
        </w:rPr>
      </w:pPr>
    </w:p>
    <w:p>
      <w:pPr>
        <w:ind w:left="1160" w:right="220" w:hanging="567"/>
        <w:spacing w:after="0" w:line="268" w:lineRule="auto"/>
        <w:rPr>
          <w:sz w:val="20"/>
          <w:szCs w:val="20"/>
          <w:color w:val="auto"/>
        </w:rPr>
      </w:pPr>
      <w:r>
        <w:rPr>
          <w:rFonts w:ascii="Arial" w:cs="Arial" w:eastAsia="Arial" w:hAnsi="Arial"/>
          <w:sz w:val="18"/>
          <w:szCs w:val="18"/>
          <w:color w:val="auto"/>
        </w:rPr>
        <w:t>—any material provisions relating to the issuance, payment, settlement, transfer or exchange of the units or of the securities comprising the units; and</w:t>
      </w:r>
    </w:p>
    <w:p>
      <w:pPr>
        <w:spacing w:after="0" w:line="21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any material provisions of the governing unit agreement that differ from those described above.</w:t>
      </w:r>
    </w:p>
    <w:p>
      <w:pPr>
        <w:spacing w:after="0" w:line="200" w:lineRule="exact"/>
        <w:rPr>
          <w:sz w:val="20"/>
          <w:szCs w:val="20"/>
          <w:color w:val="auto"/>
        </w:rPr>
      </w:pPr>
    </w:p>
    <w:p>
      <w:pPr>
        <w:spacing w:after="0" w:line="33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WARRANTS</w:t>
      </w:r>
    </w:p>
    <w:p>
      <w:pPr>
        <w:spacing w:after="0" w:line="312" w:lineRule="exact"/>
        <w:rPr>
          <w:sz w:val="20"/>
          <w:szCs w:val="20"/>
          <w:color w:val="auto"/>
        </w:rPr>
      </w:pPr>
    </w:p>
    <w:p>
      <w:pPr>
        <w:ind w:right="160" w:firstLine="348"/>
        <w:spacing w:after="0" w:line="294" w:lineRule="auto"/>
        <w:rPr>
          <w:sz w:val="20"/>
          <w:szCs w:val="20"/>
          <w:color w:val="auto"/>
        </w:rPr>
      </w:pPr>
      <w:r>
        <w:rPr>
          <w:rFonts w:ascii="Arial" w:cs="Arial" w:eastAsia="Arial" w:hAnsi="Arial"/>
          <w:sz w:val="16"/>
          <w:szCs w:val="16"/>
          <w:color w:val="auto"/>
        </w:rPr>
        <w:t>We may issue warrants to purchase debt or equity securities (including capital notes) or securities of third parties or other rights, including rights to receive payment in cash or securities based on the value, rate or price of one or more specified securities or indices, or any combination of the foregoing. Warrants may be issued independently or together with any other securities and may be attached to, or separate from, such securities. Each series of warrants will be issued under a separate warrant agreement to be entered into between us and a warrant agent. The terms of any warrants to be issued and a description of the material provisions of the applicable warrant agreement will be set forth in the applicable prospectus supplement.</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applicable prospectus supplement will describe the following terms of any warrants in respect of which the prospectus is being delivered:</w:t>
      </w:r>
    </w:p>
    <w:p>
      <w:pPr>
        <w:spacing w:after="0" w:line="24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the title of such warrants;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the aggregate number of such warrants;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the price or prices at which such warrants will be issued;</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the currency or currencies, in which the price of such warrants will be payable;</w:t>
      </w:r>
    </w:p>
    <w:p>
      <w:pPr>
        <w:spacing w:after="0" w:line="252" w:lineRule="exact"/>
        <w:rPr>
          <w:sz w:val="20"/>
          <w:szCs w:val="20"/>
          <w:color w:val="auto"/>
        </w:rPr>
      </w:pPr>
    </w:p>
    <w:p>
      <w:pPr>
        <w:ind w:left="1160" w:right="240" w:hanging="567"/>
        <w:spacing w:after="0" w:line="332" w:lineRule="auto"/>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the securities or other rights, including rights to receive payment in cash or securities based on the value, rate or price of one or more specified commodities, currencies, securities or indices, or any combination of the foregoing, purchasable upon exercise of such warrants;</w:t>
      </w:r>
    </w:p>
    <w:p>
      <w:pPr>
        <w:spacing w:after="0" w:line="16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the date on which the right to exercise such warrants shall commence and the date on which such right shall expire;</w:t>
      </w:r>
    </w:p>
    <w:p>
      <w:pPr>
        <w:sectPr>
          <w:pgSz w:w="11900" w:h="16838" w:orient="portrait"/>
          <w:cols w:equalWidth="0" w:num="1">
            <w:col w:w="11400"/>
          </w:cols>
          <w:pgMar w:left="240" w:top="131" w:right="259" w:bottom="0" w:gutter="0" w:footer="0" w:header="0"/>
        </w:sectPr>
      </w:pPr>
    </w:p>
    <w:bookmarkStart w:id="14" w:name="page15"/>
    <w:bookmarkEnd w:id="14"/>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if applicable, the minimum or maximum amount of such warrants which may be exercised at any one time;</w:t>
      </w:r>
    </w:p>
    <w:p>
      <w:pPr>
        <w:spacing w:after="0" w:line="265" w:lineRule="exact"/>
        <w:rPr>
          <w:sz w:val="20"/>
          <w:szCs w:val="20"/>
          <w:color w:val="auto"/>
        </w:rPr>
      </w:pPr>
    </w:p>
    <w:p>
      <w:pPr>
        <w:ind w:left="1160" w:right="200" w:hanging="567"/>
        <w:spacing w:after="0" w:line="268" w:lineRule="auto"/>
        <w:rPr>
          <w:sz w:val="20"/>
          <w:szCs w:val="20"/>
          <w:color w:val="auto"/>
        </w:rPr>
      </w:pPr>
      <w:r>
        <w:rPr>
          <w:rFonts w:ascii="Arial" w:cs="Arial" w:eastAsia="Arial" w:hAnsi="Arial"/>
          <w:sz w:val="18"/>
          <w:szCs w:val="18"/>
          <w:color w:val="auto"/>
        </w:rPr>
        <w:t>—if applicable, the designation and terms of the securities with which such warrants are issued and the number of such warrants issued with each such security;</w:t>
      </w:r>
    </w:p>
    <w:p>
      <w:pPr>
        <w:spacing w:after="0" w:line="21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if applicable, the date on and after which such warrants and the related securities will be separately transferable;</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information with respect to book-entry procedures, if any;</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any material Israeli and U.S. federal income tax consequences;</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the anti-dilution provisions of the warrants; and</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any other terms of such warrants, including terms, procedures and limitations relating to the exchange and exercise of such warrants.</w:t>
      </w:r>
    </w:p>
    <w:p>
      <w:pPr>
        <w:spacing w:after="0" w:line="200" w:lineRule="exact"/>
        <w:rPr>
          <w:sz w:val="20"/>
          <w:szCs w:val="20"/>
          <w:color w:val="auto"/>
        </w:rPr>
      </w:pPr>
    </w:p>
    <w:p>
      <w:pPr>
        <w:spacing w:after="0" w:line="33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FOREIGN EXCHANGE CONTROLS AND OTHER LIMITATIONS</w:t>
      </w:r>
    </w:p>
    <w:p>
      <w:pPr>
        <w:spacing w:after="0" w:line="299" w:lineRule="exact"/>
        <w:rPr>
          <w:sz w:val="20"/>
          <w:szCs w:val="20"/>
          <w:color w:val="auto"/>
        </w:rPr>
      </w:pPr>
    </w:p>
    <w:p>
      <w:pPr>
        <w:ind w:right="40" w:firstLine="351"/>
        <w:spacing w:after="0" w:line="288" w:lineRule="auto"/>
        <w:rPr>
          <w:sz w:val="20"/>
          <w:szCs w:val="20"/>
          <w:color w:val="auto"/>
        </w:rPr>
      </w:pPr>
      <w:r>
        <w:rPr>
          <w:rFonts w:ascii="Arial" w:cs="Arial" w:eastAsia="Arial" w:hAnsi="Arial"/>
          <w:sz w:val="16"/>
          <w:szCs w:val="16"/>
          <w:color w:val="auto"/>
        </w:rPr>
        <w:t>Israeli law limits foreign currency transactions and transactions between Israeli and non-Israeli residents. The Controller of Foreign Exchange at the Bank of Israel, through “general” and “special” permits, may regulate or waive these limitations. In May 1998, the Bank of Israel liberalized its foreign currency regulations by issuing a new “general permit” providing that foreign currency transactions are generally permitted, although some restrictions still apply. For example, foreign currency transactions by institutional investors are restricted, including futures contracts between foreign and Israeli residents if one of the base assets is Israeli currency, unless this is a fixed price forward contract for a period of less than one month. Investments outside of Israel by pension funds and insurers are also restricted. Under the new general permit, all foreign currency transactions must be reported to the Bank of Israel, and a foreign resident must report to his financial mediator about any contract for which Israeli currency is being deposited in, or withdrawn from, his account. We cannot currently assess what impact, if any, this liberalization will have on us. We also cannot predict its future impact on the value of the NIS compared to the dollar and the corresponding effect on our financial position and results of operations.</w:t>
      </w:r>
    </w:p>
    <w:p>
      <w:pPr>
        <w:spacing w:after="0" w:line="174"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The State of Israel does not restrict in any way the ownership or voting of ordinary shares of Israeli entities by non-residents of Israel, except with respect to subjects of countries that are in a state of war with Israel.</w:t>
      </w:r>
    </w:p>
    <w:p>
      <w:pPr>
        <w:spacing w:after="0" w:line="26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PLAN OF DISTRIBUTION</w:t>
      </w:r>
    </w:p>
    <w:p>
      <w:pPr>
        <w:spacing w:after="0" w:line="29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may sell securities under this prospectus in offerings:</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through one or more underwriters or dealers;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through other agents; or</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directly to investors.</w:t>
      </w:r>
    </w:p>
    <w:p>
      <w:pPr>
        <w:spacing w:after="0" w:line="200" w:lineRule="exact"/>
        <w:rPr>
          <w:sz w:val="20"/>
          <w:szCs w:val="20"/>
          <w:color w:val="auto"/>
        </w:rPr>
      </w:pPr>
    </w:p>
    <w:p>
      <w:pPr>
        <w:spacing w:after="0" w:line="26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may price the securities we sell under this prospectus:</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at a fixed public offering price or prices, which we may change from time to time;</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at market prices prevailing at the times of sale;</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at prices calculated by a formula based on prevailing market prices;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at negotiated prices; or</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in a combination of any of the above pricing methods.</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If we use underwriters for an offering, they will acquire securities for their own account and may resell them from time to time in one or more transactions at a fixed public offering price or at varying prices determined at the time of sale. The obligations of the underwriters to purchase the securities will be subject to the conditions set forth in the applicable underwriting agreement. We may offer the securities to the public through underwriting syndicates represented by managing underwriters or by underwriters without a syndicate. Subject to certain conditions and except as otherwise set forth in the applicable prospectus supplement, the underwriters will be obligated to purchase all the securities of the series offered by the prospectus supplement. The public offering price and any discounts or concessions allowed or re-allowed or paid to dealers may change from time to time. Only underwriters named in a prospectus supplement are underwriters of the securities offered by that prospectus supplement.</w:t>
      </w:r>
    </w:p>
    <w:p>
      <w:pPr>
        <w:spacing w:after="0" w:line="172" w:lineRule="exact"/>
        <w:rPr>
          <w:sz w:val="20"/>
          <w:szCs w:val="20"/>
          <w:color w:val="auto"/>
        </w:rPr>
      </w:pPr>
    </w:p>
    <w:p>
      <w:pPr>
        <w:ind w:right="540" w:firstLine="348"/>
        <w:spacing w:after="0" w:line="259" w:lineRule="auto"/>
        <w:rPr>
          <w:sz w:val="20"/>
          <w:szCs w:val="20"/>
          <w:color w:val="auto"/>
        </w:rPr>
      </w:pPr>
      <w:r>
        <w:rPr>
          <w:rFonts w:ascii="Arial" w:cs="Arial" w:eastAsia="Arial" w:hAnsi="Arial"/>
          <w:sz w:val="18"/>
          <w:szCs w:val="18"/>
          <w:color w:val="auto"/>
        </w:rPr>
        <w:t>We may grant to the underwriters options to purchase additional securities to cover over-allotments, if any, at the public offering price with additional underwriting discounts or commissions. If we grant any over-allotment option, the terms of any over-allotment option will be set forth in the prospectus supplement relating to those securities.</w:t>
      </w:r>
    </w:p>
    <w:p>
      <w:pPr>
        <w:sectPr>
          <w:pgSz w:w="11900" w:h="16838" w:orient="portrait"/>
          <w:cols w:equalWidth="0" w:num="1">
            <w:col w:w="11400"/>
          </w:cols>
          <w:pgMar w:left="240" w:top="131" w:right="259" w:bottom="0" w:gutter="0" w:footer="0" w:header="0"/>
        </w:sectPr>
      </w:pPr>
    </w:p>
    <w:bookmarkStart w:id="15" w:name="page16"/>
    <w:bookmarkEnd w:id="15"/>
    <w:p>
      <w:pPr>
        <w:ind w:firstLine="348"/>
        <w:spacing w:after="0" w:line="332" w:lineRule="auto"/>
        <w:rPr>
          <w:sz w:val="20"/>
          <w:szCs w:val="20"/>
          <w:color w:val="auto"/>
        </w:rPr>
      </w:pPr>
      <w:r>
        <w:rPr>
          <w:rFonts w:ascii="Arial" w:cs="Arial" w:eastAsia="Arial" w:hAnsi="Arial"/>
          <w:sz w:val="16"/>
          <w:szCs w:val="16"/>
          <w:color w:val="auto"/>
        </w:rPr>
        <w:t>We may also sell securities directly or through agents. We will name any agent involved in an offering and we will describe any commissions we will pay the agent in the prospectus supplement. Unless the prospectus supplement states otherwise, our agents will act on a best-efforts basis.</w:t>
      </w:r>
    </w:p>
    <w:p>
      <w:pPr>
        <w:spacing w:after="0" w:line="139" w:lineRule="exact"/>
        <w:rPr>
          <w:sz w:val="20"/>
          <w:szCs w:val="20"/>
          <w:color w:val="auto"/>
        </w:rPr>
      </w:pPr>
    </w:p>
    <w:p>
      <w:pPr>
        <w:ind w:right="120" w:firstLine="348"/>
        <w:spacing w:after="0" w:line="306" w:lineRule="auto"/>
        <w:rPr>
          <w:sz w:val="20"/>
          <w:szCs w:val="20"/>
          <w:color w:val="auto"/>
        </w:rPr>
      </w:pPr>
      <w:r>
        <w:rPr>
          <w:rFonts w:ascii="Arial" w:cs="Arial" w:eastAsia="Arial" w:hAnsi="Arial"/>
          <w:sz w:val="16"/>
          <w:szCs w:val="16"/>
          <w:color w:val="auto"/>
        </w:rPr>
        <w:t>We may authorize agents or underwriters to solicit offers by certain types of institutional investors to purchase securities from us at the public offering price set forth in the prospectus supplement pursuant to delayed delivery contracts providing for payment and delivery on a specified date in the future. We will describe the conditions of these contracts and the commissions we must pay for solicitation of these contracts in the prospectus supplement.</w:t>
      </w:r>
    </w:p>
    <w:p>
      <w:pPr>
        <w:spacing w:after="0" w:line="161"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We may provide agents and underwriters with indemnification against certain civil liabilities, including liabilities under the Securities Act of 1933, or contribution with respect to payments that the agents or underwriters may make with respect to such liabilities. Underwriters or agents may engage in transactions with us, or perform services for us, in the ordinary course of business. We may also use underwriters or agents with whom we have a material relationship. We will describe the nature of any such relationship in the prospectus supplement.</w:t>
      </w:r>
    </w:p>
    <w:p>
      <w:pPr>
        <w:spacing w:after="0" w:line="197" w:lineRule="exact"/>
        <w:rPr>
          <w:sz w:val="20"/>
          <w:szCs w:val="20"/>
          <w:color w:val="auto"/>
        </w:rPr>
      </w:pPr>
    </w:p>
    <w:p>
      <w:pPr>
        <w:ind w:right="20" w:firstLine="385"/>
        <w:spacing w:after="0" w:line="291" w:lineRule="auto"/>
        <w:rPr>
          <w:sz w:val="20"/>
          <w:szCs w:val="20"/>
          <w:color w:val="auto"/>
        </w:rPr>
      </w:pPr>
      <w:r>
        <w:rPr>
          <w:rFonts w:ascii="Arial" w:cs="Arial" w:eastAsia="Arial" w:hAnsi="Arial"/>
          <w:sz w:val="16"/>
          <w:szCs w:val="16"/>
          <w:color w:val="auto"/>
        </w:rPr>
        <w:t>An underwriter may engage in overallotment, stabilizing transactions, short covering transactions and penalty bids in accordance with Regulation M under the Securities Exchange Act of 1934. Overallotment involves sales in excess of the offering size, which create a short position. Stabilizing transactions permit bids to purchase the underlying security so long as the stabilizing bids do not exceed a specified maximum. Short covering transactions involve purchases of the securities in the open market after the distribution is completed to cover short positions. Penalty bids permit the underwriter to reclaim a selling concession from a dealer when the securities originally sold by the dealer are purchased in a covering transaction to cover short positions. These activities may cause the price of our securities to be higher than it would otherwise be on the open market. The underwriter may discontinue any of these activities at any time.</w:t>
      </w:r>
    </w:p>
    <w:p>
      <w:pPr>
        <w:spacing w:after="0" w:line="174" w:lineRule="exact"/>
        <w:rPr>
          <w:sz w:val="20"/>
          <w:szCs w:val="20"/>
          <w:color w:val="auto"/>
        </w:rPr>
      </w:pPr>
    </w:p>
    <w:p>
      <w:pPr>
        <w:ind w:right="20" w:firstLine="341"/>
        <w:spacing w:after="0" w:line="259" w:lineRule="auto"/>
        <w:rPr>
          <w:sz w:val="20"/>
          <w:szCs w:val="20"/>
          <w:color w:val="auto"/>
        </w:rPr>
      </w:pPr>
      <w:r>
        <w:rPr>
          <w:rFonts w:ascii="Arial" w:cs="Arial" w:eastAsia="Arial" w:hAnsi="Arial"/>
          <w:sz w:val="18"/>
          <w:szCs w:val="18"/>
          <w:color w:val="auto"/>
        </w:rPr>
        <w:t>All securities we offer, other than common stock, will be new issues of securities, with no established trading market. Underwriters may make a market in these securities, but will not be obligated to do so and may discontinue market making at any time without notice. We cannot guarantee the liquidity of the trading markets for any securities.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DIVIDEND POLICY</w:t>
      </w:r>
    </w:p>
    <w:p>
      <w:pPr>
        <w:spacing w:after="0" w:line="31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Since 1998, we have not declared or paid cash dividends on any of our shares and we have no current intention of paying any cash dividends in the future.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facility agreement that we entered into with our banks, as amended, prohibits the payment of dividends.</w:t>
      </w:r>
    </w:p>
    <w:p>
      <w:pPr>
        <w:spacing w:after="0" w:line="219" w:lineRule="exact"/>
        <w:rPr>
          <w:sz w:val="20"/>
          <w:szCs w:val="20"/>
          <w:color w:val="auto"/>
        </w:rPr>
      </w:pPr>
    </w:p>
    <w:p>
      <w:pPr>
        <w:ind w:right="140" w:firstLine="348"/>
        <w:spacing w:after="0" w:line="332" w:lineRule="auto"/>
        <w:rPr>
          <w:sz w:val="20"/>
          <w:szCs w:val="20"/>
          <w:color w:val="auto"/>
        </w:rPr>
      </w:pPr>
      <w:r>
        <w:rPr>
          <w:rFonts w:ascii="Arial" w:cs="Arial" w:eastAsia="Arial" w:hAnsi="Arial"/>
          <w:sz w:val="16"/>
          <w:szCs w:val="16"/>
          <w:color w:val="auto"/>
        </w:rPr>
        <w:t>The Companies Law also restricts our ability to declare dividends. We can only distribute dividends from profits (as defined in the law), provided that there is no reasonable suspicion that the dividend distribution will prevent us from meeting our existing and future expected obligations as they come due.</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OFFERING EXPENSES</w:t>
      </w:r>
    </w:p>
    <w:p>
      <w:pPr>
        <w:spacing w:after="0" w:line="312"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The following is a statement of expenses in connection with the distribution of the securities registered. All amounts shown are estimates except the SEC registration fee. The estimates do not include expenses related to offerings of particular securities. Each prospectus supplement describing an offering of securities will reflect the estimated expenses related to the offering of securities under that prospectus supplement.</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fees</w:t>
            </w:r>
          </w:p>
        </w:tc>
        <w:tc>
          <w:tcPr>
            <w:tcW w:w="42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1,179.00</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42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2"/>
              <w:spacing w:after="0"/>
              <w:rPr>
                <w:sz w:val="20"/>
                <w:szCs w:val="20"/>
                <w:color w:val="auto"/>
              </w:rPr>
            </w:pPr>
            <w:r>
              <w:rPr>
                <w:rFonts w:ascii="Arial" w:cs="Arial" w:eastAsia="Arial" w:hAnsi="Arial"/>
                <w:sz w:val="18"/>
                <w:szCs w:val="18"/>
                <w:color w:val="auto"/>
              </w:rPr>
              <w:t>25,000.00</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Accountants fees and expenses</w:t>
            </w:r>
          </w:p>
        </w:tc>
        <w:tc>
          <w:tcPr>
            <w:tcW w:w="42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5,000.00</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Printing expenses</w:t>
            </w:r>
          </w:p>
        </w:tc>
        <w:tc>
          <w:tcPr>
            <w:tcW w:w="42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2"/>
              <w:spacing w:after="0"/>
              <w:rPr>
                <w:sz w:val="20"/>
                <w:szCs w:val="20"/>
                <w:color w:val="auto"/>
              </w:rPr>
            </w:pPr>
            <w:r>
              <w:rPr>
                <w:rFonts w:ascii="Arial" w:cs="Arial" w:eastAsia="Arial" w:hAnsi="Arial"/>
                <w:sz w:val="18"/>
                <w:szCs w:val="18"/>
                <w:color w:val="auto"/>
              </w:rPr>
              <w:t>3,000.00</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Miscellaneous</w:t>
            </w:r>
          </w:p>
        </w:tc>
        <w:tc>
          <w:tcPr>
            <w:tcW w:w="42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5,821.00</w:t>
            </w:r>
          </w:p>
        </w:tc>
      </w:tr>
      <w:tr>
        <w:trPr>
          <w:trHeight w:val="430"/>
        </w:trPr>
        <w:tc>
          <w:tcPr>
            <w:tcW w:w="6080" w:type="dxa"/>
            <w:vAlign w:val="bottom"/>
          </w:tcPr>
          <w:p>
            <w:pPr>
              <w:spacing w:after="0"/>
              <w:rPr>
                <w:sz w:val="20"/>
                <w:szCs w:val="20"/>
                <w:color w:val="auto"/>
              </w:rPr>
            </w:pPr>
            <w:r>
              <w:rPr>
                <w:rFonts w:ascii="Arial" w:cs="Arial" w:eastAsia="Arial" w:hAnsi="Arial"/>
                <w:sz w:val="18"/>
                <w:szCs w:val="18"/>
                <w:color w:val="auto"/>
              </w:rPr>
              <w:t>TOTAL</w:t>
            </w:r>
          </w:p>
        </w:tc>
        <w:tc>
          <w:tcPr>
            <w:tcW w:w="42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2"/>
              <w:spacing w:after="0"/>
              <w:rPr>
                <w:sz w:val="20"/>
                <w:szCs w:val="20"/>
                <w:color w:val="auto"/>
              </w:rPr>
            </w:pPr>
            <w:r>
              <w:rPr>
                <w:rFonts w:ascii="Arial" w:cs="Arial" w:eastAsia="Arial" w:hAnsi="Arial"/>
                <w:sz w:val="18"/>
                <w:szCs w:val="18"/>
                <w:color w:val="auto"/>
              </w:rPr>
              <w:t>40,000.00</w:t>
            </w:r>
          </w:p>
        </w:tc>
      </w:tr>
    </w:tbl>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312" w:lineRule="exact"/>
        <w:rPr>
          <w:sz w:val="20"/>
          <w:szCs w:val="20"/>
          <w:color w:val="auto"/>
        </w:rPr>
      </w:pPr>
    </w:p>
    <w:p>
      <w:pPr>
        <w:jc w:val="both"/>
        <w:ind w:firstLine="348"/>
        <w:spacing w:after="0" w:line="332" w:lineRule="auto"/>
        <w:rPr>
          <w:sz w:val="20"/>
          <w:szCs w:val="20"/>
          <w:color w:val="auto"/>
        </w:rPr>
      </w:pPr>
      <w:r>
        <w:rPr>
          <w:rFonts w:ascii="Arial" w:cs="Arial" w:eastAsia="Arial" w:hAnsi="Arial"/>
          <w:sz w:val="16"/>
          <w:szCs w:val="16"/>
          <w:color w:val="auto"/>
        </w:rPr>
        <w:t>The validity of the securities offered in this prospectus will be passed upon for us by Yigal Arnon &amp; Co., our Israeli counsel, and by Eilenberg Krause &amp; Paul LLP, our U.S. counsel. Any underwriters will be advised with respect to other issues relating to any offering by their own legal counsel.</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312" w:lineRule="exact"/>
        <w:rPr>
          <w:sz w:val="20"/>
          <w:szCs w:val="20"/>
          <w:color w:val="auto"/>
        </w:rPr>
      </w:pPr>
    </w:p>
    <w:p>
      <w:pPr>
        <w:ind w:right="400" w:firstLine="348"/>
        <w:spacing w:after="0" w:line="256" w:lineRule="auto"/>
        <w:rPr>
          <w:sz w:val="20"/>
          <w:szCs w:val="20"/>
          <w:color w:val="auto"/>
        </w:rPr>
      </w:pPr>
      <w:r>
        <w:rPr>
          <w:rFonts w:ascii="Arial" w:cs="Arial" w:eastAsia="Arial" w:hAnsi="Arial"/>
          <w:sz w:val="18"/>
          <w:szCs w:val="18"/>
          <w:color w:val="auto"/>
        </w:rPr>
        <w:t>The financial statements as of December 31, 2006 and 2005, and for each of the three years in the period ended December 31, 2006, incorporated by reference in this Prospectus have been audited by Brightman Almagor &amp; Co. A member of Deloitte Touche Tohmatsu, an independent registered public accounting firm, as stated in their reports, which are incorporated by reference herein, and have been so incorporated in reliance upon the report of such firm given upon their authority as experts in accounting and auditing.</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ENFORCEABILITY OF CIVIL LIABILITIES AND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AGENT FOR SERVICE OF PROCESS IN THE UNITED STATES</w:t>
      </w:r>
    </w:p>
    <w:p>
      <w:pPr>
        <w:spacing w:after="0" w:line="286" w:lineRule="exact"/>
        <w:rPr>
          <w:sz w:val="20"/>
          <w:szCs w:val="20"/>
          <w:color w:val="auto"/>
        </w:rPr>
      </w:pPr>
    </w:p>
    <w:p>
      <w:pPr>
        <w:ind w:right="220" w:firstLine="348"/>
        <w:spacing w:after="0" w:line="255" w:lineRule="auto"/>
        <w:rPr>
          <w:sz w:val="20"/>
          <w:szCs w:val="20"/>
          <w:color w:val="auto"/>
        </w:rPr>
      </w:pPr>
      <w:r>
        <w:rPr>
          <w:rFonts w:ascii="Arial" w:cs="Arial" w:eastAsia="Arial" w:hAnsi="Arial"/>
          <w:sz w:val="18"/>
          <w:szCs w:val="18"/>
          <w:color w:val="auto"/>
        </w:rPr>
        <w:t>We are incorporated in Israel, most of our executive officers and directors and the Israeli experts named herein are nonresidents of the United States, and a substantial portion of our assets and of such persons’ assets are located outside the United States. For further information regarding enforceability of civil liabilities against us and other persons, see “Risk Factors– It may be difficult to enforce a U.S. judgment against us, our officers and directors and some of the experts named in this prospectus or to assert U.S. securities law claims in Israel”, included in our annual report on Form 20-F for the year ended December 31, 2006, which is incorporated by reference herein.</w:t>
      </w:r>
    </w:p>
    <w:p>
      <w:pPr>
        <w:sectPr>
          <w:pgSz w:w="11900" w:h="16838" w:orient="portrait"/>
          <w:cols w:equalWidth="0" w:num="1">
            <w:col w:w="11420"/>
          </w:cols>
          <w:pgMar w:left="240" w:top="131" w:right="239" w:bottom="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This prospectus is part of a registration statement we filed with the SEC. You should rely only on the information or representations contained in this prospectus and any accompanying prospectus supplement. We have not authorized anyone to provide information other than that provided in this prospectus and any accompanying prospectus supplement. We are not making an offer of these securities in any state where the offer is not permitted. You should not assume that the information in this prospectus or any accompanying prospectus supplement is accurate as of any date other than the date on the front of the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2603500</wp:posOffset>
            </wp:positionH>
            <wp:positionV relativeFrom="paragraph">
              <wp:posOffset>111125</wp:posOffset>
            </wp:positionV>
            <wp:extent cx="2058035" cy="677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058035" cy="677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$30,000,000</w:t>
      </w:r>
    </w:p>
    <w:p>
      <w:pPr>
        <w:spacing w:after="0" w:line="225"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Ordinary Shares</w:t>
      </w:r>
    </w:p>
    <w:p>
      <w:pPr>
        <w:spacing w:after="0" w:line="15"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Capital Notes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Debt Securities</w:t>
      </w:r>
    </w:p>
    <w:p>
      <w:pPr>
        <w:spacing w:after="0" w:line="9"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Purchase Contracts</w:t>
      </w:r>
    </w:p>
    <w:p>
      <w:pPr>
        <w:spacing w:after="0" w:line="9"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Warrants</w:t>
      </w:r>
    </w:p>
    <w:p>
      <w:pPr>
        <w:spacing w:after="0" w:line="9"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Units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PROSPECTUS</w:t>
      </w:r>
    </w:p>
    <w:p>
      <w:pPr>
        <w:spacing w:after="0" w:line="225"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___________,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INFORMATION NOT REQUIRED IN PROSPECTUS</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Indemnification of Directors And Officers.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Israeli Companies Law-1999, or the Companies Law, provides that a company may include in its articles of association provisions allowing it to:</w:t>
      </w:r>
    </w:p>
    <w:p>
      <w:pPr>
        <w:spacing w:after="0" w:line="248" w:lineRule="exact"/>
        <w:rPr>
          <w:sz w:val="20"/>
          <w:szCs w:val="20"/>
          <w:color w:val="auto"/>
        </w:rPr>
      </w:pPr>
    </w:p>
    <w:p>
      <w:pPr>
        <w:ind w:left="1160" w:right="20" w:hanging="571"/>
        <w:spacing w:after="0" w:line="259" w:lineRule="auto"/>
        <w:tabs>
          <w:tab w:leader="none" w:pos="11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partially or fully, exempt in advance, an office holder of the company from his responsibility for damages caused by the breach of his duty of care to the company, except for damages caused to the Company due to any breach of such Office Holder’s duty of care towards the company in a “distribution” (as defined in the Companies Law).</w:t>
      </w:r>
    </w:p>
    <w:p>
      <w:pPr>
        <w:spacing w:after="0" w:line="221" w:lineRule="exact"/>
        <w:rPr>
          <w:rFonts w:ascii="Arial" w:cs="Arial" w:eastAsia="Arial" w:hAnsi="Arial"/>
          <w:sz w:val="18"/>
          <w:szCs w:val="18"/>
          <w:color w:val="auto"/>
        </w:rPr>
      </w:pPr>
    </w:p>
    <w:p>
      <w:pPr>
        <w:ind w:left="1160" w:right="20" w:hanging="571"/>
        <w:spacing w:after="0" w:line="268" w:lineRule="auto"/>
        <w:tabs>
          <w:tab w:leader="none" w:pos="11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enter into a contract to insure the liability of an office holder of the company by reason of acts or omissions committed in his capacity as an office holder of the company with respect to the following:</w:t>
      </w:r>
    </w:p>
    <w:p>
      <w:pPr>
        <w:spacing w:after="0" w:line="212" w:lineRule="exact"/>
        <w:rPr>
          <w:rFonts w:ascii="Arial" w:cs="Arial" w:eastAsia="Arial" w:hAnsi="Arial"/>
          <w:sz w:val="18"/>
          <w:szCs w:val="18"/>
          <w:color w:val="auto"/>
        </w:rPr>
      </w:pPr>
    </w:p>
    <w:p>
      <w:pPr>
        <w:ind w:left="1720" w:hanging="564"/>
        <w:spacing w:after="0"/>
        <w:tabs>
          <w:tab w:leader="none" w:pos="1720"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the breach of his duty of care to the company or any other person;</w:t>
      </w:r>
    </w:p>
    <w:p>
      <w:pPr>
        <w:spacing w:after="0" w:line="252" w:lineRule="exact"/>
        <w:rPr>
          <w:rFonts w:ascii="Arial" w:cs="Arial" w:eastAsia="Arial" w:hAnsi="Arial"/>
          <w:sz w:val="18"/>
          <w:szCs w:val="18"/>
          <w:color w:val="auto"/>
        </w:rPr>
      </w:pPr>
    </w:p>
    <w:p>
      <w:pPr>
        <w:ind w:left="1720" w:right="260" w:hanging="564"/>
        <w:spacing w:after="0" w:line="268" w:lineRule="auto"/>
        <w:tabs>
          <w:tab w:leader="none" w:pos="1720"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the breach of his fiduciary duty to the company to the extent he acted in good faith and had a reasonable basis to believe that the act or omission would not prejudice the interests of the company; and</w:t>
      </w:r>
    </w:p>
    <w:p>
      <w:pPr>
        <w:spacing w:after="0" w:line="212" w:lineRule="exact"/>
        <w:rPr>
          <w:rFonts w:ascii="Arial" w:cs="Arial" w:eastAsia="Arial" w:hAnsi="Arial"/>
          <w:sz w:val="18"/>
          <w:szCs w:val="18"/>
          <w:color w:val="auto"/>
        </w:rPr>
      </w:pPr>
    </w:p>
    <w:p>
      <w:pPr>
        <w:ind w:left="1720" w:hanging="564"/>
        <w:spacing w:after="0"/>
        <w:tabs>
          <w:tab w:leader="none" w:pos="1720" w:val="left"/>
        </w:tabs>
        <w:numPr>
          <w:ilvl w:val="1"/>
          <w:numId w:val="33"/>
        </w:numPr>
        <w:rPr>
          <w:rFonts w:ascii="Arial" w:cs="Arial" w:eastAsia="Arial" w:hAnsi="Arial"/>
          <w:sz w:val="18"/>
          <w:szCs w:val="18"/>
          <w:color w:val="auto"/>
        </w:rPr>
      </w:pPr>
      <w:r>
        <w:rPr>
          <w:rFonts w:ascii="Arial" w:cs="Arial" w:eastAsia="Arial" w:hAnsi="Arial"/>
          <w:sz w:val="18"/>
          <w:szCs w:val="18"/>
          <w:color w:val="auto"/>
        </w:rPr>
        <w:t>monetary liabilities or obligations which may be imposed upon him in favor of other persons.</w:t>
      </w:r>
    </w:p>
    <w:p>
      <w:pPr>
        <w:spacing w:after="0" w:line="252" w:lineRule="exact"/>
        <w:rPr>
          <w:rFonts w:ascii="Arial" w:cs="Arial" w:eastAsia="Arial" w:hAnsi="Arial"/>
          <w:sz w:val="18"/>
          <w:szCs w:val="18"/>
          <w:color w:val="auto"/>
        </w:rPr>
      </w:pPr>
    </w:p>
    <w:p>
      <w:pPr>
        <w:ind w:left="1160" w:hanging="571"/>
        <w:spacing w:after="0"/>
        <w:tabs>
          <w:tab w:leader="none" w:pos="11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indemnify an office holder of the company for:</w:t>
      </w:r>
    </w:p>
    <w:p>
      <w:pPr>
        <w:spacing w:after="0" w:line="252" w:lineRule="exact"/>
        <w:rPr>
          <w:rFonts w:ascii="Arial" w:cs="Arial" w:eastAsia="Arial" w:hAnsi="Arial"/>
          <w:sz w:val="18"/>
          <w:szCs w:val="18"/>
          <w:color w:val="auto"/>
        </w:rPr>
      </w:pPr>
    </w:p>
    <w:p>
      <w:pPr>
        <w:ind w:left="1720" w:right="80" w:hanging="564"/>
        <w:spacing w:after="0" w:line="259" w:lineRule="auto"/>
        <w:tabs>
          <w:tab w:leader="none" w:pos="1720" w:val="left"/>
        </w:tabs>
        <w:numPr>
          <w:ilvl w:val="1"/>
          <w:numId w:val="33"/>
        </w:numPr>
        <w:rPr>
          <w:rFonts w:ascii="Arial" w:cs="Arial" w:eastAsia="Arial" w:hAnsi="Arial"/>
          <w:sz w:val="18"/>
          <w:szCs w:val="18"/>
          <w:color w:val="auto"/>
        </w:rPr>
      </w:pPr>
      <w:r>
        <w:rPr>
          <w:rFonts w:ascii="Arial" w:cs="Arial" w:eastAsia="Arial" w:hAnsi="Arial"/>
          <w:sz w:val="18"/>
          <w:szCs w:val="18"/>
          <w:color w:val="auto"/>
        </w:rPr>
        <w:t>monetary liabilities or obligations imposed upon, or actually incurred by, such officer holder in favor of other persons pursuant to a court judgment, including a compromise judgment or an arbitrator’s decision approved by a court, by reason of acts or omissions of such officer holder in his or her capacity as an office holder of the company;</w:t>
      </w:r>
    </w:p>
    <w:p>
      <w:pPr>
        <w:spacing w:after="0" w:line="221" w:lineRule="exact"/>
        <w:rPr>
          <w:rFonts w:ascii="Arial" w:cs="Arial" w:eastAsia="Arial" w:hAnsi="Arial"/>
          <w:sz w:val="18"/>
          <w:szCs w:val="18"/>
          <w:color w:val="auto"/>
        </w:rPr>
      </w:pPr>
    </w:p>
    <w:p>
      <w:pPr>
        <w:ind w:left="1720" w:hanging="564"/>
        <w:spacing w:after="0" w:line="298" w:lineRule="auto"/>
        <w:tabs>
          <w:tab w:leader="none" w:pos="1720" w:val="left"/>
        </w:tabs>
        <w:numPr>
          <w:ilvl w:val="1"/>
          <w:numId w:val="33"/>
        </w:numPr>
        <w:rPr>
          <w:rFonts w:ascii="Arial" w:cs="Arial" w:eastAsia="Arial" w:hAnsi="Arial"/>
          <w:sz w:val="16"/>
          <w:szCs w:val="16"/>
          <w:color w:val="auto"/>
        </w:rPr>
      </w:pPr>
      <w:r>
        <w:rPr>
          <w:rFonts w:ascii="Arial" w:cs="Arial" w:eastAsia="Arial" w:hAnsi="Arial"/>
          <w:sz w:val="16"/>
          <w:szCs w:val="16"/>
          <w:color w:val="auto"/>
        </w:rPr>
        <w:t>reasonable litigation expenses, including attorney’s fees, actually incurred by such office holder or imposed upon him or her by a court, in an action, suit or proceeding brought against him or her by or on behalf of us or by other persons, or in connection with a criminal action from which he or she was acquitted, or in connection with a criminal action which does not require criminal intent in which he was convicted, in each case by reason of acts or omissions of such officer holder in his or her capacity as an office holder; and</w:t>
      </w:r>
    </w:p>
    <w:p>
      <w:pPr>
        <w:spacing w:after="0" w:line="193" w:lineRule="exact"/>
        <w:rPr>
          <w:rFonts w:ascii="Arial" w:cs="Arial" w:eastAsia="Arial" w:hAnsi="Arial"/>
          <w:sz w:val="16"/>
          <w:szCs w:val="16"/>
          <w:color w:val="auto"/>
        </w:rPr>
      </w:pPr>
    </w:p>
    <w:p>
      <w:pPr>
        <w:ind w:left="1720" w:hanging="564"/>
        <w:spacing w:after="0" w:line="291" w:lineRule="auto"/>
        <w:tabs>
          <w:tab w:leader="none" w:pos="1720" w:val="left"/>
        </w:tabs>
        <w:numPr>
          <w:ilvl w:val="1"/>
          <w:numId w:val="33"/>
        </w:numPr>
        <w:rPr>
          <w:rFonts w:ascii="Arial" w:cs="Arial" w:eastAsia="Arial" w:hAnsi="Arial"/>
          <w:sz w:val="16"/>
          <w:szCs w:val="16"/>
          <w:color w:val="auto"/>
        </w:rPr>
      </w:pPr>
      <w:r>
        <w:rPr>
          <w:rFonts w:ascii="Arial" w:cs="Arial" w:eastAsia="Arial" w:hAnsi="Arial"/>
          <w:sz w:val="16"/>
          <w:szCs w:val="16"/>
          <w:color w:val="auto"/>
        </w:rPr>
        <w:t>reasonable litigation expenses, including attorneys’ fees, actually incurred by such office holder due to an investigation or a proceeding instituted against such office holder by an authority competent to administrate such an investigation or proceeding, and that was finalized without the filing of an indictment against such office holder and without any financial obligation imposed on such office holder in lieu of criminal proceedings, or that was finalized without the filing of an indictment against such office holder but with financial obligation imposed on such office holder in lieu of criminal proceedings of a crime which does not require proof of criminal intent, in each case by reason of acts of such officer holder in his or her capacity as an office holder of the company.</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The Companies Law provides that a company’s articles of association may provide for indemnification of an office holder post-factum and may also provide that a company may undertake to indemnify an office holder in advance, as described in:</w:t>
      </w:r>
    </w:p>
    <w:p>
      <w:pPr>
        <w:sectPr>
          <w:pgSz w:w="11900" w:h="16838" w:orient="portrait"/>
          <w:cols w:equalWidth="0" w:num="1">
            <w:col w:w="11420"/>
          </w:cols>
          <w:pgMar w:left="240" w:top="131" w:right="239" w:bottom="135" w:gutter="0" w:footer="0" w:header="0"/>
        </w:sectPr>
      </w:pPr>
    </w:p>
    <w:bookmarkStart w:id="17" w:name="page18"/>
    <w:bookmarkEnd w:id="17"/>
    <w:p>
      <w:pPr>
        <w:jc w:val="both"/>
        <w:ind w:right="180" w:firstLine="184"/>
        <w:spacing w:after="0" w:line="306" w:lineRule="auto"/>
        <w:tabs>
          <w:tab w:leader="none" w:pos="619" w:val="left"/>
        </w:tabs>
        <w:numPr>
          <w:ilvl w:val="0"/>
          <w:numId w:val="34"/>
        </w:numPr>
        <w:rPr>
          <w:rFonts w:ascii="Arial" w:cs="Arial" w:eastAsia="Arial" w:hAnsi="Arial"/>
          <w:sz w:val="16"/>
          <w:szCs w:val="16"/>
          <w:color w:val="auto"/>
        </w:rPr>
      </w:pPr>
      <w:r>
        <w:rPr>
          <w:rFonts w:ascii="Arial" w:cs="Arial" w:eastAsia="Arial" w:hAnsi="Arial"/>
          <w:sz w:val="16"/>
          <w:szCs w:val="16"/>
          <w:color w:val="auto"/>
        </w:rPr>
        <w:t>sub-section 3(a) above, provided such undertaking is limited to and actually sets forth the types of occurrences, which, in the opinion of the company’s board of directors based on the current activity of the company, are, at the time such undertaking is provided, foreseeable, and to an amount and degree that the board of directors has determined is reasonable for such indemnification under the circumstances; and</w:t>
      </w:r>
    </w:p>
    <w:p>
      <w:pPr>
        <w:spacing w:after="0" w:line="160" w:lineRule="exact"/>
        <w:rPr>
          <w:rFonts w:ascii="Arial" w:cs="Arial" w:eastAsia="Arial" w:hAnsi="Arial"/>
          <w:sz w:val="16"/>
          <w:szCs w:val="16"/>
          <w:color w:val="auto"/>
        </w:rPr>
      </w:pPr>
    </w:p>
    <w:p>
      <w:pPr>
        <w:ind w:left="680" w:hanging="496"/>
        <w:spacing w:after="0"/>
        <w:tabs>
          <w:tab w:leader="none" w:pos="6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sub-sections 3(b) and 3(c) above.</w:t>
      </w:r>
    </w:p>
    <w:p>
      <w:pPr>
        <w:spacing w:after="0" w:line="225"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Companies Law provides that a company may not indemnify or exempt the liabilities of an office holder or enter into an insurance contract which would provide coverage for the liability of an office holder with respect to the following:</w:t>
      </w:r>
    </w:p>
    <w:p>
      <w:pPr>
        <w:spacing w:after="0" w:line="18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a breach of his fiduciary duty, except to the extent described above;</w:t>
      </w:r>
    </w:p>
    <w:p>
      <w:pPr>
        <w:spacing w:after="0" w:line="252" w:lineRule="exact"/>
        <w:rPr>
          <w:sz w:val="20"/>
          <w:szCs w:val="20"/>
          <w:color w:val="auto"/>
        </w:rPr>
      </w:pPr>
    </w:p>
    <w:p>
      <w:pPr>
        <w:ind w:left="1160" w:right="760" w:hanging="567"/>
        <w:spacing w:after="0" w:line="268" w:lineRule="auto"/>
        <w:rPr>
          <w:sz w:val="20"/>
          <w:szCs w:val="20"/>
          <w:color w:val="auto"/>
        </w:rPr>
      </w:pPr>
      <w:r>
        <w:rPr>
          <w:rFonts w:ascii="Arial" w:cs="Arial" w:eastAsia="Arial" w:hAnsi="Arial"/>
          <w:sz w:val="18"/>
          <w:szCs w:val="18"/>
          <w:color w:val="auto"/>
        </w:rPr>
        <w:t>—a breach of his duty of care, if such breach was done intentionally, recklessly or with disregard of the circumstances of the breach or its consequences;</w:t>
      </w:r>
    </w:p>
    <w:p>
      <w:pPr>
        <w:spacing w:after="0" w:line="21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an act or omission done with the intent to unlawfully realize personal gain; or</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a fine or monetary settlement imposed upon him.</w:t>
      </w:r>
    </w:p>
    <w:p>
      <w:pPr>
        <w:spacing w:after="0" w:line="200" w:lineRule="exact"/>
        <w:rPr>
          <w:sz w:val="20"/>
          <w:szCs w:val="20"/>
          <w:color w:val="auto"/>
        </w:rPr>
      </w:pPr>
    </w:p>
    <w:p>
      <w:pPr>
        <w:spacing w:after="0" w:line="268" w:lineRule="exact"/>
        <w:rPr>
          <w:sz w:val="20"/>
          <w:szCs w:val="20"/>
          <w:color w:val="auto"/>
        </w:rPr>
      </w:pPr>
    </w:p>
    <w:p>
      <w:pPr>
        <w:ind w:right="420" w:firstLine="351"/>
        <w:spacing w:after="0" w:line="259" w:lineRule="auto"/>
        <w:rPr>
          <w:sz w:val="20"/>
          <w:szCs w:val="20"/>
          <w:color w:val="auto"/>
        </w:rPr>
      </w:pPr>
      <w:r>
        <w:rPr>
          <w:rFonts w:ascii="Arial" w:cs="Arial" w:eastAsia="Arial" w:hAnsi="Arial"/>
          <w:sz w:val="18"/>
          <w:szCs w:val="18"/>
          <w:color w:val="auto"/>
        </w:rPr>
        <w:t>Under the Companies Law, the term “office holder” may include a director, managing director, general manager, chief executive officer, executive vice president, vice president, other managers directly subordinate to the managing director and any other person fulfilling or assuming any such position or responsibility without regard to such person’s title.</w:t>
      </w:r>
    </w:p>
    <w:p>
      <w:pPr>
        <w:spacing w:after="0" w:line="194" w:lineRule="exact"/>
        <w:rPr>
          <w:sz w:val="20"/>
          <w:szCs w:val="20"/>
          <w:color w:val="auto"/>
        </w:rPr>
      </w:pPr>
    </w:p>
    <w:p>
      <w:pPr>
        <w:ind w:right="100" w:firstLine="348"/>
        <w:spacing w:after="0" w:line="259" w:lineRule="auto"/>
        <w:rPr>
          <w:sz w:val="20"/>
          <w:szCs w:val="20"/>
          <w:color w:val="auto"/>
        </w:rPr>
      </w:pPr>
      <w:r>
        <w:rPr>
          <w:rFonts w:ascii="Arial" w:cs="Arial" w:eastAsia="Arial" w:hAnsi="Arial"/>
          <w:sz w:val="18"/>
          <w:szCs w:val="18"/>
          <w:color w:val="auto"/>
        </w:rPr>
        <w:t>The grant of an exemption, an undertaking to indemnify or indemnification of, and procurement of insurance coverage for, an office holder of a company requires, pursuant to the Companies Law, the approval of our audit committee and board of directors, and, in certain circumstances, including if the office holder is a director, the approval of our shareholders.</w:t>
      </w:r>
    </w:p>
    <w:p>
      <w:pPr>
        <w:spacing w:after="0" w:line="194" w:lineRule="exact"/>
        <w:rPr>
          <w:sz w:val="20"/>
          <w:szCs w:val="20"/>
          <w:color w:val="auto"/>
        </w:rPr>
      </w:pPr>
    </w:p>
    <w:p>
      <w:pPr>
        <w:ind w:right="580" w:firstLine="348"/>
        <w:spacing w:after="0" w:line="268" w:lineRule="auto"/>
        <w:rPr>
          <w:sz w:val="20"/>
          <w:szCs w:val="20"/>
          <w:color w:val="auto"/>
        </w:rPr>
      </w:pPr>
      <w:r>
        <w:rPr>
          <w:rFonts w:ascii="Arial" w:cs="Arial" w:eastAsia="Arial" w:hAnsi="Arial"/>
          <w:sz w:val="18"/>
          <w:szCs w:val="18"/>
          <w:color w:val="auto"/>
        </w:rPr>
        <w:t>We have entered into an insurance contract for directors and officers and have procured indemnification insurance for our office holders to the extent permitted by our Articles of Association. We have never had the occasion to indemnify any of our office holders.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Exhibits.</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with this registration statement:</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80" w:type="dxa"/>
            <w:vAlign w:val="bottom"/>
            <w:gridSpan w:val="2"/>
          </w:tcPr>
          <w:p>
            <w:pPr>
              <w:spacing w:after="0"/>
              <w:rPr>
                <w:sz w:val="20"/>
                <w:szCs w:val="20"/>
                <w:color w:val="auto"/>
              </w:rPr>
            </w:pPr>
            <w:r>
              <w:rPr>
                <w:rFonts w:ascii="Arial" w:cs="Arial" w:eastAsia="Arial" w:hAnsi="Arial"/>
                <w:sz w:val="18"/>
                <w:szCs w:val="18"/>
                <w:color w:val="auto"/>
              </w:rPr>
              <w:t>No.</w:t>
            </w:r>
          </w:p>
        </w:tc>
        <w:tc>
          <w:tcPr>
            <w:tcW w:w="9960" w:type="dxa"/>
            <w:vAlign w:val="bottom"/>
            <w:gridSpan w:val="2"/>
          </w:tcPr>
          <w:p>
            <w:pPr>
              <w:spacing w:after="0"/>
              <w:rPr>
                <w:sz w:val="20"/>
                <w:szCs w:val="20"/>
                <w:color w:val="auto"/>
              </w:rPr>
            </w:pPr>
            <w:r>
              <w:rPr>
                <w:rFonts w:ascii="Arial" w:cs="Arial" w:eastAsia="Arial" w:hAnsi="Arial"/>
                <w:sz w:val="18"/>
                <w:szCs w:val="18"/>
                <w:color w:val="auto"/>
              </w:rPr>
              <w:t>Description</w:t>
            </w:r>
          </w:p>
        </w:tc>
      </w:tr>
      <w:tr>
        <w:trPr>
          <w:trHeight w:val="20"/>
        </w:trPr>
        <w:tc>
          <w:tcPr>
            <w:tcW w:w="26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9140" w:type="dxa"/>
            <w:vAlign w:val="bottom"/>
          </w:tcPr>
          <w:p>
            <w:pPr>
              <w:spacing w:after="0" w:line="20" w:lineRule="exact"/>
              <w:rPr>
                <w:sz w:val="1"/>
                <w:szCs w:val="1"/>
                <w:color w:val="auto"/>
              </w:rPr>
            </w:pPr>
          </w:p>
        </w:tc>
      </w:tr>
      <w:tr>
        <w:trPr>
          <w:trHeight w:val="478"/>
        </w:trPr>
        <w:tc>
          <w:tcPr>
            <w:tcW w:w="260" w:type="dxa"/>
            <w:vAlign w:val="bottom"/>
          </w:tcPr>
          <w:p>
            <w:pPr>
              <w:spacing w:after="0"/>
              <w:rPr>
                <w:sz w:val="20"/>
                <w:szCs w:val="20"/>
                <w:color w:val="auto"/>
              </w:rPr>
            </w:pPr>
            <w:r>
              <w:rPr>
                <w:rFonts w:ascii="Arial" w:cs="Arial" w:eastAsia="Arial" w:hAnsi="Arial"/>
                <w:sz w:val="18"/>
                <w:szCs w:val="18"/>
                <w:color w:val="auto"/>
                <w:w w:val="95"/>
              </w:rPr>
              <w:t>1.1</w:t>
            </w:r>
          </w:p>
        </w:tc>
        <w:tc>
          <w:tcPr>
            <w:tcW w:w="1120" w:type="dxa"/>
            <w:vAlign w:val="bottom"/>
          </w:tcPr>
          <w:p>
            <w:pPr>
              <w:spacing w:after="0"/>
              <w:rPr>
                <w:sz w:val="24"/>
                <w:szCs w:val="24"/>
                <w:color w:val="auto"/>
              </w:rPr>
            </w:pPr>
          </w:p>
        </w:tc>
        <w:tc>
          <w:tcPr>
            <w:tcW w:w="9960" w:type="dxa"/>
            <w:vAlign w:val="bottom"/>
            <w:gridSpan w:val="2"/>
          </w:tcPr>
          <w:p>
            <w:pPr>
              <w:spacing w:after="0"/>
              <w:rPr>
                <w:sz w:val="20"/>
                <w:szCs w:val="20"/>
                <w:color w:val="auto"/>
              </w:rPr>
            </w:pPr>
            <w:r>
              <w:rPr>
                <w:rFonts w:ascii="Arial" w:cs="Arial" w:eastAsia="Arial" w:hAnsi="Arial"/>
                <w:sz w:val="18"/>
                <w:szCs w:val="18"/>
                <w:color w:val="auto"/>
              </w:rPr>
              <w:t>Underwriting agreement.*</w:t>
            </w:r>
          </w:p>
        </w:tc>
      </w:tr>
      <w:tr>
        <w:trPr>
          <w:trHeight w:val="453"/>
        </w:trPr>
        <w:tc>
          <w:tcPr>
            <w:tcW w:w="260" w:type="dxa"/>
            <w:vAlign w:val="bottom"/>
          </w:tcPr>
          <w:p>
            <w:pPr>
              <w:spacing w:after="0"/>
              <w:rPr>
                <w:sz w:val="20"/>
                <w:szCs w:val="20"/>
                <w:color w:val="auto"/>
              </w:rPr>
            </w:pPr>
            <w:r>
              <w:rPr>
                <w:rFonts w:ascii="Arial" w:cs="Arial" w:eastAsia="Arial" w:hAnsi="Arial"/>
                <w:sz w:val="18"/>
                <w:szCs w:val="18"/>
                <w:color w:val="auto"/>
                <w:w w:val="95"/>
              </w:rPr>
              <w:t>3.1</w:t>
            </w:r>
          </w:p>
        </w:tc>
        <w:tc>
          <w:tcPr>
            <w:tcW w:w="1120" w:type="dxa"/>
            <w:vAlign w:val="bottom"/>
          </w:tcPr>
          <w:p>
            <w:pPr>
              <w:spacing w:after="0"/>
              <w:rPr>
                <w:sz w:val="24"/>
                <w:szCs w:val="24"/>
                <w:color w:val="auto"/>
              </w:rPr>
            </w:pPr>
          </w:p>
        </w:tc>
        <w:tc>
          <w:tcPr>
            <w:tcW w:w="9960" w:type="dxa"/>
            <w:vAlign w:val="bottom"/>
            <w:gridSpan w:val="2"/>
          </w:tcPr>
          <w:p>
            <w:pPr>
              <w:spacing w:after="0"/>
              <w:rPr>
                <w:sz w:val="20"/>
                <w:szCs w:val="20"/>
                <w:color w:val="auto"/>
              </w:rPr>
            </w:pPr>
            <w:r>
              <w:rPr>
                <w:rFonts w:ascii="Arial" w:cs="Arial" w:eastAsia="Arial" w:hAnsi="Arial"/>
                <w:sz w:val="18"/>
                <w:szCs w:val="18"/>
                <w:color w:val="auto"/>
                <w:w w:val="88"/>
              </w:rPr>
              <w:t>Articles of Association of the Registrant, approved by shareholders on November 14, 2000, as amended (incorporated by reference to Exhibit</w:t>
            </w:r>
          </w:p>
        </w:tc>
      </w:tr>
      <w:tr>
        <w:trPr>
          <w:trHeight w:val="222"/>
        </w:trPr>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960" w:type="dxa"/>
            <w:vAlign w:val="bottom"/>
            <w:gridSpan w:val="2"/>
          </w:tcPr>
          <w:p>
            <w:pPr>
              <w:spacing w:after="0"/>
              <w:rPr>
                <w:sz w:val="20"/>
                <w:szCs w:val="20"/>
                <w:color w:val="auto"/>
              </w:rPr>
            </w:pPr>
            <w:r>
              <w:rPr>
                <w:rFonts w:ascii="Arial" w:cs="Arial" w:eastAsia="Arial" w:hAnsi="Arial"/>
                <w:sz w:val="18"/>
                <w:szCs w:val="18"/>
                <w:color w:val="auto"/>
              </w:rPr>
              <w:t>3.1 of the Registrant's Registration Statement on Form F-1, File No. 333-126909, "Form F-1No. 333-126909").</w:t>
            </w:r>
          </w:p>
        </w:tc>
      </w:tr>
      <w:tr>
        <w:trPr>
          <w:trHeight w:val="453"/>
        </w:trPr>
        <w:tc>
          <w:tcPr>
            <w:tcW w:w="260" w:type="dxa"/>
            <w:vAlign w:val="bottom"/>
          </w:tcPr>
          <w:p>
            <w:pPr>
              <w:spacing w:after="0"/>
              <w:rPr>
                <w:sz w:val="20"/>
                <w:szCs w:val="20"/>
                <w:color w:val="auto"/>
              </w:rPr>
            </w:pPr>
            <w:r>
              <w:rPr>
                <w:rFonts w:ascii="Arial" w:cs="Arial" w:eastAsia="Arial" w:hAnsi="Arial"/>
                <w:sz w:val="18"/>
                <w:szCs w:val="18"/>
                <w:color w:val="auto"/>
                <w:w w:val="95"/>
              </w:rPr>
              <w:t>3.2</w:t>
            </w:r>
          </w:p>
        </w:tc>
        <w:tc>
          <w:tcPr>
            <w:tcW w:w="1120" w:type="dxa"/>
            <w:vAlign w:val="bottom"/>
          </w:tcPr>
          <w:p>
            <w:pPr>
              <w:spacing w:after="0"/>
              <w:rPr>
                <w:sz w:val="24"/>
                <w:szCs w:val="24"/>
                <w:color w:val="auto"/>
              </w:rPr>
            </w:pPr>
          </w:p>
        </w:tc>
        <w:tc>
          <w:tcPr>
            <w:tcW w:w="9960" w:type="dxa"/>
            <w:vAlign w:val="bottom"/>
            <w:gridSpan w:val="2"/>
          </w:tcPr>
          <w:p>
            <w:pPr>
              <w:spacing w:after="0"/>
              <w:rPr>
                <w:sz w:val="20"/>
                <w:szCs w:val="20"/>
                <w:color w:val="auto"/>
              </w:rPr>
            </w:pPr>
            <w:r>
              <w:rPr>
                <w:rFonts w:ascii="Arial" w:cs="Arial" w:eastAsia="Arial" w:hAnsi="Arial"/>
                <w:sz w:val="18"/>
                <w:szCs w:val="18"/>
                <w:color w:val="auto"/>
                <w:w w:val="90"/>
              </w:rPr>
              <w:t>Amendment to Articles of Association of the Registrant (incorporated by reference to exhibit 4.2 to the Registration Statement on Form S-8</w:t>
            </w:r>
          </w:p>
        </w:tc>
      </w:tr>
      <w:tr>
        <w:trPr>
          <w:trHeight w:val="222"/>
        </w:trPr>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960" w:type="dxa"/>
            <w:vAlign w:val="bottom"/>
            <w:gridSpan w:val="2"/>
          </w:tcPr>
          <w:p>
            <w:pPr>
              <w:spacing w:after="0"/>
              <w:rPr>
                <w:sz w:val="20"/>
                <w:szCs w:val="20"/>
                <w:color w:val="auto"/>
              </w:rPr>
            </w:pPr>
            <w:r>
              <w:rPr>
                <w:rFonts w:ascii="Arial" w:cs="Arial" w:eastAsia="Arial" w:hAnsi="Arial"/>
                <w:sz w:val="18"/>
                <w:szCs w:val="18"/>
                <w:color w:val="auto"/>
              </w:rPr>
              <w:t>No. 333-117565 ("Form S-8 No. 333-117565").</w:t>
            </w:r>
          </w:p>
        </w:tc>
      </w:tr>
      <w:tr>
        <w:trPr>
          <w:trHeight w:val="453"/>
        </w:trPr>
        <w:tc>
          <w:tcPr>
            <w:tcW w:w="260" w:type="dxa"/>
            <w:vAlign w:val="bottom"/>
          </w:tcPr>
          <w:p>
            <w:pPr>
              <w:spacing w:after="0"/>
              <w:rPr>
                <w:sz w:val="20"/>
                <w:szCs w:val="20"/>
                <w:color w:val="auto"/>
              </w:rPr>
            </w:pPr>
            <w:r>
              <w:rPr>
                <w:rFonts w:ascii="Arial" w:cs="Arial" w:eastAsia="Arial" w:hAnsi="Arial"/>
                <w:sz w:val="18"/>
                <w:szCs w:val="18"/>
                <w:color w:val="auto"/>
                <w:w w:val="95"/>
              </w:rPr>
              <w:t>3.3</w:t>
            </w:r>
          </w:p>
        </w:tc>
        <w:tc>
          <w:tcPr>
            <w:tcW w:w="1120" w:type="dxa"/>
            <w:vAlign w:val="bottom"/>
          </w:tcPr>
          <w:p>
            <w:pPr>
              <w:spacing w:after="0"/>
              <w:rPr>
                <w:sz w:val="24"/>
                <w:szCs w:val="24"/>
                <w:color w:val="auto"/>
              </w:rPr>
            </w:pPr>
          </w:p>
        </w:tc>
        <w:tc>
          <w:tcPr>
            <w:tcW w:w="9960" w:type="dxa"/>
            <w:vAlign w:val="bottom"/>
            <w:gridSpan w:val="2"/>
          </w:tcPr>
          <w:p>
            <w:pPr>
              <w:spacing w:after="0"/>
              <w:rPr>
                <w:sz w:val="20"/>
                <w:szCs w:val="20"/>
                <w:color w:val="auto"/>
              </w:rPr>
            </w:pPr>
            <w:r>
              <w:rPr>
                <w:rFonts w:ascii="Arial" w:cs="Arial" w:eastAsia="Arial" w:hAnsi="Arial"/>
                <w:sz w:val="18"/>
                <w:szCs w:val="18"/>
                <w:color w:val="auto"/>
                <w:w w:val="88"/>
              </w:rPr>
              <w:t>Amendment to the Articles of Association of the Registrant (approved by shareholders on September 28, 2006) (incorporated by reference to</w:t>
            </w:r>
          </w:p>
        </w:tc>
      </w:tr>
      <w:tr>
        <w:trPr>
          <w:trHeight w:val="222"/>
        </w:trPr>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960" w:type="dxa"/>
            <w:vAlign w:val="bottom"/>
            <w:gridSpan w:val="2"/>
          </w:tcPr>
          <w:p>
            <w:pPr>
              <w:spacing w:after="0"/>
              <w:rPr>
                <w:sz w:val="20"/>
                <w:szCs w:val="20"/>
                <w:color w:val="auto"/>
              </w:rPr>
            </w:pPr>
            <w:r>
              <w:rPr>
                <w:rFonts w:ascii="Arial" w:cs="Arial" w:eastAsia="Arial" w:hAnsi="Arial"/>
                <w:sz w:val="18"/>
                <w:szCs w:val="18"/>
                <w:color w:val="auto"/>
              </w:rPr>
              <w:t>Exhibit 4.2 of the Registrant's Registration Statement on Form S-8, File No. 333-138837 (the "2006 Form S-8").</w:t>
            </w:r>
          </w:p>
        </w:tc>
      </w:tr>
      <w:tr>
        <w:trPr>
          <w:trHeight w:val="459"/>
        </w:trPr>
        <w:tc>
          <w:tcPr>
            <w:tcW w:w="260" w:type="dxa"/>
            <w:vAlign w:val="bottom"/>
          </w:tcPr>
          <w:p>
            <w:pPr>
              <w:spacing w:after="0"/>
              <w:rPr>
                <w:sz w:val="20"/>
                <w:szCs w:val="20"/>
                <w:color w:val="auto"/>
              </w:rPr>
            </w:pPr>
            <w:r>
              <w:rPr>
                <w:rFonts w:ascii="Arial" w:cs="Arial" w:eastAsia="Arial" w:hAnsi="Arial"/>
                <w:sz w:val="18"/>
                <w:szCs w:val="18"/>
                <w:color w:val="auto"/>
                <w:w w:val="95"/>
              </w:rPr>
              <w:t>4.1</w:t>
            </w:r>
          </w:p>
        </w:tc>
        <w:tc>
          <w:tcPr>
            <w:tcW w:w="1120" w:type="dxa"/>
            <w:vAlign w:val="bottom"/>
          </w:tcPr>
          <w:p>
            <w:pPr>
              <w:spacing w:after="0"/>
              <w:rPr>
                <w:sz w:val="24"/>
                <w:szCs w:val="24"/>
                <w:color w:val="auto"/>
              </w:rPr>
            </w:pPr>
          </w:p>
        </w:tc>
        <w:tc>
          <w:tcPr>
            <w:tcW w:w="9960" w:type="dxa"/>
            <w:vAlign w:val="bottom"/>
            <w:gridSpan w:val="2"/>
          </w:tcPr>
          <w:p>
            <w:pPr>
              <w:spacing w:after="0"/>
              <w:rPr>
                <w:sz w:val="20"/>
                <w:szCs w:val="20"/>
                <w:color w:val="auto"/>
              </w:rPr>
            </w:pPr>
            <w:r>
              <w:rPr>
                <w:rFonts w:ascii="Arial" w:cs="Arial" w:eastAsia="Arial" w:hAnsi="Arial"/>
                <w:sz w:val="18"/>
                <w:szCs w:val="18"/>
                <w:color w:val="auto"/>
              </w:rPr>
              <w:t>Form of securities purchase agreement.*</w:t>
            </w:r>
          </w:p>
        </w:tc>
      </w:tr>
      <w:tr>
        <w:trPr>
          <w:trHeight w:val="459"/>
        </w:trPr>
        <w:tc>
          <w:tcPr>
            <w:tcW w:w="260" w:type="dxa"/>
            <w:vAlign w:val="bottom"/>
          </w:tcPr>
          <w:p>
            <w:pPr>
              <w:spacing w:after="0"/>
              <w:rPr>
                <w:sz w:val="20"/>
                <w:szCs w:val="20"/>
                <w:color w:val="auto"/>
              </w:rPr>
            </w:pPr>
            <w:r>
              <w:rPr>
                <w:rFonts w:ascii="Arial" w:cs="Arial" w:eastAsia="Arial" w:hAnsi="Arial"/>
                <w:sz w:val="18"/>
                <w:szCs w:val="18"/>
                <w:color w:val="auto"/>
                <w:w w:val="95"/>
              </w:rPr>
              <w:t>4.2</w:t>
            </w:r>
          </w:p>
        </w:tc>
        <w:tc>
          <w:tcPr>
            <w:tcW w:w="1120" w:type="dxa"/>
            <w:vAlign w:val="bottom"/>
          </w:tcPr>
          <w:p>
            <w:pPr>
              <w:spacing w:after="0"/>
              <w:rPr>
                <w:sz w:val="24"/>
                <w:szCs w:val="24"/>
                <w:color w:val="auto"/>
              </w:rPr>
            </w:pPr>
          </w:p>
        </w:tc>
        <w:tc>
          <w:tcPr>
            <w:tcW w:w="9960" w:type="dxa"/>
            <w:vAlign w:val="bottom"/>
            <w:gridSpan w:val="2"/>
          </w:tcPr>
          <w:p>
            <w:pPr>
              <w:spacing w:after="0"/>
              <w:rPr>
                <w:sz w:val="20"/>
                <w:szCs w:val="20"/>
                <w:color w:val="auto"/>
              </w:rPr>
            </w:pPr>
            <w:r>
              <w:rPr>
                <w:rFonts w:ascii="Arial" w:cs="Arial" w:eastAsia="Arial" w:hAnsi="Arial"/>
                <w:sz w:val="18"/>
                <w:szCs w:val="18"/>
                <w:color w:val="auto"/>
              </w:rPr>
              <w:t>Form of capital note certificate.*</w:t>
            </w:r>
          </w:p>
        </w:tc>
      </w:tr>
      <w:tr>
        <w:trPr>
          <w:trHeight w:val="459"/>
        </w:trPr>
        <w:tc>
          <w:tcPr>
            <w:tcW w:w="260" w:type="dxa"/>
            <w:vAlign w:val="bottom"/>
          </w:tcPr>
          <w:p>
            <w:pPr>
              <w:spacing w:after="0"/>
              <w:rPr>
                <w:sz w:val="20"/>
                <w:szCs w:val="20"/>
                <w:color w:val="auto"/>
              </w:rPr>
            </w:pPr>
            <w:r>
              <w:rPr>
                <w:rFonts w:ascii="Arial" w:cs="Arial" w:eastAsia="Arial" w:hAnsi="Arial"/>
                <w:sz w:val="18"/>
                <w:szCs w:val="18"/>
                <w:color w:val="auto"/>
                <w:w w:val="95"/>
              </w:rPr>
              <w:t>4.3</w:t>
            </w:r>
          </w:p>
        </w:tc>
        <w:tc>
          <w:tcPr>
            <w:tcW w:w="1120" w:type="dxa"/>
            <w:vAlign w:val="bottom"/>
          </w:tcPr>
          <w:p>
            <w:pPr>
              <w:spacing w:after="0"/>
              <w:rPr>
                <w:sz w:val="24"/>
                <w:szCs w:val="24"/>
                <w:color w:val="auto"/>
              </w:rPr>
            </w:pPr>
          </w:p>
        </w:tc>
        <w:tc>
          <w:tcPr>
            <w:tcW w:w="9960" w:type="dxa"/>
            <w:vAlign w:val="bottom"/>
            <w:gridSpan w:val="2"/>
          </w:tcPr>
          <w:p>
            <w:pPr>
              <w:spacing w:after="0"/>
              <w:rPr>
                <w:sz w:val="20"/>
                <w:szCs w:val="20"/>
                <w:color w:val="auto"/>
              </w:rPr>
            </w:pPr>
            <w:r>
              <w:rPr>
                <w:rFonts w:ascii="Arial" w:cs="Arial" w:eastAsia="Arial" w:hAnsi="Arial"/>
                <w:sz w:val="18"/>
                <w:szCs w:val="18"/>
                <w:color w:val="auto"/>
              </w:rPr>
              <w:t>Form of indenture relating to debt securities.**</w:t>
            </w:r>
          </w:p>
        </w:tc>
      </w:tr>
      <w:tr>
        <w:trPr>
          <w:trHeight w:val="459"/>
        </w:trPr>
        <w:tc>
          <w:tcPr>
            <w:tcW w:w="260" w:type="dxa"/>
            <w:vAlign w:val="bottom"/>
          </w:tcPr>
          <w:p>
            <w:pPr>
              <w:spacing w:after="0"/>
              <w:rPr>
                <w:sz w:val="20"/>
                <w:szCs w:val="20"/>
                <w:color w:val="auto"/>
              </w:rPr>
            </w:pPr>
            <w:r>
              <w:rPr>
                <w:rFonts w:ascii="Arial" w:cs="Arial" w:eastAsia="Arial" w:hAnsi="Arial"/>
                <w:sz w:val="18"/>
                <w:szCs w:val="18"/>
                <w:color w:val="auto"/>
                <w:w w:val="95"/>
              </w:rPr>
              <w:t>4.4</w:t>
            </w:r>
          </w:p>
        </w:tc>
        <w:tc>
          <w:tcPr>
            <w:tcW w:w="1120" w:type="dxa"/>
            <w:vAlign w:val="bottom"/>
          </w:tcPr>
          <w:p>
            <w:pPr>
              <w:spacing w:after="0"/>
              <w:rPr>
                <w:sz w:val="24"/>
                <w:szCs w:val="24"/>
                <w:color w:val="auto"/>
              </w:rPr>
            </w:pPr>
          </w:p>
        </w:tc>
        <w:tc>
          <w:tcPr>
            <w:tcW w:w="9960" w:type="dxa"/>
            <w:vAlign w:val="bottom"/>
            <w:gridSpan w:val="2"/>
          </w:tcPr>
          <w:p>
            <w:pPr>
              <w:spacing w:after="0"/>
              <w:rPr>
                <w:sz w:val="20"/>
                <w:szCs w:val="20"/>
                <w:color w:val="auto"/>
              </w:rPr>
            </w:pPr>
            <w:r>
              <w:rPr>
                <w:rFonts w:ascii="Arial" w:cs="Arial" w:eastAsia="Arial" w:hAnsi="Arial"/>
                <w:sz w:val="18"/>
                <w:szCs w:val="18"/>
                <w:color w:val="auto"/>
              </w:rPr>
              <w:t>Form of debt securities.*</w:t>
            </w:r>
          </w:p>
        </w:tc>
      </w:tr>
      <w:tr>
        <w:trPr>
          <w:trHeight w:val="459"/>
        </w:trPr>
        <w:tc>
          <w:tcPr>
            <w:tcW w:w="260" w:type="dxa"/>
            <w:vAlign w:val="bottom"/>
          </w:tcPr>
          <w:p>
            <w:pPr>
              <w:spacing w:after="0"/>
              <w:rPr>
                <w:sz w:val="20"/>
                <w:szCs w:val="20"/>
                <w:color w:val="auto"/>
              </w:rPr>
            </w:pPr>
            <w:r>
              <w:rPr>
                <w:rFonts w:ascii="Arial" w:cs="Arial" w:eastAsia="Arial" w:hAnsi="Arial"/>
                <w:sz w:val="18"/>
                <w:szCs w:val="18"/>
                <w:color w:val="auto"/>
                <w:w w:val="95"/>
              </w:rPr>
              <w:t>4.5</w:t>
            </w:r>
          </w:p>
        </w:tc>
        <w:tc>
          <w:tcPr>
            <w:tcW w:w="1120" w:type="dxa"/>
            <w:vAlign w:val="bottom"/>
          </w:tcPr>
          <w:p>
            <w:pPr>
              <w:spacing w:after="0"/>
              <w:rPr>
                <w:sz w:val="24"/>
                <w:szCs w:val="24"/>
                <w:color w:val="auto"/>
              </w:rPr>
            </w:pPr>
          </w:p>
        </w:tc>
        <w:tc>
          <w:tcPr>
            <w:tcW w:w="9960" w:type="dxa"/>
            <w:vAlign w:val="bottom"/>
            <w:gridSpan w:val="2"/>
          </w:tcPr>
          <w:p>
            <w:pPr>
              <w:spacing w:after="0"/>
              <w:rPr>
                <w:sz w:val="20"/>
                <w:szCs w:val="20"/>
                <w:color w:val="auto"/>
              </w:rPr>
            </w:pPr>
            <w:r>
              <w:rPr>
                <w:rFonts w:ascii="Arial" w:cs="Arial" w:eastAsia="Arial" w:hAnsi="Arial"/>
                <w:sz w:val="18"/>
                <w:szCs w:val="18"/>
                <w:color w:val="auto"/>
              </w:rPr>
              <w:t>Form of purchase contract agreement (including form of purchase contract certificate).*</w:t>
            </w:r>
          </w:p>
        </w:tc>
      </w:tr>
      <w:tr>
        <w:trPr>
          <w:trHeight w:val="459"/>
        </w:trPr>
        <w:tc>
          <w:tcPr>
            <w:tcW w:w="260" w:type="dxa"/>
            <w:vAlign w:val="bottom"/>
          </w:tcPr>
          <w:p>
            <w:pPr>
              <w:spacing w:after="0"/>
              <w:rPr>
                <w:sz w:val="20"/>
                <w:szCs w:val="20"/>
                <w:color w:val="auto"/>
              </w:rPr>
            </w:pPr>
            <w:r>
              <w:rPr>
                <w:rFonts w:ascii="Arial" w:cs="Arial" w:eastAsia="Arial" w:hAnsi="Arial"/>
                <w:sz w:val="18"/>
                <w:szCs w:val="18"/>
                <w:color w:val="auto"/>
                <w:w w:val="95"/>
              </w:rPr>
              <w:t>4.6</w:t>
            </w:r>
          </w:p>
        </w:tc>
        <w:tc>
          <w:tcPr>
            <w:tcW w:w="1120" w:type="dxa"/>
            <w:vAlign w:val="bottom"/>
          </w:tcPr>
          <w:p>
            <w:pPr>
              <w:spacing w:after="0"/>
              <w:rPr>
                <w:sz w:val="24"/>
                <w:szCs w:val="24"/>
                <w:color w:val="auto"/>
              </w:rPr>
            </w:pPr>
          </w:p>
        </w:tc>
        <w:tc>
          <w:tcPr>
            <w:tcW w:w="9960" w:type="dxa"/>
            <w:vAlign w:val="bottom"/>
            <w:gridSpan w:val="2"/>
          </w:tcPr>
          <w:p>
            <w:pPr>
              <w:spacing w:after="0"/>
              <w:rPr>
                <w:sz w:val="20"/>
                <w:szCs w:val="20"/>
                <w:color w:val="auto"/>
              </w:rPr>
            </w:pPr>
            <w:r>
              <w:rPr>
                <w:rFonts w:ascii="Arial" w:cs="Arial" w:eastAsia="Arial" w:hAnsi="Arial"/>
                <w:sz w:val="18"/>
                <w:szCs w:val="18"/>
                <w:color w:val="auto"/>
              </w:rPr>
              <w:t>Form of unit agreement (including form of unit certificate).*</w:t>
            </w:r>
          </w:p>
        </w:tc>
      </w:tr>
      <w:tr>
        <w:trPr>
          <w:trHeight w:val="459"/>
        </w:trPr>
        <w:tc>
          <w:tcPr>
            <w:tcW w:w="260" w:type="dxa"/>
            <w:vAlign w:val="bottom"/>
          </w:tcPr>
          <w:p>
            <w:pPr>
              <w:spacing w:after="0"/>
              <w:rPr>
                <w:sz w:val="20"/>
                <w:szCs w:val="20"/>
                <w:color w:val="auto"/>
              </w:rPr>
            </w:pPr>
            <w:r>
              <w:rPr>
                <w:rFonts w:ascii="Arial" w:cs="Arial" w:eastAsia="Arial" w:hAnsi="Arial"/>
                <w:sz w:val="18"/>
                <w:szCs w:val="18"/>
                <w:color w:val="auto"/>
                <w:w w:val="95"/>
              </w:rPr>
              <w:t>4.7</w:t>
            </w:r>
          </w:p>
        </w:tc>
        <w:tc>
          <w:tcPr>
            <w:tcW w:w="1120" w:type="dxa"/>
            <w:vAlign w:val="bottom"/>
          </w:tcPr>
          <w:p>
            <w:pPr>
              <w:spacing w:after="0"/>
              <w:rPr>
                <w:sz w:val="24"/>
                <w:szCs w:val="24"/>
                <w:color w:val="auto"/>
              </w:rPr>
            </w:pPr>
          </w:p>
        </w:tc>
        <w:tc>
          <w:tcPr>
            <w:tcW w:w="9960" w:type="dxa"/>
            <w:vAlign w:val="bottom"/>
            <w:gridSpan w:val="2"/>
          </w:tcPr>
          <w:p>
            <w:pPr>
              <w:spacing w:after="0"/>
              <w:rPr>
                <w:sz w:val="20"/>
                <w:szCs w:val="20"/>
                <w:color w:val="auto"/>
              </w:rPr>
            </w:pPr>
            <w:r>
              <w:rPr>
                <w:rFonts w:ascii="Arial" w:cs="Arial" w:eastAsia="Arial" w:hAnsi="Arial"/>
                <w:sz w:val="18"/>
                <w:szCs w:val="18"/>
                <w:color w:val="auto"/>
              </w:rPr>
              <w:t>Form of warrant agreement (including form of warrant certificate).*</w:t>
            </w:r>
          </w:p>
        </w:tc>
      </w:tr>
      <w:tr>
        <w:trPr>
          <w:trHeight w:val="459"/>
        </w:trPr>
        <w:tc>
          <w:tcPr>
            <w:tcW w:w="260" w:type="dxa"/>
            <w:vAlign w:val="bottom"/>
          </w:tcPr>
          <w:p>
            <w:pPr>
              <w:spacing w:after="0"/>
              <w:rPr>
                <w:sz w:val="20"/>
                <w:szCs w:val="20"/>
                <w:color w:val="auto"/>
              </w:rPr>
            </w:pPr>
            <w:r>
              <w:rPr>
                <w:rFonts w:ascii="Arial" w:cs="Arial" w:eastAsia="Arial" w:hAnsi="Arial"/>
                <w:sz w:val="18"/>
                <w:szCs w:val="18"/>
                <w:color w:val="auto"/>
                <w:w w:val="95"/>
              </w:rPr>
              <w:t>5.1</w:t>
            </w:r>
          </w:p>
        </w:tc>
        <w:tc>
          <w:tcPr>
            <w:tcW w:w="1120" w:type="dxa"/>
            <w:vAlign w:val="bottom"/>
          </w:tcPr>
          <w:p>
            <w:pPr>
              <w:spacing w:after="0"/>
              <w:rPr>
                <w:sz w:val="24"/>
                <w:szCs w:val="24"/>
                <w:color w:val="auto"/>
              </w:rPr>
            </w:pPr>
          </w:p>
        </w:tc>
        <w:tc>
          <w:tcPr>
            <w:tcW w:w="9960" w:type="dxa"/>
            <w:vAlign w:val="bottom"/>
            <w:gridSpan w:val="2"/>
          </w:tcPr>
          <w:p>
            <w:pPr>
              <w:spacing w:after="0"/>
              <w:rPr>
                <w:sz w:val="20"/>
                <w:szCs w:val="20"/>
                <w:color w:val="auto"/>
              </w:rPr>
            </w:pPr>
            <w:r>
              <w:rPr>
                <w:rFonts w:ascii="Arial" w:cs="Arial" w:eastAsia="Arial" w:hAnsi="Arial"/>
                <w:sz w:val="18"/>
                <w:szCs w:val="18"/>
                <w:color w:val="auto"/>
              </w:rPr>
              <w:t>Opinion of Yigal Arnon &amp; Co., Israeli counsel to the registrant, re legality.**</w:t>
            </w:r>
          </w:p>
        </w:tc>
      </w:tr>
      <w:tr>
        <w:trPr>
          <w:trHeight w:val="459"/>
        </w:trPr>
        <w:tc>
          <w:tcPr>
            <w:tcW w:w="260" w:type="dxa"/>
            <w:vAlign w:val="bottom"/>
          </w:tcPr>
          <w:p>
            <w:pPr>
              <w:spacing w:after="0"/>
              <w:rPr>
                <w:sz w:val="20"/>
                <w:szCs w:val="20"/>
                <w:color w:val="auto"/>
              </w:rPr>
            </w:pPr>
            <w:r>
              <w:rPr>
                <w:rFonts w:ascii="Arial" w:cs="Arial" w:eastAsia="Arial" w:hAnsi="Arial"/>
                <w:sz w:val="18"/>
                <w:szCs w:val="18"/>
                <w:color w:val="auto"/>
                <w:w w:val="95"/>
              </w:rPr>
              <w:t>5.2</w:t>
            </w:r>
          </w:p>
        </w:tc>
        <w:tc>
          <w:tcPr>
            <w:tcW w:w="1120" w:type="dxa"/>
            <w:vAlign w:val="bottom"/>
          </w:tcPr>
          <w:p>
            <w:pPr>
              <w:spacing w:after="0"/>
              <w:rPr>
                <w:sz w:val="24"/>
                <w:szCs w:val="24"/>
                <w:color w:val="auto"/>
              </w:rPr>
            </w:pPr>
          </w:p>
        </w:tc>
        <w:tc>
          <w:tcPr>
            <w:tcW w:w="9960" w:type="dxa"/>
            <w:vAlign w:val="bottom"/>
            <w:gridSpan w:val="2"/>
          </w:tcPr>
          <w:p>
            <w:pPr>
              <w:spacing w:after="0"/>
              <w:rPr>
                <w:sz w:val="20"/>
                <w:szCs w:val="20"/>
                <w:color w:val="auto"/>
              </w:rPr>
            </w:pPr>
            <w:r>
              <w:rPr>
                <w:rFonts w:ascii="Arial" w:cs="Arial" w:eastAsia="Arial" w:hAnsi="Arial"/>
                <w:sz w:val="18"/>
                <w:szCs w:val="18"/>
                <w:color w:val="auto"/>
              </w:rPr>
              <w:t>Opinion of Eilenberg Krause &amp; Paul LLP, U.S. counsel to the registrant, re legality.**</w:t>
            </w:r>
          </w:p>
        </w:tc>
      </w:tr>
      <w:tr>
        <w:trPr>
          <w:trHeight w:val="459"/>
        </w:trPr>
        <w:tc>
          <w:tcPr>
            <w:tcW w:w="1380" w:type="dxa"/>
            <w:vAlign w:val="bottom"/>
            <w:gridSpan w:val="2"/>
          </w:tcPr>
          <w:p>
            <w:pPr>
              <w:spacing w:after="0"/>
              <w:rPr>
                <w:sz w:val="20"/>
                <w:szCs w:val="20"/>
                <w:color w:val="auto"/>
              </w:rPr>
            </w:pPr>
            <w:r>
              <w:rPr>
                <w:rFonts w:ascii="Arial" w:cs="Arial" w:eastAsia="Arial" w:hAnsi="Arial"/>
                <w:sz w:val="18"/>
                <w:szCs w:val="18"/>
                <w:color w:val="auto"/>
              </w:rPr>
              <w:t>12.1</w:t>
            </w:r>
          </w:p>
        </w:tc>
        <w:tc>
          <w:tcPr>
            <w:tcW w:w="9960" w:type="dxa"/>
            <w:vAlign w:val="bottom"/>
            <w:gridSpan w:val="2"/>
          </w:tcPr>
          <w:p>
            <w:pPr>
              <w:spacing w:after="0"/>
              <w:rPr>
                <w:sz w:val="20"/>
                <w:szCs w:val="20"/>
                <w:color w:val="auto"/>
              </w:rPr>
            </w:pPr>
            <w:r>
              <w:rPr>
                <w:rFonts w:ascii="Arial" w:cs="Arial" w:eastAsia="Arial" w:hAnsi="Arial"/>
                <w:sz w:val="18"/>
                <w:szCs w:val="18"/>
                <w:color w:val="auto"/>
              </w:rPr>
              <w:t>Statement of Computation of Ratio of Earnings to Fixed Charges.**</w:t>
            </w:r>
          </w:p>
        </w:tc>
      </w:tr>
      <w:tr>
        <w:trPr>
          <w:trHeight w:val="459"/>
        </w:trPr>
        <w:tc>
          <w:tcPr>
            <w:tcW w:w="1380" w:type="dxa"/>
            <w:vAlign w:val="bottom"/>
            <w:gridSpan w:val="2"/>
          </w:tcPr>
          <w:p>
            <w:pPr>
              <w:spacing w:after="0"/>
              <w:rPr>
                <w:sz w:val="20"/>
                <w:szCs w:val="20"/>
                <w:color w:val="auto"/>
              </w:rPr>
            </w:pPr>
            <w:r>
              <w:rPr>
                <w:rFonts w:ascii="Arial" w:cs="Arial" w:eastAsia="Arial" w:hAnsi="Arial"/>
                <w:sz w:val="18"/>
                <w:szCs w:val="18"/>
                <w:color w:val="auto"/>
              </w:rPr>
              <w:t>23.1</w:t>
            </w:r>
          </w:p>
        </w:tc>
        <w:tc>
          <w:tcPr>
            <w:tcW w:w="9960" w:type="dxa"/>
            <w:vAlign w:val="bottom"/>
            <w:gridSpan w:val="2"/>
          </w:tcPr>
          <w:p>
            <w:pPr>
              <w:spacing w:after="0"/>
              <w:rPr>
                <w:sz w:val="20"/>
                <w:szCs w:val="20"/>
                <w:color w:val="auto"/>
              </w:rPr>
            </w:pPr>
            <w:r>
              <w:rPr>
                <w:rFonts w:ascii="Arial" w:cs="Arial" w:eastAsia="Arial" w:hAnsi="Arial"/>
                <w:sz w:val="18"/>
                <w:szCs w:val="18"/>
                <w:color w:val="auto"/>
              </w:rPr>
              <w:t>Consent of Yigal Arnon &amp; Co., included in Exhibit 5.1.**</w:t>
            </w:r>
          </w:p>
        </w:tc>
      </w:tr>
      <w:tr>
        <w:trPr>
          <w:trHeight w:val="459"/>
        </w:trPr>
        <w:tc>
          <w:tcPr>
            <w:tcW w:w="1380" w:type="dxa"/>
            <w:vAlign w:val="bottom"/>
            <w:gridSpan w:val="2"/>
          </w:tcPr>
          <w:p>
            <w:pPr>
              <w:spacing w:after="0"/>
              <w:rPr>
                <w:sz w:val="20"/>
                <w:szCs w:val="20"/>
                <w:color w:val="auto"/>
              </w:rPr>
            </w:pPr>
            <w:r>
              <w:rPr>
                <w:rFonts w:ascii="Arial" w:cs="Arial" w:eastAsia="Arial" w:hAnsi="Arial"/>
                <w:sz w:val="18"/>
                <w:szCs w:val="18"/>
                <w:color w:val="auto"/>
              </w:rPr>
              <w:t>23.2</w:t>
            </w:r>
          </w:p>
        </w:tc>
        <w:tc>
          <w:tcPr>
            <w:tcW w:w="9960" w:type="dxa"/>
            <w:vAlign w:val="bottom"/>
            <w:gridSpan w:val="2"/>
          </w:tcPr>
          <w:p>
            <w:pPr>
              <w:spacing w:after="0"/>
              <w:rPr>
                <w:sz w:val="20"/>
                <w:szCs w:val="20"/>
                <w:color w:val="auto"/>
              </w:rPr>
            </w:pPr>
            <w:r>
              <w:rPr>
                <w:rFonts w:ascii="Arial" w:cs="Arial" w:eastAsia="Arial" w:hAnsi="Arial"/>
                <w:sz w:val="18"/>
                <w:szCs w:val="18"/>
                <w:color w:val="auto"/>
              </w:rPr>
              <w:t>Consent of Eilenberg Krause &amp; Paul LLP, included in Exhibit 5.2.**</w:t>
            </w:r>
          </w:p>
        </w:tc>
      </w:tr>
    </w:tbl>
    <w:p>
      <w:pPr>
        <w:sectPr>
          <w:pgSz w:w="11900" w:h="16838" w:orient="portrait"/>
          <w:cols w:equalWidth="0" w:num="1">
            <w:col w:w="11400"/>
          </w:cols>
          <w:pgMar w:left="240" w:top="131" w:right="259" w:bottom="0" w:gutter="0" w:footer="0" w:header="0"/>
        </w:sectPr>
      </w:pPr>
    </w:p>
    <w:bookmarkStart w:id="18" w:name="page19"/>
    <w:bookmarkEnd w:id="18"/>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60" w:type="dxa"/>
            <w:vAlign w:val="bottom"/>
          </w:tcPr>
          <w:p>
            <w:pPr>
              <w:jc w:val="right"/>
              <w:ind w:right="452"/>
              <w:spacing w:after="0"/>
              <w:rPr>
                <w:sz w:val="20"/>
                <w:szCs w:val="20"/>
                <w:color w:val="auto"/>
              </w:rPr>
            </w:pPr>
            <w:r>
              <w:rPr>
                <w:rFonts w:ascii="Arial" w:cs="Arial" w:eastAsia="Arial" w:hAnsi="Arial"/>
                <w:sz w:val="18"/>
                <w:szCs w:val="18"/>
                <w:color w:val="auto"/>
                <w:w w:val="85"/>
              </w:rPr>
              <w:t>23.3</w:t>
            </w:r>
          </w:p>
        </w:tc>
        <w:tc>
          <w:tcPr>
            <w:tcW w:w="6780" w:type="dxa"/>
            <w:vAlign w:val="bottom"/>
          </w:tcPr>
          <w:p>
            <w:pPr>
              <w:ind w:left="520"/>
              <w:spacing w:after="0"/>
              <w:rPr>
                <w:sz w:val="20"/>
                <w:szCs w:val="20"/>
                <w:color w:val="auto"/>
              </w:rPr>
            </w:pPr>
            <w:r>
              <w:rPr>
                <w:rFonts w:ascii="Arial" w:cs="Arial" w:eastAsia="Arial" w:hAnsi="Arial"/>
                <w:sz w:val="18"/>
                <w:szCs w:val="18"/>
                <w:color w:val="auto"/>
                <w:w w:val="90"/>
              </w:rPr>
              <w:t>Consent of Brightman Almagor &amp; Co., independent registered public accounting firm.**</w:t>
            </w:r>
          </w:p>
        </w:tc>
      </w:tr>
      <w:tr>
        <w:trPr>
          <w:trHeight w:val="459"/>
        </w:trPr>
        <w:tc>
          <w:tcPr>
            <w:tcW w:w="860" w:type="dxa"/>
            <w:vAlign w:val="bottom"/>
          </w:tcPr>
          <w:p>
            <w:pPr>
              <w:jc w:val="right"/>
              <w:ind w:right="452"/>
              <w:spacing w:after="0"/>
              <w:rPr>
                <w:sz w:val="20"/>
                <w:szCs w:val="20"/>
                <w:color w:val="auto"/>
              </w:rPr>
            </w:pPr>
            <w:r>
              <w:rPr>
                <w:rFonts w:ascii="Arial" w:cs="Arial" w:eastAsia="Arial" w:hAnsi="Arial"/>
                <w:sz w:val="18"/>
                <w:szCs w:val="18"/>
                <w:color w:val="auto"/>
                <w:w w:val="85"/>
              </w:rPr>
              <w:t>24.1</w:t>
            </w:r>
          </w:p>
        </w:tc>
        <w:tc>
          <w:tcPr>
            <w:tcW w:w="6780" w:type="dxa"/>
            <w:vAlign w:val="bottom"/>
          </w:tcPr>
          <w:p>
            <w:pPr>
              <w:ind w:left="520"/>
              <w:spacing w:after="0"/>
              <w:rPr>
                <w:sz w:val="20"/>
                <w:szCs w:val="20"/>
                <w:color w:val="auto"/>
              </w:rPr>
            </w:pPr>
            <w:r>
              <w:rPr>
                <w:rFonts w:ascii="Arial" w:cs="Arial" w:eastAsia="Arial" w:hAnsi="Arial"/>
                <w:sz w:val="18"/>
                <w:szCs w:val="18"/>
                <w:color w:val="auto"/>
                <w:w w:val="97"/>
              </w:rPr>
              <w:t>Power of attorney, included in the signature page of this registration statement.**</w:t>
            </w:r>
          </w:p>
        </w:tc>
      </w:tr>
      <w:tr>
        <w:trPr>
          <w:trHeight w:val="459"/>
        </w:trPr>
        <w:tc>
          <w:tcPr>
            <w:tcW w:w="860" w:type="dxa"/>
            <w:vAlign w:val="bottom"/>
          </w:tcPr>
          <w:p>
            <w:pPr>
              <w:jc w:val="right"/>
              <w:ind w:right="452"/>
              <w:spacing w:after="0"/>
              <w:rPr>
                <w:sz w:val="20"/>
                <w:szCs w:val="20"/>
                <w:color w:val="auto"/>
              </w:rPr>
            </w:pPr>
            <w:r>
              <w:rPr>
                <w:rFonts w:ascii="Arial" w:cs="Arial" w:eastAsia="Arial" w:hAnsi="Arial"/>
                <w:sz w:val="18"/>
                <w:szCs w:val="18"/>
                <w:color w:val="auto"/>
                <w:w w:val="85"/>
              </w:rPr>
              <w:t>25.1</w:t>
            </w:r>
          </w:p>
        </w:tc>
        <w:tc>
          <w:tcPr>
            <w:tcW w:w="6780" w:type="dxa"/>
            <w:vAlign w:val="bottom"/>
          </w:tcPr>
          <w:p>
            <w:pPr>
              <w:ind w:left="520"/>
              <w:spacing w:after="0"/>
              <w:rPr>
                <w:sz w:val="20"/>
                <w:szCs w:val="20"/>
                <w:color w:val="auto"/>
              </w:rPr>
            </w:pPr>
            <w:r>
              <w:rPr>
                <w:rFonts w:ascii="Arial" w:cs="Arial" w:eastAsia="Arial" w:hAnsi="Arial"/>
                <w:sz w:val="18"/>
                <w:szCs w:val="18"/>
                <w:color w:val="auto"/>
                <w:w w:val="93"/>
              </w:rPr>
              <w:t>Statement of Eligibility of Trustee for Indenture under Trust Indenture Act of 1939.***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110617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354" w:lineRule="exact"/>
        <w:rPr>
          <w:sz w:val="20"/>
          <w:szCs w:val="20"/>
          <w:color w:val="auto"/>
        </w:rPr>
      </w:pPr>
    </w:p>
    <w:p>
      <w:pPr>
        <w:ind w:right="3860" w:firstLine="8"/>
        <w:spacing w:after="0" w:line="501" w:lineRule="auto"/>
        <w:tabs>
          <w:tab w:leader="none" w:pos="132" w:val="left"/>
        </w:tabs>
        <w:numPr>
          <w:ilvl w:val="0"/>
          <w:numId w:val="36"/>
        </w:numPr>
        <w:rPr>
          <w:rFonts w:ascii="Arial" w:cs="Arial" w:eastAsia="Arial" w:hAnsi="Arial"/>
          <w:sz w:val="18"/>
          <w:szCs w:val="18"/>
          <w:color w:val="auto"/>
        </w:rPr>
      </w:pPr>
      <w:r>
        <w:rPr>
          <w:rFonts w:ascii="Arial" w:cs="Arial" w:eastAsia="Arial" w:hAnsi="Arial"/>
          <w:sz w:val="18"/>
          <w:szCs w:val="18"/>
          <w:color w:val="auto"/>
        </w:rPr>
        <w:t>To be filed by amendment, or as an exhibit to a report on Form 6-K and incorporated herein by reference. ** Filed with this registration statement.</w:t>
      </w:r>
    </w:p>
    <w:p>
      <w:pPr>
        <w:spacing w:after="0"/>
        <w:rPr>
          <w:rFonts w:ascii="Arial" w:cs="Arial" w:eastAsia="Arial" w:hAnsi="Arial"/>
          <w:sz w:val="18"/>
          <w:szCs w:val="18"/>
          <w:color w:val="auto"/>
        </w:rPr>
      </w:pPr>
      <w:r>
        <w:rPr>
          <w:rFonts w:ascii="Arial" w:cs="Arial" w:eastAsia="Arial" w:hAnsi="Arial"/>
          <w:sz w:val="18"/>
          <w:szCs w:val="18"/>
          <w:color w:val="auto"/>
        </w:rPr>
        <w:t>*** To be incorporated by reference from a subsequent filing in accordance with Section 305(b)(2) of the Trust Indenture Act of 1939.</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Undertakings.</w:t>
      </w:r>
    </w:p>
    <w:p>
      <w:pPr>
        <w:spacing w:after="0" w:line="312" w:lineRule="exact"/>
        <w:rPr>
          <w:sz w:val="20"/>
          <w:szCs w:val="20"/>
          <w:color w:val="auto"/>
        </w:rPr>
      </w:pPr>
    </w:p>
    <w:p>
      <w:pPr>
        <w:ind w:left="720" w:hanging="536"/>
        <w:spacing w:after="0"/>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225" w:lineRule="exact"/>
        <w:rPr>
          <w:rFonts w:ascii="Arial" w:cs="Arial" w:eastAsia="Arial" w:hAnsi="Arial"/>
          <w:sz w:val="18"/>
          <w:szCs w:val="18"/>
          <w:color w:val="auto"/>
        </w:rPr>
      </w:pPr>
    </w:p>
    <w:p>
      <w:pPr>
        <w:ind w:left="1320" w:hanging="556"/>
        <w:spacing w:after="0"/>
        <w:tabs>
          <w:tab w:leader="none" w:pos="13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52" w:lineRule="exact"/>
        <w:rPr>
          <w:rFonts w:ascii="Arial" w:cs="Arial" w:eastAsia="Arial" w:hAnsi="Arial"/>
          <w:sz w:val="18"/>
          <w:szCs w:val="18"/>
          <w:color w:val="auto"/>
        </w:rPr>
      </w:pPr>
    </w:p>
    <w:p>
      <w:pPr>
        <w:ind w:left="1840" w:hanging="508"/>
        <w:spacing w:after="0"/>
        <w:tabs>
          <w:tab w:leader="none" w:pos="1840" w:val="left"/>
        </w:tabs>
        <w:numPr>
          <w:ilvl w:val="2"/>
          <w:numId w:val="37"/>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 as amended;</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7" w:lineRule="exact"/>
        <w:rPr>
          <w:sz w:val="20"/>
          <w:szCs w:val="20"/>
          <w:color w:val="auto"/>
        </w:rPr>
      </w:pPr>
    </w:p>
    <w:p>
      <w:pPr>
        <w:ind w:left="1160" w:right="60" w:firstLine="172"/>
        <w:spacing w:after="0" w:line="290" w:lineRule="auto"/>
        <w:tabs>
          <w:tab w:leader="none" w:pos="1898" w:val="left"/>
        </w:tabs>
        <w:numPr>
          <w:ilvl w:val="0"/>
          <w:numId w:val="38"/>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any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percent change in the maximum aggregate offering price set forth in the “Calculation of Registration Fee” table in the effective registration statement; and</w:t>
      </w:r>
    </w:p>
    <w:p>
      <w:pPr>
        <w:spacing w:after="0" w:line="199" w:lineRule="exact"/>
        <w:rPr>
          <w:rFonts w:ascii="Arial" w:cs="Arial" w:eastAsia="Arial" w:hAnsi="Arial"/>
          <w:sz w:val="16"/>
          <w:szCs w:val="16"/>
          <w:color w:val="auto"/>
        </w:rPr>
      </w:pPr>
    </w:p>
    <w:p>
      <w:pPr>
        <w:ind w:left="1160" w:right="260" w:firstLine="172"/>
        <w:spacing w:after="0" w:line="268" w:lineRule="auto"/>
        <w:tabs>
          <w:tab w:leader="none" w:pos="1947" w:val="left"/>
        </w:tabs>
        <w:numPr>
          <w:ilvl w:val="0"/>
          <w:numId w:val="38"/>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213" w:lineRule="exact"/>
        <w:rPr>
          <w:sz w:val="20"/>
          <w:szCs w:val="20"/>
          <w:color w:val="auto"/>
        </w:rPr>
      </w:pPr>
    </w:p>
    <w:p>
      <w:pPr>
        <w:ind w:left="1160" w:right="240" w:firstLine="351"/>
        <w:spacing w:after="0" w:line="255" w:lineRule="auto"/>
        <w:rPr>
          <w:sz w:val="20"/>
          <w:szCs w:val="20"/>
          <w:color w:val="auto"/>
        </w:rPr>
      </w:pPr>
      <w:r>
        <w:rPr>
          <w:rFonts w:ascii="Arial" w:cs="Arial" w:eastAsia="Arial" w:hAnsi="Arial"/>
          <w:sz w:val="18"/>
          <w:szCs w:val="18"/>
          <w:i w:val="1"/>
          <w:iCs w:val="1"/>
          <w:color w:val="auto"/>
        </w:rPr>
        <w:t xml:space="preserve">provided, however, </w:t>
      </w:r>
      <w:r>
        <w:rPr>
          <w:rFonts w:ascii="Arial" w:cs="Arial" w:eastAsia="Arial" w:hAnsi="Arial"/>
          <w:sz w:val="18"/>
          <w:szCs w:val="18"/>
          <w:color w:val="auto"/>
        </w:rPr>
        <w:t>paragraphs (a)(1)(i), (a)(1)(ii) and (a)(1)(iii) of this section do not apply if the registration statement is on Form S-3 or</w:t>
      </w:r>
      <w:r>
        <w:rPr>
          <w:rFonts w:ascii="Arial" w:cs="Arial" w:eastAsia="Arial" w:hAnsi="Arial"/>
          <w:sz w:val="18"/>
          <w:szCs w:val="18"/>
          <w:i w:val="1"/>
          <w:iCs w:val="1"/>
          <w:color w:val="auto"/>
        </w:rPr>
        <w:t xml:space="preserve"> </w:t>
      </w:r>
      <w:r>
        <w:rPr>
          <w:rFonts w:ascii="Arial" w:cs="Arial" w:eastAsia="Arial" w:hAnsi="Arial"/>
          <w:sz w:val="18"/>
          <w:szCs w:val="18"/>
          <w:color w:val="auto"/>
        </w:rPr>
        <w:t>Form F-3 and the information required to be included in a post-effective amendment by those paragraphs is contained in reports filed with or furnished to the SEC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224" w:lineRule="exact"/>
        <w:rPr>
          <w:sz w:val="20"/>
          <w:szCs w:val="20"/>
          <w:color w:val="auto"/>
        </w:rPr>
      </w:pPr>
    </w:p>
    <w:p>
      <w:pPr>
        <w:jc w:val="both"/>
        <w:ind w:left="580" w:right="180" w:firstLine="184"/>
        <w:spacing w:after="0" w:line="259" w:lineRule="auto"/>
        <w:tabs>
          <w:tab w:leader="none" w:pos="1308" w:val="left"/>
        </w:tabs>
        <w:numPr>
          <w:ilvl w:val="0"/>
          <w:numId w:val="39"/>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of 1933, as amended,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221" w:lineRule="exact"/>
        <w:rPr>
          <w:rFonts w:ascii="Arial" w:cs="Arial" w:eastAsia="Arial" w:hAnsi="Arial"/>
          <w:sz w:val="18"/>
          <w:szCs w:val="18"/>
          <w:color w:val="auto"/>
        </w:rPr>
      </w:pPr>
    </w:p>
    <w:p>
      <w:pPr>
        <w:ind w:left="580" w:right="640" w:firstLine="184"/>
        <w:spacing w:after="0" w:line="268" w:lineRule="auto"/>
        <w:tabs>
          <w:tab w:leader="none" w:pos="1308" w:val="left"/>
        </w:tabs>
        <w:numPr>
          <w:ilvl w:val="0"/>
          <w:numId w:val="39"/>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212" w:lineRule="exact"/>
        <w:rPr>
          <w:rFonts w:ascii="Arial" w:cs="Arial" w:eastAsia="Arial" w:hAnsi="Arial"/>
          <w:sz w:val="18"/>
          <w:szCs w:val="18"/>
          <w:color w:val="auto"/>
        </w:rPr>
      </w:pPr>
    </w:p>
    <w:p>
      <w:pPr>
        <w:ind w:left="580" w:firstLine="184"/>
        <w:spacing w:after="0" w:line="288" w:lineRule="auto"/>
        <w:tabs>
          <w:tab w:leader="none" w:pos="1308" w:val="left"/>
        </w:tabs>
        <w:numPr>
          <w:ilvl w:val="0"/>
          <w:numId w:val="39"/>
        </w:numPr>
        <w:rPr>
          <w:rFonts w:ascii="Arial" w:cs="Arial" w:eastAsia="Arial" w:hAnsi="Arial"/>
          <w:sz w:val="16"/>
          <w:szCs w:val="16"/>
          <w:color w:val="auto"/>
        </w:rPr>
      </w:pPr>
      <w:r>
        <w:rPr>
          <w:rFonts w:ascii="Arial" w:cs="Arial" w:eastAsia="Arial" w:hAnsi="Arial"/>
          <w:sz w:val="16"/>
          <w:szCs w:val="16"/>
          <w:color w:val="auto"/>
        </w:rPr>
        <w:t xml:space="preserve">To file a post-effective amendment to the registration statement to include any financial statements required by Item 8.A. of Form 20-F at the start of any delayed offering or throughout a continuous offering. Financial statements and information otherwise required by Section 10(a)(3) of the Securities Act of 1933, as amended, need not be furnished,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 that the Registrant includes in the prospectus, by means of a post-effective amendment, financial statements required pursuant to this paragraph (a)(4) and other information necessary to ensure that all other information in the prospectus is at least as current as the date of those financial statements. Notwithstanding the foregoing, with respect to registration statements on Form F-3, a post-effective amendment need not be filed to include financial statements and information required by Section 10(a)(3) of the Securities Act of 1933, as amended, or Rule 3-19 of Regulation S-K if such financial statements and information are contained in periodic reports filed with or furnished to the SEC by the Registrant pursuant to Section 13 or Section 15(d) of the Securities Exchange Act of 1934, as amended, that are incorporated by reference in this Form F-3.</w:t>
      </w:r>
    </w:p>
    <w:p>
      <w:pPr>
        <w:spacing w:after="0" w:line="200" w:lineRule="exact"/>
        <w:rPr>
          <w:rFonts w:ascii="Arial" w:cs="Arial" w:eastAsia="Arial" w:hAnsi="Arial"/>
          <w:sz w:val="16"/>
          <w:szCs w:val="16"/>
          <w:color w:val="auto"/>
        </w:rPr>
      </w:pPr>
    </w:p>
    <w:p>
      <w:pPr>
        <w:ind w:left="1320" w:hanging="556"/>
        <w:spacing w:after="0"/>
        <w:tabs>
          <w:tab w:leader="none" w:pos="13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to any purchaser:</w:t>
      </w:r>
    </w:p>
    <w:p>
      <w:pPr>
        <w:spacing w:after="0" w:line="252" w:lineRule="exact"/>
        <w:rPr>
          <w:rFonts w:ascii="Arial" w:cs="Arial" w:eastAsia="Arial" w:hAnsi="Arial"/>
          <w:sz w:val="18"/>
          <w:szCs w:val="18"/>
          <w:color w:val="auto"/>
        </w:rPr>
      </w:pPr>
    </w:p>
    <w:p>
      <w:pPr>
        <w:ind w:left="1840" w:hanging="508"/>
        <w:spacing w:after="0"/>
        <w:tabs>
          <w:tab w:leader="none" w:pos="1840" w:val="left"/>
        </w:tabs>
        <w:numPr>
          <w:ilvl w:val="1"/>
          <w:numId w:val="39"/>
        </w:numPr>
        <w:rPr>
          <w:rFonts w:ascii="Arial" w:cs="Arial" w:eastAsia="Arial" w:hAnsi="Arial"/>
          <w:sz w:val="18"/>
          <w:szCs w:val="18"/>
          <w:color w:val="auto"/>
        </w:rPr>
      </w:pPr>
      <w:r>
        <w:rPr>
          <w:rFonts w:ascii="Arial" w:cs="Arial" w:eastAsia="Arial" w:hAnsi="Arial"/>
          <w:sz w:val="18"/>
          <w:szCs w:val="18"/>
          <w:color w:val="auto"/>
        </w:rPr>
        <w:t>If the Registrant is relying on Rule 430B:</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7" w:lineRule="exact"/>
        <w:rPr>
          <w:sz w:val="20"/>
          <w:szCs w:val="20"/>
          <w:color w:val="auto"/>
        </w:rPr>
      </w:pPr>
    </w:p>
    <w:p>
      <w:pPr>
        <w:ind w:left="1720" w:right="20" w:firstLine="179"/>
        <w:spacing w:after="0" w:line="268" w:lineRule="auto"/>
        <w:tabs>
          <w:tab w:leader="none" w:pos="249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212" w:lineRule="exact"/>
        <w:rPr>
          <w:rFonts w:ascii="Arial" w:cs="Arial" w:eastAsia="Arial" w:hAnsi="Arial"/>
          <w:sz w:val="18"/>
          <w:szCs w:val="18"/>
          <w:color w:val="auto"/>
        </w:rPr>
      </w:pPr>
    </w:p>
    <w:p>
      <w:pPr>
        <w:ind w:left="1720" w:right="120" w:firstLine="179"/>
        <w:spacing w:after="0" w:line="335" w:lineRule="auto"/>
        <w:tabs>
          <w:tab w:leader="none" w:pos="2481" w:val="left"/>
        </w:tabs>
        <w:numPr>
          <w:ilvl w:val="0"/>
          <w:numId w:val="40"/>
        </w:numPr>
        <w:rPr>
          <w:rFonts w:ascii="Arial" w:cs="Arial" w:eastAsia="Arial" w:hAnsi="Arial"/>
          <w:sz w:val="15"/>
          <w:szCs w:val="15"/>
          <w:color w:val="auto"/>
        </w:rPr>
      </w:pPr>
      <w:r>
        <w:rPr>
          <w:rFonts w:ascii="Arial" w:cs="Arial" w:eastAsia="Arial" w:hAnsi="Arial"/>
          <w:sz w:val="15"/>
          <w:szCs w:val="15"/>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w:t>
      </w:r>
    </w:p>
    <w:p>
      <w:pPr>
        <w:sectPr>
          <w:pgSz w:w="11900" w:h="16882" w:orient="portrait"/>
          <w:cols w:equalWidth="0" w:num="1">
            <w:col w:w="11400"/>
          </w:cols>
          <w:pgMar w:left="240" w:top="374" w:right="259" w:bottom="0" w:gutter="0" w:footer="0" w:header="0"/>
        </w:sectPr>
      </w:pPr>
    </w:p>
    <w:bookmarkStart w:id="19" w:name="page20"/>
    <w:bookmarkEnd w:id="19"/>
    <w:p>
      <w:pPr>
        <w:ind w:left="1712" w:right="60"/>
        <w:spacing w:after="0" w:line="288" w:lineRule="auto"/>
        <w:rPr>
          <w:sz w:val="20"/>
          <w:szCs w:val="20"/>
          <w:color w:val="auto"/>
        </w:rPr>
      </w:pPr>
      <w:r>
        <w:rPr>
          <w:rFonts w:ascii="Arial" w:cs="Arial" w:eastAsia="Arial" w:hAnsi="Arial"/>
          <w:sz w:val="16"/>
          <w:szCs w:val="16"/>
          <w:color w:val="auto"/>
        </w:rPr>
        <w:t>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or</w:t>
      </w:r>
    </w:p>
    <w:p>
      <w:pPr>
        <w:spacing w:after="0" w:line="201" w:lineRule="exact"/>
        <w:rPr>
          <w:sz w:val="20"/>
          <w:szCs w:val="20"/>
          <w:color w:val="auto"/>
        </w:rPr>
      </w:pPr>
    </w:p>
    <w:p>
      <w:pPr>
        <w:ind w:left="1152" w:right="20" w:firstLine="172"/>
        <w:spacing w:after="0" w:line="290" w:lineRule="auto"/>
        <w:tabs>
          <w:tab w:leader="none" w:pos="1893" w:val="left"/>
        </w:tabs>
        <w:numPr>
          <w:ilvl w:val="1"/>
          <w:numId w:val="41"/>
        </w:numPr>
        <w:rPr>
          <w:rFonts w:ascii="Arial" w:cs="Arial" w:eastAsia="Arial" w:hAnsi="Arial"/>
          <w:sz w:val="16"/>
          <w:szCs w:val="16"/>
          <w:color w:val="auto"/>
        </w:rPr>
      </w:pPr>
      <w:r>
        <w:rPr>
          <w:rFonts w:ascii="Arial" w:cs="Arial" w:eastAsia="Arial" w:hAnsi="Arial"/>
          <w:sz w:val="16"/>
          <w:szCs w:val="16"/>
          <w:color w:val="auto"/>
        </w:rPr>
        <w:t>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99" w:lineRule="exact"/>
        <w:rPr>
          <w:rFonts w:ascii="Arial" w:cs="Arial" w:eastAsia="Arial" w:hAnsi="Arial"/>
          <w:sz w:val="16"/>
          <w:szCs w:val="16"/>
          <w:color w:val="auto"/>
        </w:rPr>
      </w:pPr>
    </w:p>
    <w:p>
      <w:pPr>
        <w:ind w:left="572" w:right="40" w:firstLine="184"/>
        <w:spacing w:after="0" w:line="255" w:lineRule="auto"/>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223" w:lineRule="exact"/>
        <w:rPr>
          <w:rFonts w:ascii="Arial" w:cs="Arial" w:eastAsia="Arial" w:hAnsi="Arial"/>
          <w:sz w:val="18"/>
          <w:szCs w:val="18"/>
          <w:color w:val="auto"/>
        </w:rPr>
      </w:pPr>
    </w:p>
    <w:p>
      <w:pPr>
        <w:ind w:left="1832" w:hanging="508"/>
        <w:spacing w:after="0"/>
        <w:tabs>
          <w:tab w:leader="none" w:pos="1832" w:val="left"/>
        </w:tabs>
        <w:numPr>
          <w:ilvl w:val="1"/>
          <w:numId w:val="42"/>
        </w:numPr>
        <w:rPr>
          <w:rFonts w:ascii="Arial" w:cs="Arial" w:eastAsia="Arial" w:hAnsi="Arial"/>
          <w:sz w:val="16"/>
          <w:szCs w:val="16"/>
          <w:color w:val="auto"/>
        </w:rPr>
      </w:pPr>
      <w:r>
        <w:rPr>
          <w:rFonts w:ascii="Arial" w:cs="Arial" w:eastAsia="Arial" w:hAnsi="Arial"/>
          <w:sz w:val="16"/>
          <w:szCs w:val="16"/>
          <w:color w:val="auto"/>
        </w:rPr>
        <w:t>Any preliminary prospectus or prospectus of the undersigned Registrant relating to the offering required to be filed pursuant to Rule</w:t>
      </w:r>
    </w:p>
    <w:p>
      <w:pPr>
        <w:spacing w:after="0" w:line="38" w:lineRule="exact"/>
        <w:rPr>
          <w:rFonts w:ascii="Arial" w:cs="Arial" w:eastAsia="Arial" w:hAnsi="Arial"/>
          <w:sz w:val="16"/>
          <w:szCs w:val="16"/>
          <w:color w:val="auto"/>
        </w:rPr>
      </w:pPr>
    </w:p>
    <w:p>
      <w:pPr>
        <w:ind w:left="1152"/>
        <w:spacing w:after="0"/>
        <w:rPr>
          <w:rFonts w:ascii="Arial" w:cs="Arial" w:eastAsia="Arial" w:hAnsi="Arial"/>
          <w:sz w:val="16"/>
          <w:szCs w:val="16"/>
          <w:color w:val="auto"/>
        </w:rPr>
      </w:pPr>
      <w:r>
        <w:rPr>
          <w:rFonts w:ascii="Arial" w:cs="Arial" w:eastAsia="Arial" w:hAnsi="Arial"/>
          <w:sz w:val="18"/>
          <w:szCs w:val="18"/>
          <w:color w:val="auto"/>
        </w:rPr>
        <w:t>424;</w:t>
      </w:r>
    </w:p>
    <w:p>
      <w:pPr>
        <w:spacing w:after="0" w:line="245" w:lineRule="exact"/>
        <w:rPr>
          <w:rFonts w:ascii="Arial" w:cs="Arial" w:eastAsia="Arial" w:hAnsi="Arial"/>
          <w:sz w:val="16"/>
          <w:szCs w:val="16"/>
          <w:color w:val="auto"/>
        </w:rPr>
      </w:pPr>
    </w:p>
    <w:p>
      <w:pPr>
        <w:ind w:left="1152" w:right="20" w:firstLine="172"/>
        <w:spacing w:after="0" w:line="268" w:lineRule="auto"/>
        <w:tabs>
          <w:tab w:leader="none" w:pos="1883"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212" w:lineRule="exact"/>
        <w:rPr>
          <w:rFonts w:ascii="Arial" w:cs="Arial" w:eastAsia="Arial" w:hAnsi="Arial"/>
          <w:sz w:val="18"/>
          <w:szCs w:val="18"/>
          <w:color w:val="auto"/>
        </w:rPr>
      </w:pPr>
    </w:p>
    <w:p>
      <w:pPr>
        <w:ind w:left="1152" w:right="560" w:firstLine="172"/>
        <w:spacing w:after="0" w:line="268" w:lineRule="auto"/>
        <w:tabs>
          <w:tab w:leader="none" w:pos="1939" w:val="left"/>
        </w:tabs>
        <w:numPr>
          <w:ilvl w:val="1"/>
          <w:numId w:val="42"/>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212" w:lineRule="exact"/>
        <w:rPr>
          <w:rFonts w:ascii="Arial" w:cs="Arial" w:eastAsia="Arial" w:hAnsi="Arial"/>
          <w:sz w:val="18"/>
          <w:szCs w:val="18"/>
          <w:color w:val="auto"/>
        </w:rPr>
      </w:pPr>
    </w:p>
    <w:p>
      <w:pPr>
        <w:ind w:left="1912" w:hanging="588"/>
        <w:spacing w:after="0"/>
        <w:tabs>
          <w:tab w:leader="none" w:pos="1912"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200" w:lineRule="exact"/>
        <w:rPr>
          <w:sz w:val="20"/>
          <w:szCs w:val="20"/>
          <w:color w:val="auto"/>
        </w:rPr>
      </w:pPr>
    </w:p>
    <w:p>
      <w:pPr>
        <w:spacing w:after="0" w:line="268"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120650</wp:posOffset>
            </wp:positionV>
            <wp:extent cx="72504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8" w:right="100" w:firstLine="184"/>
        <w:spacing w:after="0" w:line="255" w:lineRule="auto"/>
        <w:tabs>
          <w:tab w:leader="none" w:pos="723"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96" w:lineRule="exact"/>
        <w:rPr>
          <w:rFonts w:ascii="Arial" w:cs="Arial" w:eastAsia="Arial" w:hAnsi="Arial"/>
          <w:sz w:val="18"/>
          <w:szCs w:val="18"/>
          <w:color w:val="auto"/>
        </w:rPr>
      </w:pPr>
    </w:p>
    <w:p>
      <w:pPr>
        <w:ind w:left="-8" w:right="160" w:firstLine="184"/>
        <w:spacing w:after="0" w:line="312" w:lineRule="auto"/>
        <w:tabs>
          <w:tab w:leader="none" w:pos="714" w:val="left"/>
        </w:tabs>
        <w:numPr>
          <w:ilvl w:val="1"/>
          <w:numId w:val="43"/>
        </w:numPr>
        <w:rPr>
          <w:rFonts w:ascii="Arial" w:cs="Arial" w:eastAsia="Arial" w:hAnsi="Arial"/>
          <w:sz w:val="15"/>
          <w:szCs w:val="15"/>
          <w:color w:val="auto"/>
        </w:rPr>
      </w:pPr>
      <w:r>
        <w:rPr>
          <w:rFonts w:ascii="Arial" w:cs="Arial" w:eastAsia="Arial" w:hAnsi="Arial"/>
          <w:sz w:val="15"/>
          <w:szCs w:val="15"/>
          <w:color w:val="auto"/>
        </w:rPr>
        <w:t>Insofar as indemnification for liabilities arising under the Securities Act of 1933, as amended,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59" w:lineRule="exact"/>
        <w:rPr>
          <w:rFonts w:ascii="Arial" w:cs="Arial" w:eastAsia="Arial" w:hAnsi="Arial"/>
          <w:sz w:val="15"/>
          <w:szCs w:val="15"/>
          <w:color w:val="auto"/>
        </w:rPr>
      </w:pPr>
    </w:p>
    <w:p>
      <w:pPr>
        <w:ind w:left="732" w:hanging="556"/>
        <w:spacing w:after="0"/>
        <w:tabs>
          <w:tab w:leader="none" w:pos="732"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The undersigned Registrant hereby undertakes that:</w:t>
      </w:r>
    </w:p>
    <w:p>
      <w:pPr>
        <w:spacing w:after="0" w:line="225" w:lineRule="exact"/>
        <w:rPr>
          <w:rFonts w:ascii="Arial" w:cs="Arial" w:eastAsia="Arial" w:hAnsi="Arial"/>
          <w:sz w:val="18"/>
          <w:szCs w:val="18"/>
          <w:color w:val="auto"/>
        </w:rPr>
      </w:pPr>
    </w:p>
    <w:p>
      <w:pPr>
        <w:ind w:left="1152" w:firstLine="172"/>
        <w:spacing w:after="0" w:line="256" w:lineRule="auto"/>
        <w:tabs>
          <w:tab w:leader="none" w:pos="1844" w:val="left"/>
        </w:tabs>
        <w:numPr>
          <w:ilvl w:val="2"/>
          <w:numId w:val="43"/>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 (1) or (4) or 497(h) under the Securities Act shall be deemed to be part of this registration statement as of the time it was declared effective.</w:t>
      </w:r>
    </w:p>
    <w:p>
      <w:pPr>
        <w:spacing w:after="0" w:line="224" w:lineRule="exact"/>
        <w:rPr>
          <w:rFonts w:ascii="Arial" w:cs="Arial" w:eastAsia="Arial" w:hAnsi="Arial"/>
          <w:sz w:val="18"/>
          <w:szCs w:val="18"/>
          <w:color w:val="auto"/>
        </w:rPr>
      </w:pPr>
    </w:p>
    <w:p>
      <w:pPr>
        <w:jc w:val="both"/>
        <w:ind w:left="1152" w:right="140" w:firstLine="172"/>
        <w:spacing w:after="0" w:line="259" w:lineRule="auto"/>
        <w:tabs>
          <w:tab w:leader="none" w:pos="1893" w:val="left"/>
        </w:tabs>
        <w:numPr>
          <w:ilvl w:val="2"/>
          <w:numId w:val="43"/>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ind w:left="712" w:hanging="536"/>
        <w:spacing w:after="0"/>
        <w:tabs>
          <w:tab w:leader="none" w:pos="712" w:val="left"/>
        </w:tabs>
        <w:numPr>
          <w:ilvl w:val="1"/>
          <w:numId w:val="43"/>
        </w:numPr>
        <w:rPr>
          <w:rFonts w:ascii="Arial" w:cs="Arial" w:eastAsia="Arial" w:hAnsi="Arial"/>
          <w:sz w:val="16"/>
          <w:szCs w:val="16"/>
          <w:color w:val="auto"/>
        </w:rPr>
      </w:pPr>
      <w:r>
        <w:rPr>
          <w:rFonts w:ascii="Arial" w:cs="Arial" w:eastAsia="Arial" w:hAnsi="Arial"/>
          <w:sz w:val="16"/>
          <w:szCs w:val="16"/>
          <w:color w:val="auto"/>
        </w:rPr>
        <w:t>The undersigned Registrant hereby undertakes to file an application for the purpose of determining the eligibility of the trustee to act under subsection</w:t>
      </w:r>
    </w:p>
    <w:p>
      <w:pPr>
        <w:spacing w:after="0" w:line="38" w:lineRule="exact"/>
        <w:rPr>
          <w:rFonts w:ascii="Arial" w:cs="Arial" w:eastAsia="Arial" w:hAnsi="Arial"/>
          <w:sz w:val="16"/>
          <w:szCs w:val="16"/>
          <w:color w:val="auto"/>
        </w:rPr>
      </w:pPr>
    </w:p>
    <w:p>
      <w:pPr>
        <w:ind w:left="-8" w:right="180" w:firstLine="8"/>
        <w:spacing w:after="0" w:line="261" w:lineRule="auto"/>
        <w:tabs>
          <w:tab w:leader="none" w:pos="231" w:val="left"/>
        </w:tabs>
        <w:numPr>
          <w:ilvl w:val="0"/>
          <w:numId w:val="44"/>
        </w:numPr>
        <w:rPr>
          <w:rFonts w:ascii="Arial" w:cs="Arial" w:eastAsia="Arial" w:hAnsi="Arial"/>
          <w:sz w:val="18"/>
          <w:szCs w:val="18"/>
          <w:color w:val="auto"/>
        </w:rPr>
      </w:pPr>
      <w:r>
        <w:rPr>
          <w:rFonts w:ascii="Arial" w:cs="Arial" w:eastAsia="Arial" w:hAnsi="Arial"/>
          <w:sz w:val="18"/>
          <w:szCs w:val="18"/>
          <w:color w:val="auto"/>
        </w:rPr>
        <w:t>of Section 310 of the Trust Indenture Act in accordance with the rules and regulations prescribed by the SEC under Section 305(b)(2) of the Trust Indenture Act.</w:t>
      </w:r>
    </w:p>
    <w:p>
      <w:pPr>
        <w:spacing w:after="0" w:line="192"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120650</wp:posOffset>
            </wp:positionV>
            <wp:extent cx="72504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372"/>
          </w:cols>
          <w:pgMar w:left="248" w:top="131" w:right="279" w:bottom="69" w:gutter="0" w:footer="0" w:header="0"/>
        </w:sectPr>
      </w:pPr>
    </w:p>
    <w:p>
      <w:pPr>
        <w:spacing w:after="0" w:line="200" w:lineRule="exact"/>
        <w:rPr>
          <w:sz w:val="20"/>
          <w:szCs w:val="20"/>
          <w:color w:val="auto"/>
        </w:rPr>
      </w:pPr>
    </w:p>
    <w:p>
      <w:pPr>
        <w:spacing w:after="0" w:line="316" w:lineRule="exact"/>
        <w:rPr>
          <w:sz w:val="20"/>
          <w:szCs w:val="20"/>
          <w:color w:val="auto"/>
        </w:rPr>
      </w:pPr>
    </w:p>
    <w:p>
      <w:pPr>
        <w:jc w:val="center"/>
        <w:ind w:right="-31"/>
        <w:spacing w:after="0"/>
        <w:rPr>
          <w:sz w:val="20"/>
          <w:szCs w:val="20"/>
          <w:color w:val="auto"/>
        </w:rPr>
      </w:pPr>
      <w:r>
        <w:rPr>
          <w:rFonts w:ascii="Arial" w:cs="Arial" w:eastAsia="Arial" w:hAnsi="Arial"/>
          <w:sz w:val="16"/>
          <w:szCs w:val="16"/>
          <w:b w:val="1"/>
          <w:bCs w:val="1"/>
          <w:color w:val="auto"/>
        </w:rPr>
        <w:t>SIGNATURES</w:t>
      </w:r>
    </w:p>
    <w:p>
      <w:pPr>
        <w:sectPr>
          <w:pgSz w:w="11900" w:h="16838" w:orient="portrait"/>
          <w:cols w:equalWidth="0" w:num="1">
            <w:col w:w="11372"/>
          </w:cols>
          <w:pgMar w:left="248" w:top="131" w:right="279" w:bottom="69" w:gutter="0" w:footer="0" w:header="0"/>
          <w:type w:val="continuous"/>
        </w:sectPr>
      </w:pPr>
    </w:p>
    <w:bookmarkStart w:id="20" w:name="page21"/>
    <w:bookmarkEnd w:id="20"/>
    <w:p>
      <w:pPr>
        <w:ind w:right="160" w:firstLine="351"/>
        <w:spacing w:after="0" w:line="259"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F-3 and has duly caused this Registration Statement on Form F-3 to be signed on its behalf by the undersigned, thereunto duly authorized, in the City of Migdal Haemek, Israel, on January 18, 2008.</w:t>
      </w:r>
    </w:p>
    <w:p>
      <w:pPr>
        <w:spacing w:after="0" w:line="188"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TOWER SEMICONDUCTOR LTD.</w:t>
      </w:r>
    </w:p>
    <w:p>
      <w:pPr>
        <w:spacing w:after="0" w:line="200" w:lineRule="exact"/>
        <w:rPr>
          <w:sz w:val="20"/>
          <w:szCs w:val="20"/>
          <w:color w:val="auto"/>
        </w:rPr>
      </w:pPr>
    </w:p>
    <w:p>
      <w:pPr>
        <w:spacing w:after="0" w:line="24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Russel C. Ellwanger</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Russell C. Ellwanger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Director and Chief Executive Officer</w:t>
      </w:r>
    </w:p>
    <w:p>
      <w:pPr>
        <w:spacing w:after="0" w:line="200" w:lineRule="exact"/>
        <w:rPr>
          <w:sz w:val="20"/>
          <w:szCs w:val="20"/>
          <w:color w:val="auto"/>
        </w:rPr>
      </w:pPr>
    </w:p>
    <w:p>
      <w:pPr>
        <w:spacing w:after="0" w:line="32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POWER OF ATTORNEY</w:t>
      </w:r>
    </w:p>
    <w:p>
      <w:pPr>
        <w:spacing w:after="0" w:line="312"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KNOW ALL MEN BY THESE PRESENTS, each director and officer whose signature appears below constitutes and appoints, Russell C. Ellwanger, Oren Shirazi or any of them, his true and lawful attorney-in-fact and agent, with full power of substitution and re-substitution, to sign in any and all capacities any and all amendments or post-effective amendments to this registration statement on Form F-3, provided such amendment is limited to immaterial matters or any other matter that has been approved by the board of directors, and any registration statement filed pursuant to Rule 462 under the Securities Act of 1933, as amended, and to file the same with all exhibits thereto and other documents in connection therewith with the Securities Exchange Commission, granting such attorneys-in-fact and agents, and each of them, full power and authority to do all such other acts and execute all such other documents as they, or any of them, may deem necessary or desirable in connection with the foregoing, as fully as the undersigned might or could do in person, hereby ratifying and confirming all that such attorneys-in-fact and agents, or any of them, may lawfully do or cause to be done by virtue hereof.</w:t>
      </w:r>
    </w:p>
    <w:p>
      <w:pPr>
        <w:spacing w:after="0" w:line="172"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420" w:type="dxa"/>
            <w:vAlign w:val="bottom"/>
          </w:tcPr>
          <w:p>
            <w:pPr>
              <w:ind w:left="1380"/>
              <w:spacing w:after="0"/>
              <w:rPr>
                <w:sz w:val="20"/>
                <w:szCs w:val="20"/>
                <w:color w:val="auto"/>
              </w:rPr>
            </w:pPr>
            <w:r>
              <w:rPr>
                <w:rFonts w:ascii="Arial" w:cs="Arial" w:eastAsia="Arial" w:hAnsi="Arial"/>
                <w:sz w:val="18"/>
                <w:szCs w:val="18"/>
                <w:b w:val="1"/>
                <w:bCs w:val="1"/>
                <w:color w:val="auto"/>
              </w:rPr>
              <w:t>SIGNATURE</w:t>
            </w:r>
          </w:p>
        </w:tc>
        <w:tc>
          <w:tcPr>
            <w:tcW w:w="360" w:type="dxa"/>
            <w:vAlign w:val="bottom"/>
          </w:tcPr>
          <w:p>
            <w:pPr>
              <w:spacing w:after="0"/>
              <w:rPr>
                <w:sz w:val="19"/>
                <w:szCs w:val="19"/>
                <w:color w:val="auto"/>
              </w:rPr>
            </w:pPr>
          </w:p>
        </w:tc>
        <w:tc>
          <w:tcPr>
            <w:tcW w:w="3520" w:type="dxa"/>
            <w:vAlign w:val="bottom"/>
          </w:tcPr>
          <w:p>
            <w:pPr>
              <w:ind w:left="1680"/>
              <w:spacing w:after="0"/>
              <w:rPr>
                <w:sz w:val="20"/>
                <w:szCs w:val="20"/>
                <w:color w:val="auto"/>
              </w:rPr>
            </w:pPr>
            <w:r>
              <w:rPr>
                <w:rFonts w:ascii="Arial" w:cs="Arial" w:eastAsia="Arial" w:hAnsi="Arial"/>
                <w:sz w:val="18"/>
                <w:szCs w:val="18"/>
                <w:b w:val="1"/>
                <w:bCs w:val="1"/>
                <w:color w:val="auto"/>
              </w:rPr>
              <w:t>TITLE</w:t>
            </w:r>
          </w:p>
        </w:tc>
        <w:tc>
          <w:tcPr>
            <w:tcW w:w="360" w:type="dxa"/>
            <w:vAlign w:val="bottom"/>
          </w:tcPr>
          <w:p>
            <w:pPr>
              <w:spacing w:after="0"/>
              <w:rPr>
                <w:sz w:val="19"/>
                <w:szCs w:val="19"/>
                <w:color w:val="auto"/>
              </w:rPr>
            </w:pPr>
          </w:p>
        </w:tc>
        <w:tc>
          <w:tcPr>
            <w:tcW w:w="3400" w:type="dxa"/>
            <w:vAlign w:val="bottom"/>
          </w:tcPr>
          <w:p>
            <w:pPr>
              <w:jc w:val="center"/>
              <w:ind w:left="272"/>
              <w:spacing w:after="0"/>
              <w:rPr>
                <w:sz w:val="20"/>
                <w:szCs w:val="20"/>
                <w:color w:val="auto"/>
              </w:rPr>
            </w:pPr>
            <w:r>
              <w:rPr>
                <w:rFonts w:ascii="Arial" w:cs="Arial" w:eastAsia="Arial" w:hAnsi="Arial"/>
                <w:sz w:val="18"/>
                <w:szCs w:val="18"/>
                <w:b w:val="1"/>
                <w:bCs w:val="1"/>
                <w:color w:val="auto"/>
                <w:w w:val="97"/>
              </w:rPr>
              <w:t>DATE</w:t>
            </w:r>
          </w:p>
        </w:tc>
      </w:tr>
      <w:tr>
        <w:trPr>
          <w:trHeight w:val="110"/>
        </w:trPr>
        <w:tc>
          <w:tcPr>
            <w:tcW w:w="342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352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3400" w:type="dxa"/>
            <w:vAlign w:val="bottom"/>
            <w:tcBorders>
              <w:bottom w:val="single" w:sz="8" w:color="auto"/>
            </w:tcBorders>
          </w:tcPr>
          <w:p>
            <w:pPr>
              <w:spacing w:after="0"/>
              <w:rPr>
                <w:sz w:val="9"/>
                <w:szCs w:val="9"/>
                <w:color w:val="auto"/>
              </w:rPr>
            </w:pPr>
          </w:p>
        </w:tc>
      </w:tr>
      <w:tr>
        <w:trPr>
          <w:trHeight w:val="552"/>
        </w:trPr>
        <w:tc>
          <w:tcPr>
            <w:tcW w:w="3420" w:type="dxa"/>
            <w:vAlign w:val="bottom"/>
          </w:tcPr>
          <w:p>
            <w:pPr>
              <w:spacing w:after="0"/>
              <w:rPr>
                <w:sz w:val="20"/>
                <w:szCs w:val="20"/>
                <w:color w:val="auto"/>
              </w:rPr>
            </w:pPr>
            <w:r>
              <w:rPr>
                <w:rFonts w:ascii="Arial" w:cs="Arial" w:eastAsia="Arial" w:hAnsi="Arial"/>
                <w:sz w:val="18"/>
                <w:szCs w:val="18"/>
                <w:color w:val="auto"/>
              </w:rPr>
              <w:t>/s/ Dov Moran</w:t>
            </w:r>
          </w:p>
        </w:tc>
        <w:tc>
          <w:tcPr>
            <w:tcW w:w="360" w:type="dxa"/>
            <w:vAlign w:val="bottom"/>
          </w:tcPr>
          <w:p>
            <w:pPr>
              <w:spacing w:after="0"/>
              <w:rPr>
                <w:sz w:val="24"/>
                <w:szCs w:val="24"/>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Chairman of the Board</w:t>
            </w:r>
          </w:p>
        </w:tc>
        <w:tc>
          <w:tcPr>
            <w:tcW w:w="360" w:type="dxa"/>
            <w:vAlign w:val="bottom"/>
          </w:tcPr>
          <w:p>
            <w:pPr>
              <w:spacing w:after="0"/>
              <w:rPr>
                <w:sz w:val="24"/>
                <w:szCs w:val="24"/>
                <w:color w:val="auto"/>
              </w:rPr>
            </w:pPr>
          </w:p>
        </w:tc>
        <w:tc>
          <w:tcPr>
            <w:tcW w:w="3400" w:type="dxa"/>
            <w:vAlign w:val="bottom"/>
          </w:tcPr>
          <w:p>
            <w:pPr>
              <w:jc w:val="center"/>
              <w:ind w:left="272"/>
              <w:spacing w:after="0"/>
              <w:rPr>
                <w:sz w:val="20"/>
                <w:szCs w:val="20"/>
                <w:color w:val="auto"/>
              </w:rPr>
            </w:pPr>
            <w:r>
              <w:rPr>
                <w:rFonts w:ascii="Arial" w:cs="Arial" w:eastAsia="Arial" w:hAnsi="Arial"/>
                <w:sz w:val="18"/>
                <w:szCs w:val="18"/>
                <w:color w:val="auto"/>
                <w:w w:val="86"/>
              </w:rPr>
              <w:t>January 18, 2008</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0" w:type="dxa"/>
            <w:vAlign w:val="bottom"/>
          </w:tcPr>
          <w:p>
            <w:pPr>
              <w:spacing w:after="0"/>
              <w:rPr>
                <w:sz w:val="18"/>
                <w:szCs w:val="18"/>
                <w:color w:val="auto"/>
              </w:rPr>
            </w:pPr>
          </w:p>
        </w:tc>
      </w:tr>
      <w:tr>
        <w:trPr>
          <w:trHeight w:val="222"/>
        </w:trPr>
        <w:tc>
          <w:tcPr>
            <w:tcW w:w="3420" w:type="dxa"/>
            <w:vAlign w:val="bottom"/>
          </w:tcPr>
          <w:p>
            <w:pPr>
              <w:spacing w:after="0"/>
              <w:rPr>
                <w:sz w:val="20"/>
                <w:szCs w:val="20"/>
                <w:color w:val="auto"/>
              </w:rPr>
            </w:pPr>
            <w:r>
              <w:rPr>
                <w:rFonts w:ascii="Arial" w:cs="Arial" w:eastAsia="Arial" w:hAnsi="Arial"/>
                <w:sz w:val="18"/>
                <w:szCs w:val="18"/>
                <w:color w:val="auto"/>
              </w:rPr>
              <w:t>Dov Moran</w:t>
            </w:r>
          </w:p>
        </w:tc>
        <w:tc>
          <w:tcPr>
            <w:tcW w:w="36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0" w:type="dxa"/>
            <w:vAlign w:val="bottom"/>
          </w:tcPr>
          <w:p>
            <w:pPr>
              <w:spacing w:after="0"/>
              <w:rPr>
                <w:sz w:val="19"/>
                <w:szCs w:val="19"/>
                <w:color w:val="auto"/>
              </w:rPr>
            </w:pPr>
          </w:p>
        </w:tc>
      </w:tr>
      <w:tr>
        <w:trPr>
          <w:trHeight w:val="453"/>
        </w:trPr>
        <w:tc>
          <w:tcPr>
            <w:tcW w:w="3420" w:type="dxa"/>
            <w:vAlign w:val="bottom"/>
          </w:tcPr>
          <w:p>
            <w:pPr>
              <w:spacing w:after="0"/>
              <w:rPr>
                <w:sz w:val="20"/>
                <w:szCs w:val="20"/>
                <w:color w:val="auto"/>
              </w:rPr>
            </w:pPr>
            <w:r>
              <w:rPr>
                <w:rFonts w:ascii="Arial" w:cs="Arial" w:eastAsia="Arial" w:hAnsi="Arial"/>
                <w:sz w:val="18"/>
                <w:szCs w:val="18"/>
                <w:color w:val="auto"/>
              </w:rPr>
              <w:t>/s/ Russel C. Ellwanger</w:t>
            </w:r>
          </w:p>
        </w:tc>
        <w:tc>
          <w:tcPr>
            <w:tcW w:w="360" w:type="dxa"/>
            <w:vAlign w:val="bottom"/>
          </w:tcPr>
          <w:p>
            <w:pPr>
              <w:spacing w:after="0"/>
              <w:rPr>
                <w:sz w:val="24"/>
                <w:szCs w:val="24"/>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Director and Chief Executive Officer</w:t>
            </w:r>
          </w:p>
        </w:tc>
        <w:tc>
          <w:tcPr>
            <w:tcW w:w="360" w:type="dxa"/>
            <w:vAlign w:val="bottom"/>
          </w:tcPr>
          <w:p>
            <w:pPr>
              <w:spacing w:after="0"/>
              <w:rPr>
                <w:sz w:val="24"/>
                <w:szCs w:val="24"/>
                <w:color w:val="auto"/>
              </w:rPr>
            </w:pPr>
          </w:p>
        </w:tc>
        <w:tc>
          <w:tcPr>
            <w:tcW w:w="3400" w:type="dxa"/>
            <w:vAlign w:val="bottom"/>
          </w:tcPr>
          <w:p>
            <w:pPr>
              <w:jc w:val="center"/>
              <w:ind w:left="272"/>
              <w:spacing w:after="0"/>
              <w:rPr>
                <w:sz w:val="20"/>
                <w:szCs w:val="20"/>
                <w:color w:val="auto"/>
              </w:rPr>
            </w:pPr>
            <w:r>
              <w:rPr>
                <w:rFonts w:ascii="Arial" w:cs="Arial" w:eastAsia="Arial" w:hAnsi="Arial"/>
                <w:sz w:val="18"/>
                <w:szCs w:val="18"/>
                <w:color w:val="auto"/>
                <w:w w:val="86"/>
              </w:rPr>
              <w:t>January 18, 2008</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(Principal Executive Officer)</w:t>
            </w:r>
          </w:p>
        </w:tc>
        <w:tc>
          <w:tcPr>
            <w:tcW w:w="360" w:type="dxa"/>
            <w:vAlign w:val="bottom"/>
          </w:tcPr>
          <w:p>
            <w:pPr>
              <w:spacing w:after="0"/>
              <w:rPr>
                <w:sz w:val="18"/>
                <w:szCs w:val="18"/>
                <w:color w:val="auto"/>
              </w:rPr>
            </w:pPr>
          </w:p>
        </w:tc>
        <w:tc>
          <w:tcPr>
            <w:tcW w:w="3400" w:type="dxa"/>
            <w:vAlign w:val="bottom"/>
          </w:tcPr>
          <w:p>
            <w:pPr>
              <w:spacing w:after="0"/>
              <w:rPr>
                <w:sz w:val="18"/>
                <w:szCs w:val="18"/>
                <w:color w:val="auto"/>
              </w:rPr>
            </w:pPr>
          </w:p>
        </w:tc>
      </w:tr>
      <w:tr>
        <w:trPr>
          <w:trHeight w:val="222"/>
        </w:trPr>
        <w:tc>
          <w:tcPr>
            <w:tcW w:w="3420" w:type="dxa"/>
            <w:vAlign w:val="bottom"/>
          </w:tcPr>
          <w:p>
            <w:pPr>
              <w:spacing w:after="0"/>
              <w:rPr>
                <w:sz w:val="20"/>
                <w:szCs w:val="20"/>
                <w:color w:val="auto"/>
              </w:rPr>
            </w:pPr>
            <w:r>
              <w:rPr>
                <w:rFonts w:ascii="Arial" w:cs="Arial" w:eastAsia="Arial" w:hAnsi="Arial"/>
                <w:sz w:val="18"/>
                <w:szCs w:val="18"/>
                <w:color w:val="auto"/>
              </w:rPr>
              <w:t>Russel C. Ellwanger</w:t>
            </w:r>
          </w:p>
        </w:tc>
        <w:tc>
          <w:tcPr>
            <w:tcW w:w="36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0" w:type="dxa"/>
            <w:vAlign w:val="bottom"/>
          </w:tcPr>
          <w:p>
            <w:pPr>
              <w:spacing w:after="0"/>
              <w:rPr>
                <w:sz w:val="19"/>
                <w:szCs w:val="19"/>
                <w:color w:val="auto"/>
              </w:rPr>
            </w:pPr>
          </w:p>
        </w:tc>
      </w:tr>
      <w:tr>
        <w:trPr>
          <w:trHeight w:val="453"/>
        </w:trPr>
        <w:tc>
          <w:tcPr>
            <w:tcW w:w="3420" w:type="dxa"/>
            <w:vAlign w:val="bottom"/>
          </w:tcPr>
          <w:p>
            <w:pPr>
              <w:spacing w:after="0"/>
              <w:rPr>
                <w:sz w:val="20"/>
                <w:szCs w:val="20"/>
                <w:color w:val="auto"/>
              </w:rPr>
            </w:pPr>
            <w:r>
              <w:rPr>
                <w:rFonts w:ascii="Arial" w:cs="Arial" w:eastAsia="Arial" w:hAnsi="Arial"/>
                <w:sz w:val="18"/>
                <w:szCs w:val="18"/>
                <w:color w:val="auto"/>
              </w:rPr>
              <w:t>/s/ Oren Shirazi</w:t>
            </w:r>
          </w:p>
        </w:tc>
        <w:tc>
          <w:tcPr>
            <w:tcW w:w="360" w:type="dxa"/>
            <w:vAlign w:val="bottom"/>
          </w:tcPr>
          <w:p>
            <w:pPr>
              <w:spacing w:after="0"/>
              <w:rPr>
                <w:sz w:val="24"/>
                <w:szCs w:val="24"/>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Vice President of Finance and Acting</w:t>
            </w:r>
          </w:p>
        </w:tc>
        <w:tc>
          <w:tcPr>
            <w:tcW w:w="360" w:type="dxa"/>
            <w:vAlign w:val="bottom"/>
          </w:tcPr>
          <w:p>
            <w:pPr>
              <w:spacing w:after="0"/>
              <w:rPr>
                <w:sz w:val="24"/>
                <w:szCs w:val="24"/>
                <w:color w:val="auto"/>
              </w:rPr>
            </w:pPr>
          </w:p>
        </w:tc>
        <w:tc>
          <w:tcPr>
            <w:tcW w:w="3400" w:type="dxa"/>
            <w:vAlign w:val="bottom"/>
          </w:tcPr>
          <w:p>
            <w:pPr>
              <w:jc w:val="center"/>
              <w:ind w:left="272"/>
              <w:spacing w:after="0"/>
              <w:rPr>
                <w:sz w:val="20"/>
                <w:szCs w:val="20"/>
                <w:color w:val="auto"/>
              </w:rPr>
            </w:pPr>
            <w:r>
              <w:rPr>
                <w:rFonts w:ascii="Arial" w:cs="Arial" w:eastAsia="Arial" w:hAnsi="Arial"/>
                <w:sz w:val="18"/>
                <w:szCs w:val="18"/>
                <w:color w:val="auto"/>
                <w:w w:val="86"/>
              </w:rPr>
              <w:t>January 18, 2008</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360" w:type="dxa"/>
            <w:vAlign w:val="bottom"/>
          </w:tcPr>
          <w:p>
            <w:pPr>
              <w:spacing w:after="0"/>
              <w:rPr>
                <w:sz w:val="18"/>
                <w:szCs w:val="18"/>
                <w:color w:val="auto"/>
              </w:rPr>
            </w:pPr>
          </w:p>
        </w:tc>
        <w:tc>
          <w:tcPr>
            <w:tcW w:w="3400" w:type="dxa"/>
            <w:vAlign w:val="bottom"/>
          </w:tcPr>
          <w:p>
            <w:pPr>
              <w:spacing w:after="0"/>
              <w:rPr>
                <w:sz w:val="18"/>
                <w:szCs w:val="18"/>
                <w:color w:val="auto"/>
              </w:rPr>
            </w:pP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Oren Shirazi</w:t>
            </w:r>
          </w:p>
        </w:tc>
        <w:tc>
          <w:tcPr>
            <w:tcW w:w="36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(Principal Financial Officer and</w:t>
            </w:r>
          </w:p>
        </w:tc>
        <w:tc>
          <w:tcPr>
            <w:tcW w:w="360" w:type="dxa"/>
            <w:vAlign w:val="bottom"/>
          </w:tcPr>
          <w:p>
            <w:pPr>
              <w:spacing w:after="0"/>
              <w:rPr>
                <w:sz w:val="18"/>
                <w:szCs w:val="18"/>
                <w:color w:val="auto"/>
              </w:rPr>
            </w:pPr>
          </w:p>
        </w:tc>
        <w:tc>
          <w:tcPr>
            <w:tcW w:w="3400" w:type="dxa"/>
            <w:vAlign w:val="bottom"/>
          </w:tcPr>
          <w:p>
            <w:pPr>
              <w:spacing w:after="0"/>
              <w:rPr>
                <w:sz w:val="18"/>
                <w:szCs w:val="18"/>
                <w:color w:val="auto"/>
              </w:rPr>
            </w:pPr>
          </w:p>
        </w:tc>
      </w:tr>
      <w:tr>
        <w:trPr>
          <w:trHeight w:val="222"/>
        </w:trPr>
        <w:tc>
          <w:tcPr>
            <w:tcW w:w="3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Principal Accounting Officer)</w:t>
            </w:r>
          </w:p>
        </w:tc>
        <w:tc>
          <w:tcPr>
            <w:tcW w:w="360" w:type="dxa"/>
            <w:vAlign w:val="bottom"/>
          </w:tcPr>
          <w:p>
            <w:pPr>
              <w:spacing w:after="0"/>
              <w:rPr>
                <w:sz w:val="19"/>
                <w:szCs w:val="19"/>
                <w:color w:val="auto"/>
              </w:rPr>
            </w:pPr>
          </w:p>
        </w:tc>
        <w:tc>
          <w:tcPr>
            <w:tcW w:w="34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264795</wp:posOffset>
            </wp:positionV>
            <wp:extent cx="72504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420" w:type="dxa"/>
            <w:vAlign w:val="bottom"/>
          </w:tcPr>
          <w:p>
            <w:pPr>
              <w:ind w:left="1380"/>
              <w:spacing w:after="0"/>
              <w:rPr>
                <w:sz w:val="20"/>
                <w:szCs w:val="20"/>
                <w:color w:val="auto"/>
              </w:rPr>
            </w:pPr>
            <w:r>
              <w:rPr>
                <w:rFonts w:ascii="Arial" w:cs="Arial" w:eastAsia="Arial" w:hAnsi="Arial"/>
                <w:sz w:val="18"/>
                <w:szCs w:val="18"/>
                <w:b w:val="1"/>
                <w:bCs w:val="1"/>
                <w:color w:val="auto"/>
              </w:rPr>
              <w:t>SIGNATURE</w:t>
            </w:r>
          </w:p>
        </w:tc>
        <w:tc>
          <w:tcPr>
            <w:tcW w:w="360" w:type="dxa"/>
            <w:vAlign w:val="bottom"/>
          </w:tcPr>
          <w:p>
            <w:pPr>
              <w:spacing w:after="0"/>
              <w:rPr>
                <w:sz w:val="19"/>
                <w:szCs w:val="19"/>
                <w:color w:val="auto"/>
              </w:rPr>
            </w:pPr>
          </w:p>
        </w:tc>
        <w:tc>
          <w:tcPr>
            <w:tcW w:w="3520" w:type="dxa"/>
            <w:vAlign w:val="bottom"/>
          </w:tcPr>
          <w:p>
            <w:pPr>
              <w:ind w:left="1680"/>
              <w:spacing w:after="0"/>
              <w:rPr>
                <w:sz w:val="20"/>
                <w:szCs w:val="20"/>
                <w:color w:val="auto"/>
              </w:rPr>
            </w:pPr>
            <w:r>
              <w:rPr>
                <w:rFonts w:ascii="Arial" w:cs="Arial" w:eastAsia="Arial" w:hAnsi="Arial"/>
                <w:sz w:val="18"/>
                <w:szCs w:val="18"/>
                <w:b w:val="1"/>
                <w:bCs w:val="1"/>
                <w:color w:val="auto"/>
              </w:rPr>
              <w:t>TITLE</w:t>
            </w:r>
          </w:p>
        </w:tc>
        <w:tc>
          <w:tcPr>
            <w:tcW w:w="360" w:type="dxa"/>
            <w:vAlign w:val="bottom"/>
          </w:tcPr>
          <w:p>
            <w:pPr>
              <w:spacing w:after="0"/>
              <w:rPr>
                <w:sz w:val="19"/>
                <w:szCs w:val="19"/>
                <w:color w:val="auto"/>
              </w:rPr>
            </w:pPr>
          </w:p>
        </w:tc>
        <w:tc>
          <w:tcPr>
            <w:tcW w:w="3400" w:type="dxa"/>
            <w:vAlign w:val="bottom"/>
          </w:tcPr>
          <w:p>
            <w:pPr>
              <w:jc w:val="center"/>
              <w:ind w:left="272"/>
              <w:spacing w:after="0"/>
              <w:rPr>
                <w:sz w:val="20"/>
                <w:szCs w:val="20"/>
                <w:color w:val="auto"/>
              </w:rPr>
            </w:pPr>
            <w:r>
              <w:rPr>
                <w:rFonts w:ascii="Arial" w:cs="Arial" w:eastAsia="Arial" w:hAnsi="Arial"/>
                <w:sz w:val="18"/>
                <w:szCs w:val="18"/>
                <w:b w:val="1"/>
                <w:bCs w:val="1"/>
                <w:color w:val="auto"/>
                <w:w w:val="97"/>
              </w:rPr>
              <w:t>DATE</w:t>
            </w:r>
          </w:p>
        </w:tc>
        <w:tc>
          <w:tcPr>
            <w:tcW w:w="0" w:type="dxa"/>
            <w:vAlign w:val="bottom"/>
          </w:tcPr>
          <w:p>
            <w:pPr>
              <w:spacing w:after="0"/>
              <w:rPr>
                <w:sz w:val="1"/>
                <w:szCs w:val="1"/>
                <w:color w:val="auto"/>
              </w:rPr>
            </w:pPr>
          </w:p>
        </w:tc>
      </w:tr>
      <w:tr>
        <w:trPr>
          <w:trHeight w:val="110"/>
        </w:trPr>
        <w:tc>
          <w:tcPr>
            <w:tcW w:w="342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352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34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59"/>
        </w:trPr>
        <w:tc>
          <w:tcPr>
            <w:tcW w:w="3420" w:type="dxa"/>
            <w:vAlign w:val="bottom"/>
            <w:vMerge w:val="restart"/>
          </w:tcPr>
          <w:p>
            <w:pPr>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Director</w:t>
            </w:r>
          </w:p>
        </w:tc>
        <w:tc>
          <w:tcPr>
            <w:tcW w:w="360" w:type="dxa"/>
            <w:vAlign w:val="bottom"/>
          </w:tcPr>
          <w:p>
            <w:pPr>
              <w:spacing w:after="0"/>
              <w:rPr>
                <w:sz w:val="24"/>
                <w:szCs w:val="24"/>
                <w:color w:val="auto"/>
              </w:rPr>
            </w:pPr>
          </w:p>
        </w:tc>
        <w:tc>
          <w:tcPr>
            <w:tcW w:w="3400" w:type="dxa"/>
            <w:vAlign w:val="bottom"/>
          </w:tcPr>
          <w:p>
            <w:pPr>
              <w:jc w:val="center"/>
              <w:ind w:left="272"/>
              <w:spacing w:after="0"/>
              <w:rPr>
                <w:sz w:val="20"/>
                <w:szCs w:val="20"/>
                <w:color w:val="auto"/>
              </w:rPr>
            </w:pPr>
            <w:r>
              <w:rPr>
                <w:rFonts w:ascii="Arial" w:cs="Arial" w:eastAsia="Arial" w:hAnsi="Arial"/>
                <w:sz w:val="18"/>
                <w:szCs w:val="18"/>
                <w:color w:val="auto"/>
                <w:w w:val="86"/>
              </w:rPr>
              <w:t>January 18, 2008</w:t>
            </w:r>
          </w:p>
        </w:tc>
        <w:tc>
          <w:tcPr>
            <w:tcW w:w="0" w:type="dxa"/>
            <w:vAlign w:val="bottom"/>
          </w:tcPr>
          <w:p>
            <w:pPr>
              <w:spacing w:after="0"/>
              <w:rPr>
                <w:sz w:val="1"/>
                <w:szCs w:val="1"/>
                <w:color w:val="auto"/>
              </w:rPr>
            </w:pPr>
          </w:p>
        </w:tc>
      </w:tr>
      <w:tr>
        <w:trPr>
          <w:trHeight w:val="210"/>
        </w:trPr>
        <w:tc>
          <w:tcPr>
            <w:tcW w:w="342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420" w:type="dxa"/>
            <w:vAlign w:val="bottom"/>
          </w:tcPr>
          <w:p>
            <w:pPr>
              <w:spacing w:after="0"/>
              <w:rPr>
                <w:sz w:val="20"/>
                <w:szCs w:val="20"/>
                <w:color w:val="auto"/>
              </w:rPr>
            </w:pPr>
            <w:r>
              <w:rPr>
                <w:rFonts w:ascii="Arial" w:cs="Arial" w:eastAsia="Arial" w:hAnsi="Arial"/>
                <w:sz w:val="18"/>
                <w:szCs w:val="18"/>
                <w:color w:val="auto"/>
              </w:rPr>
              <w:t>Nir Gilad</w:t>
            </w:r>
          </w:p>
        </w:tc>
        <w:tc>
          <w:tcPr>
            <w:tcW w:w="36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3420" w:type="dxa"/>
            <w:vAlign w:val="bottom"/>
          </w:tcPr>
          <w:p>
            <w:pPr>
              <w:spacing w:after="0"/>
              <w:rPr>
                <w:sz w:val="20"/>
                <w:szCs w:val="20"/>
                <w:color w:val="auto"/>
              </w:rPr>
            </w:pPr>
            <w:r>
              <w:rPr>
                <w:rFonts w:ascii="Arial" w:cs="Arial" w:eastAsia="Arial" w:hAnsi="Arial"/>
                <w:sz w:val="18"/>
                <w:szCs w:val="18"/>
                <w:color w:val="auto"/>
              </w:rPr>
              <w:t>/s/ Dr. Eli Harari</w:t>
            </w:r>
          </w:p>
        </w:tc>
        <w:tc>
          <w:tcPr>
            <w:tcW w:w="360" w:type="dxa"/>
            <w:vAlign w:val="bottom"/>
          </w:tcPr>
          <w:p>
            <w:pPr>
              <w:spacing w:after="0"/>
              <w:rPr>
                <w:sz w:val="24"/>
                <w:szCs w:val="24"/>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Director</w:t>
            </w:r>
          </w:p>
        </w:tc>
        <w:tc>
          <w:tcPr>
            <w:tcW w:w="360" w:type="dxa"/>
            <w:vAlign w:val="bottom"/>
          </w:tcPr>
          <w:p>
            <w:pPr>
              <w:spacing w:after="0"/>
              <w:rPr>
                <w:sz w:val="24"/>
                <w:szCs w:val="24"/>
                <w:color w:val="auto"/>
              </w:rPr>
            </w:pPr>
          </w:p>
        </w:tc>
        <w:tc>
          <w:tcPr>
            <w:tcW w:w="3400" w:type="dxa"/>
            <w:vAlign w:val="bottom"/>
          </w:tcPr>
          <w:p>
            <w:pPr>
              <w:jc w:val="center"/>
              <w:ind w:left="272"/>
              <w:spacing w:after="0"/>
              <w:rPr>
                <w:sz w:val="20"/>
                <w:szCs w:val="20"/>
                <w:color w:val="auto"/>
              </w:rPr>
            </w:pPr>
            <w:r>
              <w:rPr>
                <w:rFonts w:ascii="Arial" w:cs="Arial" w:eastAsia="Arial" w:hAnsi="Arial"/>
                <w:sz w:val="18"/>
                <w:szCs w:val="18"/>
                <w:color w:val="auto"/>
                <w:w w:val="86"/>
              </w:rPr>
              <w:t>January 18, 2008</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420" w:type="dxa"/>
            <w:vAlign w:val="bottom"/>
          </w:tcPr>
          <w:p>
            <w:pPr>
              <w:spacing w:after="0"/>
              <w:rPr>
                <w:sz w:val="20"/>
                <w:szCs w:val="20"/>
                <w:color w:val="auto"/>
              </w:rPr>
            </w:pPr>
            <w:r>
              <w:rPr>
                <w:rFonts w:ascii="Arial" w:cs="Arial" w:eastAsia="Arial" w:hAnsi="Arial"/>
                <w:sz w:val="18"/>
                <w:szCs w:val="18"/>
                <w:color w:val="auto"/>
              </w:rPr>
              <w:t>Dr. Eli Harari</w:t>
            </w:r>
          </w:p>
        </w:tc>
        <w:tc>
          <w:tcPr>
            <w:tcW w:w="36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3420" w:type="dxa"/>
            <w:vAlign w:val="bottom"/>
            <w:vMerge w:val="restart"/>
          </w:tcPr>
          <w:p>
            <w:pPr>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Director</w:t>
            </w:r>
          </w:p>
        </w:tc>
        <w:tc>
          <w:tcPr>
            <w:tcW w:w="360" w:type="dxa"/>
            <w:vAlign w:val="bottom"/>
          </w:tcPr>
          <w:p>
            <w:pPr>
              <w:spacing w:after="0"/>
              <w:rPr>
                <w:sz w:val="24"/>
                <w:szCs w:val="24"/>
                <w:color w:val="auto"/>
              </w:rPr>
            </w:pPr>
          </w:p>
        </w:tc>
        <w:tc>
          <w:tcPr>
            <w:tcW w:w="3400" w:type="dxa"/>
            <w:vAlign w:val="bottom"/>
          </w:tcPr>
          <w:p>
            <w:pPr>
              <w:jc w:val="center"/>
              <w:ind w:left="272"/>
              <w:spacing w:after="0"/>
              <w:rPr>
                <w:sz w:val="20"/>
                <w:szCs w:val="20"/>
                <w:color w:val="auto"/>
              </w:rPr>
            </w:pPr>
            <w:r>
              <w:rPr>
                <w:rFonts w:ascii="Arial" w:cs="Arial" w:eastAsia="Arial" w:hAnsi="Arial"/>
                <w:sz w:val="18"/>
                <w:szCs w:val="18"/>
                <w:color w:val="auto"/>
                <w:w w:val="86"/>
              </w:rPr>
              <w:t>January 18, 2008</w:t>
            </w:r>
          </w:p>
        </w:tc>
        <w:tc>
          <w:tcPr>
            <w:tcW w:w="0" w:type="dxa"/>
            <w:vAlign w:val="bottom"/>
          </w:tcPr>
          <w:p>
            <w:pPr>
              <w:spacing w:after="0"/>
              <w:rPr>
                <w:sz w:val="1"/>
                <w:szCs w:val="1"/>
                <w:color w:val="auto"/>
              </w:rPr>
            </w:pPr>
          </w:p>
        </w:tc>
      </w:tr>
      <w:tr>
        <w:trPr>
          <w:trHeight w:val="210"/>
        </w:trPr>
        <w:tc>
          <w:tcPr>
            <w:tcW w:w="342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420" w:type="dxa"/>
            <w:vAlign w:val="bottom"/>
          </w:tcPr>
          <w:p>
            <w:pPr>
              <w:spacing w:after="0"/>
              <w:rPr>
                <w:sz w:val="20"/>
                <w:szCs w:val="20"/>
                <w:color w:val="auto"/>
              </w:rPr>
            </w:pPr>
            <w:r>
              <w:rPr>
                <w:rFonts w:ascii="Arial" w:cs="Arial" w:eastAsia="Arial" w:hAnsi="Arial"/>
                <w:sz w:val="18"/>
                <w:szCs w:val="18"/>
                <w:color w:val="auto"/>
              </w:rPr>
              <w:t>Miin Wu</w:t>
            </w:r>
          </w:p>
        </w:tc>
        <w:tc>
          <w:tcPr>
            <w:tcW w:w="36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3420" w:type="dxa"/>
            <w:vAlign w:val="bottom"/>
          </w:tcPr>
          <w:p>
            <w:pPr>
              <w:spacing w:after="0"/>
              <w:rPr>
                <w:sz w:val="20"/>
                <w:szCs w:val="20"/>
                <w:color w:val="auto"/>
              </w:rPr>
            </w:pPr>
            <w:r>
              <w:rPr>
                <w:rFonts w:ascii="Arial" w:cs="Arial" w:eastAsia="Arial" w:hAnsi="Arial"/>
                <w:sz w:val="18"/>
                <w:szCs w:val="18"/>
                <w:color w:val="auto"/>
              </w:rPr>
              <w:t>/s/ Kalman Kaufman</w:t>
            </w:r>
          </w:p>
        </w:tc>
        <w:tc>
          <w:tcPr>
            <w:tcW w:w="360" w:type="dxa"/>
            <w:vAlign w:val="bottom"/>
          </w:tcPr>
          <w:p>
            <w:pPr>
              <w:spacing w:after="0"/>
              <w:rPr>
                <w:sz w:val="24"/>
                <w:szCs w:val="24"/>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Director</w:t>
            </w:r>
          </w:p>
        </w:tc>
        <w:tc>
          <w:tcPr>
            <w:tcW w:w="360" w:type="dxa"/>
            <w:vAlign w:val="bottom"/>
          </w:tcPr>
          <w:p>
            <w:pPr>
              <w:spacing w:after="0"/>
              <w:rPr>
                <w:sz w:val="24"/>
                <w:szCs w:val="24"/>
                <w:color w:val="auto"/>
              </w:rPr>
            </w:pPr>
          </w:p>
        </w:tc>
        <w:tc>
          <w:tcPr>
            <w:tcW w:w="3400" w:type="dxa"/>
            <w:vAlign w:val="bottom"/>
          </w:tcPr>
          <w:p>
            <w:pPr>
              <w:jc w:val="center"/>
              <w:ind w:left="272"/>
              <w:spacing w:after="0"/>
              <w:rPr>
                <w:sz w:val="20"/>
                <w:szCs w:val="20"/>
                <w:color w:val="auto"/>
              </w:rPr>
            </w:pPr>
            <w:r>
              <w:rPr>
                <w:rFonts w:ascii="Arial" w:cs="Arial" w:eastAsia="Arial" w:hAnsi="Arial"/>
                <w:sz w:val="18"/>
                <w:szCs w:val="18"/>
                <w:color w:val="auto"/>
                <w:w w:val="86"/>
              </w:rPr>
              <w:t>January 18, 2008</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420" w:type="dxa"/>
            <w:vAlign w:val="bottom"/>
          </w:tcPr>
          <w:p>
            <w:pPr>
              <w:spacing w:after="0"/>
              <w:rPr>
                <w:sz w:val="20"/>
                <w:szCs w:val="20"/>
                <w:color w:val="auto"/>
              </w:rPr>
            </w:pPr>
            <w:r>
              <w:rPr>
                <w:rFonts w:ascii="Arial" w:cs="Arial" w:eastAsia="Arial" w:hAnsi="Arial"/>
                <w:sz w:val="18"/>
                <w:szCs w:val="18"/>
                <w:color w:val="auto"/>
              </w:rPr>
              <w:t>Kalman Kaufman</w:t>
            </w:r>
          </w:p>
        </w:tc>
        <w:tc>
          <w:tcPr>
            <w:tcW w:w="36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3420" w:type="dxa"/>
            <w:vAlign w:val="bottom"/>
          </w:tcPr>
          <w:p>
            <w:pPr>
              <w:spacing w:after="0"/>
              <w:rPr>
                <w:sz w:val="20"/>
                <w:szCs w:val="20"/>
                <w:color w:val="auto"/>
              </w:rPr>
            </w:pPr>
            <w:r>
              <w:rPr>
                <w:rFonts w:ascii="Arial" w:cs="Arial" w:eastAsia="Arial" w:hAnsi="Arial"/>
                <w:sz w:val="18"/>
                <w:szCs w:val="18"/>
                <w:color w:val="auto"/>
              </w:rPr>
              <w:t>/s/ Hans Rohrer</w:t>
            </w:r>
          </w:p>
        </w:tc>
        <w:tc>
          <w:tcPr>
            <w:tcW w:w="360" w:type="dxa"/>
            <w:vAlign w:val="bottom"/>
          </w:tcPr>
          <w:p>
            <w:pPr>
              <w:spacing w:after="0"/>
              <w:rPr>
                <w:sz w:val="24"/>
                <w:szCs w:val="24"/>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Director</w:t>
            </w:r>
          </w:p>
        </w:tc>
        <w:tc>
          <w:tcPr>
            <w:tcW w:w="360" w:type="dxa"/>
            <w:vAlign w:val="bottom"/>
          </w:tcPr>
          <w:p>
            <w:pPr>
              <w:spacing w:after="0"/>
              <w:rPr>
                <w:sz w:val="24"/>
                <w:szCs w:val="24"/>
                <w:color w:val="auto"/>
              </w:rPr>
            </w:pPr>
          </w:p>
        </w:tc>
        <w:tc>
          <w:tcPr>
            <w:tcW w:w="3400" w:type="dxa"/>
            <w:vAlign w:val="bottom"/>
          </w:tcPr>
          <w:p>
            <w:pPr>
              <w:jc w:val="center"/>
              <w:ind w:left="272"/>
              <w:spacing w:after="0"/>
              <w:rPr>
                <w:sz w:val="20"/>
                <w:szCs w:val="20"/>
                <w:color w:val="auto"/>
              </w:rPr>
            </w:pPr>
            <w:r>
              <w:rPr>
                <w:rFonts w:ascii="Arial" w:cs="Arial" w:eastAsia="Arial" w:hAnsi="Arial"/>
                <w:sz w:val="18"/>
                <w:szCs w:val="18"/>
                <w:color w:val="auto"/>
                <w:w w:val="86"/>
              </w:rPr>
              <w:t>January 18, 2008</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420" w:type="dxa"/>
            <w:vAlign w:val="bottom"/>
          </w:tcPr>
          <w:p>
            <w:pPr>
              <w:spacing w:after="0"/>
              <w:rPr>
                <w:sz w:val="20"/>
                <w:szCs w:val="20"/>
                <w:color w:val="auto"/>
              </w:rPr>
            </w:pPr>
            <w:r>
              <w:rPr>
                <w:rFonts w:ascii="Arial" w:cs="Arial" w:eastAsia="Arial" w:hAnsi="Arial"/>
                <w:sz w:val="18"/>
                <w:szCs w:val="18"/>
                <w:color w:val="auto"/>
              </w:rPr>
              <w:t>Hans Rohrer</w:t>
            </w:r>
          </w:p>
        </w:tc>
        <w:tc>
          <w:tcPr>
            <w:tcW w:w="36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3420" w:type="dxa"/>
            <w:vAlign w:val="bottom"/>
            <w:vMerge w:val="restart"/>
          </w:tcPr>
          <w:p>
            <w:pPr>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Director</w:t>
            </w:r>
          </w:p>
        </w:tc>
        <w:tc>
          <w:tcPr>
            <w:tcW w:w="360" w:type="dxa"/>
            <w:vAlign w:val="bottom"/>
          </w:tcPr>
          <w:p>
            <w:pPr>
              <w:spacing w:after="0"/>
              <w:rPr>
                <w:sz w:val="24"/>
                <w:szCs w:val="24"/>
                <w:color w:val="auto"/>
              </w:rPr>
            </w:pPr>
          </w:p>
        </w:tc>
        <w:tc>
          <w:tcPr>
            <w:tcW w:w="3400" w:type="dxa"/>
            <w:vAlign w:val="bottom"/>
          </w:tcPr>
          <w:p>
            <w:pPr>
              <w:jc w:val="center"/>
              <w:ind w:left="272"/>
              <w:spacing w:after="0"/>
              <w:rPr>
                <w:sz w:val="20"/>
                <w:szCs w:val="20"/>
                <w:color w:val="auto"/>
              </w:rPr>
            </w:pPr>
            <w:r>
              <w:rPr>
                <w:rFonts w:ascii="Arial" w:cs="Arial" w:eastAsia="Arial" w:hAnsi="Arial"/>
                <w:sz w:val="18"/>
                <w:szCs w:val="18"/>
                <w:color w:val="auto"/>
                <w:w w:val="86"/>
              </w:rPr>
              <w:t>January 18, 2008</w:t>
            </w:r>
          </w:p>
        </w:tc>
        <w:tc>
          <w:tcPr>
            <w:tcW w:w="0" w:type="dxa"/>
            <w:vAlign w:val="bottom"/>
          </w:tcPr>
          <w:p>
            <w:pPr>
              <w:spacing w:after="0"/>
              <w:rPr>
                <w:sz w:val="1"/>
                <w:szCs w:val="1"/>
                <w:color w:val="auto"/>
              </w:rPr>
            </w:pPr>
          </w:p>
        </w:tc>
      </w:tr>
      <w:tr>
        <w:trPr>
          <w:trHeight w:val="210"/>
        </w:trPr>
        <w:tc>
          <w:tcPr>
            <w:tcW w:w="342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420" w:type="dxa"/>
            <w:vAlign w:val="bottom"/>
          </w:tcPr>
          <w:p>
            <w:pPr>
              <w:spacing w:after="0"/>
              <w:rPr>
                <w:sz w:val="20"/>
                <w:szCs w:val="20"/>
                <w:color w:val="auto"/>
              </w:rPr>
            </w:pPr>
            <w:r>
              <w:rPr>
                <w:rFonts w:ascii="Arial" w:cs="Arial" w:eastAsia="Arial" w:hAnsi="Arial"/>
                <w:sz w:val="18"/>
                <w:szCs w:val="18"/>
                <w:color w:val="auto"/>
              </w:rPr>
              <w:t>Miri Katz</w:t>
            </w:r>
          </w:p>
        </w:tc>
        <w:tc>
          <w:tcPr>
            <w:tcW w:w="36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3420" w:type="dxa"/>
            <w:vAlign w:val="bottom"/>
          </w:tcPr>
          <w:p>
            <w:pPr>
              <w:spacing w:after="0"/>
              <w:rPr>
                <w:sz w:val="20"/>
                <w:szCs w:val="20"/>
                <w:color w:val="auto"/>
              </w:rPr>
            </w:pPr>
            <w:r>
              <w:rPr>
                <w:rFonts w:ascii="Arial" w:cs="Arial" w:eastAsia="Arial" w:hAnsi="Arial"/>
                <w:sz w:val="18"/>
                <w:szCs w:val="18"/>
                <w:color w:val="auto"/>
              </w:rPr>
              <w:t>/s/ Ron Moskovitz</w:t>
            </w:r>
          </w:p>
        </w:tc>
        <w:tc>
          <w:tcPr>
            <w:tcW w:w="360" w:type="dxa"/>
            <w:vAlign w:val="bottom"/>
          </w:tcPr>
          <w:p>
            <w:pPr>
              <w:spacing w:after="0"/>
              <w:rPr>
                <w:sz w:val="24"/>
                <w:szCs w:val="24"/>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Director</w:t>
            </w:r>
          </w:p>
        </w:tc>
        <w:tc>
          <w:tcPr>
            <w:tcW w:w="360" w:type="dxa"/>
            <w:vAlign w:val="bottom"/>
          </w:tcPr>
          <w:p>
            <w:pPr>
              <w:spacing w:after="0"/>
              <w:rPr>
                <w:sz w:val="24"/>
                <w:szCs w:val="24"/>
                <w:color w:val="auto"/>
              </w:rPr>
            </w:pPr>
          </w:p>
        </w:tc>
        <w:tc>
          <w:tcPr>
            <w:tcW w:w="3400" w:type="dxa"/>
            <w:vAlign w:val="bottom"/>
          </w:tcPr>
          <w:p>
            <w:pPr>
              <w:jc w:val="center"/>
              <w:ind w:left="272"/>
              <w:spacing w:after="0"/>
              <w:rPr>
                <w:sz w:val="20"/>
                <w:szCs w:val="20"/>
                <w:color w:val="auto"/>
              </w:rPr>
            </w:pPr>
            <w:r>
              <w:rPr>
                <w:rFonts w:ascii="Arial" w:cs="Arial" w:eastAsia="Arial" w:hAnsi="Arial"/>
                <w:sz w:val="18"/>
                <w:szCs w:val="18"/>
                <w:color w:val="auto"/>
                <w:w w:val="86"/>
              </w:rPr>
              <w:t>January 18, 2008</w:t>
            </w:r>
          </w:p>
        </w:tc>
        <w:tc>
          <w:tcPr>
            <w:tcW w:w="0" w:type="dxa"/>
            <w:vAlign w:val="bottom"/>
          </w:tcPr>
          <w:p>
            <w:pPr>
              <w:spacing w:after="0"/>
              <w:rPr>
                <w:sz w:val="1"/>
                <w:szCs w:val="1"/>
                <w:color w:val="auto"/>
              </w:rPr>
            </w:pPr>
          </w:p>
        </w:tc>
      </w:tr>
      <w:tr>
        <w:trPr>
          <w:trHeight w:val="222"/>
        </w:trPr>
        <w:tc>
          <w:tcPr>
            <w:tcW w:w="3420" w:type="dxa"/>
            <w:vAlign w:val="bottom"/>
          </w:tcPr>
          <w:p>
            <w:pPr>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131" w:right="339" w:bottom="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Ron Moskovitz</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AUTHORIZED REPRESENTATIVE IN THE UNITED STATES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Tower Semiconductor USA, Inc.</w:t>
      </w:r>
    </w:p>
    <w:p>
      <w:pPr>
        <w:spacing w:after="0" w:line="219" w:lineRule="exact"/>
        <w:rPr>
          <w:sz w:val="20"/>
          <w:szCs w:val="20"/>
          <w:color w:val="auto"/>
        </w:rPr>
      </w:pPr>
    </w:p>
    <w:p>
      <w:pPr>
        <w:spacing w:after="0"/>
        <w:tabs>
          <w:tab w:leader="none" w:pos="8920" w:val="left"/>
        </w:tabs>
        <w:rPr>
          <w:sz w:val="20"/>
          <w:szCs w:val="20"/>
          <w:color w:val="auto"/>
        </w:rPr>
      </w:pPr>
      <w:r>
        <w:rPr>
          <w:rFonts w:ascii="Arial" w:cs="Arial" w:eastAsia="Arial" w:hAnsi="Arial"/>
          <w:sz w:val="18"/>
          <w:szCs w:val="18"/>
          <w:color w:val="auto"/>
        </w:rPr>
        <w:t>By: /s/ Russel C. Ellwanger</w:t>
      </w:r>
      <w:r>
        <w:rPr>
          <w:sz w:val="20"/>
          <w:szCs w:val="20"/>
          <w:color w:val="auto"/>
        </w:rPr>
        <w:tab/>
      </w:r>
      <w:r>
        <w:rPr>
          <w:rFonts w:ascii="Arial" w:cs="Arial" w:eastAsia="Arial" w:hAnsi="Arial"/>
          <w:sz w:val="15"/>
          <w:szCs w:val="15"/>
          <w:color w:val="auto"/>
        </w:rPr>
        <w:t>January 18, 2008</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Russell C. Ellwanger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271145</wp:posOffset>
            </wp:positionV>
            <wp:extent cx="72504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140" w:type="dxa"/>
            <w:vAlign w:val="bottom"/>
          </w:tcPr>
          <w:p>
            <w:pPr>
              <w:ind w:left="2840"/>
              <w:spacing w:after="0"/>
              <w:rPr>
                <w:sz w:val="20"/>
                <w:szCs w:val="20"/>
                <w:color w:val="auto"/>
              </w:rPr>
            </w:pPr>
            <w:r>
              <w:rPr>
                <w:rFonts w:ascii="Arial" w:cs="Arial" w:eastAsia="Arial" w:hAnsi="Arial"/>
                <w:sz w:val="18"/>
                <w:szCs w:val="18"/>
                <w:b w:val="1"/>
                <w:bCs w:val="1"/>
                <w:color w:val="auto"/>
              </w:rPr>
              <w:t>EXHIBIT INDEX</w:t>
            </w:r>
          </w:p>
        </w:tc>
      </w:tr>
      <w:tr>
        <w:trPr>
          <w:trHeight w:val="475"/>
        </w:trPr>
        <w:tc>
          <w:tcPr>
            <w:tcW w:w="1380" w:type="dxa"/>
            <w:vAlign w:val="bottom"/>
            <w:gridSpan w:val="2"/>
          </w:tcPr>
          <w:p>
            <w:pPr>
              <w:spacing w:after="0"/>
              <w:rPr>
                <w:sz w:val="20"/>
                <w:szCs w:val="20"/>
                <w:color w:val="auto"/>
              </w:rPr>
            </w:pPr>
            <w:r>
              <w:rPr>
                <w:rFonts w:ascii="Arial" w:cs="Arial" w:eastAsia="Arial" w:hAnsi="Arial"/>
                <w:sz w:val="18"/>
                <w:szCs w:val="18"/>
                <w:color w:val="auto"/>
              </w:rPr>
              <w:t>No.</w:t>
            </w:r>
          </w:p>
        </w:tc>
        <w:tc>
          <w:tcPr>
            <w:tcW w:w="9960" w:type="dxa"/>
            <w:vAlign w:val="bottom"/>
            <w:gridSpan w:val="2"/>
          </w:tcPr>
          <w:p>
            <w:pPr>
              <w:spacing w:after="0"/>
              <w:rPr>
                <w:sz w:val="20"/>
                <w:szCs w:val="20"/>
                <w:color w:val="auto"/>
              </w:rPr>
            </w:pPr>
            <w:r>
              <w:rPr>
                <w:rFonts w:ascii="Arial" w:cs="Arial" w:eastAsia="Arial" w:hAnsi="Arial"/>
                <w:sz w:val="18"/>
                <w:szCs w:val="18"/>
                <w:color w:val="auto"/>
              </w:rPr>
              <w:t>Description</w:t>
            </w:r>
          </w:p>
        </w:tc>
      </w:tr>
      <w:tr>
        <w:trPr>
          <w:trHeight w:val="20"/>
        </w:trPr>
        <w:tc>
          <w:tcPr>
            <w:tcW w:w="26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9140" w:type="dxa"/>
            <w:vAlign w:val="bottom"/>
          </w:tcPr>
          <w:p>
            <w:pPr>
              <w:spacing w:after="0" w:line="20" w:lineRule="exact"/>
              <w:rPr>
                <w:sz w:val="1"/>
                <w:szCs w:val="1"/>
                <w:color w:val="auto"/>
              </w:rPr>
            </w:pPr>
          </w:p>
        </w:tc>
      </w:tr>
      <w:tr>
        <w:trPr>
          <w:trHeight w:val="478"/>
        </w:trPr>
        <w:tc>
          <w:tcPr>
            <w:tcW w:w="260" w:type="dxa"/>
            <w:vAlign w:val="bottom"/>
          </w:tcPr>
          <w:p>
            <w:pPr>
              <w:spacing w:after="0"/>
              <w:rPr>
                <w:sz w:val="20"/>
                <w:szCs w:val="20"/>
                <w:color w:val="auto"/>
              </w:rPr>
            </w:pPr>
            <w:r>
              <w:rPr>
                <w:rFonts w:ascii="Arial" w:cs="Arial" w:eastAsia="Arial" w:hAnsi="Arial"/>
                <w:sz w:val="18"/>
                <w:szCs w:val="18"/>
                <w:color w:val="auto"/>
                <w:w w:val="95"/>
              </w:rPr>
              <w:t>1.1</w:t>
            </w:r>
          </w:p>
        </w:tc>
        <w:tc>
          <w:tcPr>
            <w:tcW w:w="1120" w:type="dxa"/>
            <w:vAlign w:val="bottom"/>
          </w:tcPr>
          <w:p>
            <w:pPr>
              <w:spacing w:after="0"/>
              <w:rPr>
                <w:sz w:val="24"/>
                <w:szCs w:val="24"/>
                <w:color w:val="auto"/>
              </w:rPr>
            </w:pPr>
          </w:p>
        </w:tc>
        <w:tc>
          <w:tcPr>
            <w:tcW w:w="9960" w:type="dxa"/>
            <w:vAlign w:val="bottom"/>
            <w:gridSpan w:val="2"/>
          </w:tcPr>
          <w:p>
            <w:pPr>
              <w:spacing w:after="0"/>
              <w:rPr>
                <w:sz w:val="20"/>
                <w:szCs w:val="20"/>
                <w:color w:val="auto"/>
              </w:rPr>
            </w:pPr>
            <w:r>
              <w:rPr>
                <w:rFonts w:ascii="Arial" w:cs="Arial" w:eastAsia="Arial" w:hAnsi="Arial"/>
                <w:sz w:val="18"/>
                <w:szCs w:val="18"/>
                <w:color w:val="auto"/>
              </w:rPr>
              <w:t>Underwriting agreement.*</w:t>
            </w:r>
          </w:p>
        </w:tc>
      </w:tr>
      <w:tr>
        <w:trPr>
          <w:trHeight w:val="453"/>
        </w:trPr>
        <w:tc>
          <w:tcPr>
            <w:tcW w:w="260" w:type="dxa"/>
            <w:vAlign w:val="bottom"/>
          </w:tcPr>
          <w:p>
            <w:pPr>
              <w:spacing w:after="0"/>
              <w:rPr>
                <w:sz w:val="20"/>
                <w:szCs w:val="20"/>
                <w:color w:val="auto"/>
              </w:rPr>
            </w:pPr>
            <w:r>
              <w:rPr>
                <w:rFonts w:ascii="Arial" w:cs="Arial" w:eastAsia="Arial" w:hAnsi="Arial"/>
                <w:sz w:val="18"/>
                <w:szCs w:val="18"/>
                <w:color w:val="auto"/>
                <w:w w:val="95"/>
              </w:rPr>
              <w:t>3.1</w:t>
            </w:r>
          </w:p>
        </w:tc>
        <w:tc>
          <w:tcPr>
            <w:tcW w:w="1120" w:type="dxa"/>
            <w:vAlign w:val="bottom"/>
          </w:tcPr>
          <w:p>
            <w:pPr>
              <w:spacing w:after="0"/>
              <w:rPr>
                <w:sz w:val="24"/>
                <w:szCs w:val="24"/>
                <w:color w:val="auto"/>
              </w:rPr>
            </w:pPr>
          </w:p>
        </w:tc>
        <w:tc>
          <w:tcPr>
            <w:tcW w:w="9960" w:type="dxa"/>
            <w:vAlign w:val="bottom"/>
            <w:gridSpan w:val="2"/>
          </w:tcPr>
          <w:p>
            <w:pPr>
              <w:spacing w:after="0"/>
              <w:rPr>
                <w:sz w:val="20"/>
                <w:szCs w:val="20"/>
                <w:color w:val="auto"/>
              </w:rPr>
            </w:pPr>
            <w:r>
              <w:rPr>
                <w:rFonts w:ascii="Arial" w:cs="Arial" w:eastAsia="Arial" w:hAnsi="Arial"/>
                <w:sz w:val="18"/>
                <w:szCs w:val="18"/>
                <w:color w:val="auto"/>
                <w:w w:val="88"/>
              </w:rPr>
              <w:t>Articles of Association of the Registrant, approved by shareholders on November 14, 2000, as amended (incorporated by reference to Exhibit</w:t>
            </w:r>
          </w:p>
        </w:tc>
      </w:tr>
      <w:tr>
        <w:trPr>
          <w:trHeight w:val="222"/>
        </w:trPr>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960" w:type="dxa"/>
            <w:vAlign w:val="bottom"/>
            <w:gridSpan w:val="2"/>
          </w:tcPr>
          <w:p>
            <w:pPr>
              <w:spacing w:after="0"/>
              <w:rPr>
                <w:sz w:val="20"/>
                <w:szCs w:val="20"/>
                <w:color w:val="auto"/>
              </w:rPr>
            </w:pPr>
            <w:r>
              <w:rPr>
                <w:rFonts w:ascii="Arial" w:cs="Arial" w:eastAsia="Arial" w:hAnsi="Arial"/>
                <w:sz w:val="18"/>
                <w:szCs w:val="18"/>
                <w:color w:val="auto"/>
              </w:rPr>
              <w:t>3.1 of the Registrant's Registration Statement on Form F-1, File No. 333-126909, "Form F-1No. 333-126909").</w:t>
            </w:r>
          </w:p>
        </w:tc>
      </w:tr>
      <w:tr>
        <w:trPr>
          <w:trHeight w:val="453"/>
        </w:trPr>
        <w:tc>
          <w:tcPr>
            <w:tcW w:w="260" w:type="dxa"/>
            <w:vAlign w:val="bottom"/>
          </w:tcPr>
          <w:p>
            <w:pPr>
              <w:spacing w:after="0"/>
              <w:rPr>
                <w:sz w:val="20"/>
                <w:szCs w:val="20"/>
                <w:color w:val="auto"/>
              </w:rPr>
            </w:pPr>
            <w:r>
              <w:rPr>
                <w:rFonts w:ascii="Arial" w:cs="Arial" w:eastAsia="Arial" w:hAnsi="Arial"/>
                <w:sz w:val="18"/>
                <w:szCs w:val="18"/>
                <w:color w:val="auto"/>
                <w:w w:val="95"/>
              </w:rPr>
              <w:t>3.2</w:t>
            </w:r>
          </w:p>
        </w:tc>
        <w:tc>
          <w:tcPr>
            <w:tcW w:w="1120" w:type="dxa"/>
            <w:vAlign w:val="bottom"/>
          </w:tcPr>
          <w:p>
            <w:pPr>
              <w:spacing w:after="0"/>
              <w:rPr>
                <w:sz w:val="24"/>
                <w:szCs w:val="24"/>
                <w:color w:val="auto"/>
              </w:rPr>
            </w:pPr>
          </w:p>
        </w:tc>
        <w:tc>
          <w:tcPr>
            <w:tcW w:w="9960" w:type="dxa"/>
            <w:vAlign w:val="bottom"/>
            <w:gridSpan w:val="2"/>
          </w:tcPr>
          <w:p>
            <w:pPr>
              <w:spacing w:after="0"/>
              <w:rPr>
                <w:sz w:val="20"/>
                <w:szCs w:val="20"/>
                <w:color w:val="auto"/>
              </w:rPr>
            </w:pPr>
            <w:r>
              <w:rPr>
                <w:rFonts w:ascii="Arial" w:cs="Arial" w:eastAsia="Arial" w:hAnsi="Arial"/>
                <w:sz w:val="18"/>
                <w:szCs w:val="18"/>
                <w:color w:val="auto"/>
                <w:w w:val="90"/>
              </w:rPr>
              <w:t>Amendment to Articles of Association of the Registrant (incorporated by reference to exhibit 4.2 to the Registration Statement on Form S-8</w:t>
            </w:r>
          </w:p>
        </w:tc>
      </w:tr>
      <w:tr>
        <w:trPr>
          <w:trHeight w:val="222"/>
        </w:trPr>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960" w:type="dxa"/>
            <w:vAlign w:val="bottom"/>
            <w:gridSpan w:val="2"/>
          </w:tcPr>
          <w:p>
            <w:pPr>
              <w:spacing w:after="0"/>
              <w:rPr>
                <w:sz w:val="20"/>
                <w:szCs w:val="20"/>
                <w:color w:val="auto"/>
              </w:rPr>
            </w:pPr>
            <w:r>
              <w:rPr>
                <w:rFonts w:ascii="Arial" w:cs="Arial" w:eastAsia="Arial" w:hAnsi="Arial"/>
                <w:sz w:val="18"/>
                <w:szCs w:val="18"/>
                <w:color w:val="auto"/>
              </w:rPr>
              <w:t>No. 333-117565 ("Form S-8 No. 333-117565").</w:t>
            </w:r>
          </w:p>
        </w:tc>
      </w:tr>
      <w:tr>
        <w:trPr>
          <w:trHeight w:val="453"/>
        </w:trPr>
        <w:tc>
          <w:tcPr>
            <w:tcW w:w="260" w:type="dxa"/>
            <w:vAlign w:val="bottom"/>
          </w:tcPr>
          <w:p>
            <w:pPr>
              <w:spacing w:after="0"/>
              <w:rPr>
                <w:sz w:val="20"/>
                <w:szCs w:val="20"/>
                <w:color w:val="auto"/>
              </w:rPr>
            </w:pPr>
            <w:r>
              <w:rPr>
                <w:rFonts w:ascii="Arial" w:cs="Arial" w:eastAsia="Arial" w:hAnsi="Arial"/>
                <w:sz w:val="18"/>
                <w:szCs w:val="18"/>
                <w:color w:val="auto"/>
                <w:w w:val="95"/>
              </w:rPr>
              <w:t>3.3</w:t>
            </w:r>
          </w:p>
        </w:tc>
        <w:tc>
          <w:tcPr>
            <w:tcW w:w="1120" w:type="dxa"/>
            <w:vAlign w:val="bottom"/>
          </w:tcPr>
          <w:p>
            <w:pPr>
              <w:spacing w:after="0"/>
              <w:rPr>
                <w:sz w:val="24"/>
                <w:szCs w:val="24"/>
                <w:color w:val="auto"/>
              </w:rPr>
            </w:pPr>
          </w:p>
        </w:tc>
        <w:tc>
          <w:tcPr>
            <w:tcW w:w="9960" w:type="dxa"/>
            <w:vAlign w:val="bottom"/>
            <w:gridSpan w:val="2"/>
          </w:tcPr>
          <w:p>
            <w:pPr>
              <w:spacing w:after="0"/>
              <w:rPr>
                <w:sz w:val="20"/>
                <w:szCs w:val="20"/>
                <w:color w:val="auto"/>
              </w:rPr>
            </w:pPr>
            <w:r>
              <w:rPr>
                <w:rFonts w:ascii="Arial" w:cs="Arial" w:eastAsia="Arial" w:hAnsi="Arial"/>
                <w:sz w:val="18"/>
                <w:szCs w:val="18"/>
                <w:color w:val="auto"/>
                <w:w w:val="88"/>
              </w:rPr>
              <w:t>Amendment to the Articles of Association of the Registrant (approved by shareholders on September 28, 2006) (incorporated by reference to</w:t>
            </w:r>
          </w:p>
        </w:tc>
      </w:tr>
      <w:tr>
        <w:trPr>
          <w:trHeight w:val="222"/>
        </w:trPr>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960" w:type="dxa"/>
            <w:vAlign w:val="bottom"/>
            <w:gridSpan w:val="2"/>
          </w:tcPr>
          <w:p>
            <w:pPr>
              <w:spacing w:after="0"/>
              <w:rPr>
                <w:sz w:val="20"/>
                <w:szCs w:val="20"/>
                <w:color w:val="auto"/>
              </w:rPr>
            </w:pPr>
            <w:r>
              <w:rPr>
                <w:rFonts w:ascii="Arial" w:cs="Arial" w:eastAsia="Arial" w:hAnsi="Arial"/>
                <w:sz w:val="18"/>
                <w:szCs w:val="18"/>
                <w:color w:val="auto"/>
              </w:rPr>
              <w:t>Exhibit 4.2 of the Registrant's Registration Statement on Form S-8, File No. 333-138837 (the "2006 Form S-8").</w:t>
            </w:r>
          </w:p>
        </w:tc>
      </w:tr>
      <w:tr>
        <w:trPr>
          <w:trHeight w:val="459"/>
        </w:trPr>
        <w:tc>
          <w:tcPr>
            <w:tcW w:w="260" w:type="dxa"/>
            <w:vAlign w:val="bottom"/>
          </w:tcPr>
          <w:p>
            <w:pPr>
              <w:spacing w:after="0"/>
              <w:rPr>
                <w:sz w:val="20"/>
                <w:szCs w:val="20"/>
                <w:color w:val="auto"/>
              </w:rPr>
            </w:pPr>
            <w:r>
              <w:rPr>
                <w:rFonts w:ascii="Arial" w:cs="Arial" w:eastAsia="Arial" w:hAnsi="Arial"/>
                <w:sz w:val="18"/>
                <w:szCs w:val="18"/>
                <w:color w:val="auto"/>
                <w:w w:val="95"/>
              </w:rPr>
              <w:t>4.1</w:t>
            </w:r>
          </w:p>
        </w:tc>
        <w:tc>
          <w:tcPr>
            <w:tcW w:w="1120" w:type="dxa"/>
            <w:vAlign w:val="bottom"/>
          </w:tcPr>
          <w:p>
            <w:pPr>
              <w:spacing w:after="0"/>
              <w:rPr>
                <w:sz w:val="24"/>
                <w:szCs w:val="24"/>
                <w:color w:val="auto"/>
              </w:rPr>
            </w:pPr>
          </w:p>
        </w:tc>
        <w:tc>
          <w:tcPr>
            <w:tcW w:w="9960" w:type="dxa"/>
            <w:vAlign w:val="bottom"/>
            <w:gridSpan w:val="2"/>
          </w:tcPr>
          <w:p>
            <w:pPr>
              <w:spacing w:after="0"/>
              <w:rPr>
                <w:sz w:val="20"/>
                <w:szCs w:val="20"/>
                <w:color w:val="auto"/>
              </w:rPr>
            </w:pPr>
            <w:r>
              <w:rPr>
                <w:rFonts w:ascii="Arial" w:cs="Arial" w:eastAsia="Arial" w:hAnsi="Arial"/>
                <w:sz w:val="18"/>
                <w:szCs w:val="18"/>
                <w:color w:val="auto"/>
              </w:rPr>
              <w:t>Form of securities purchase agreement.*</w:t>
            </w:r>
          </w:p>
        </w:tc>
      </w:tr>
      <w:tr>
        <w:trPr>
          <w:trHeight w:val="459"/>
        </w:trPr>
        <w:tc>
          <w:tcPr>
            <w:tcW w:w="260" w:type="dxa"/>
            <w:vAlign w:val="bottom"/>
          </w:tcPr>
          <w:p>
            <w:pPr>
              <w:spacing w:after="0"/>
              <w:rPr>
                <w:sz w:val="20"/>
                <w:szCs w:val="20"/>
                <w:color w:val="auto"/>
              </w:rPr>
            </w:pPr>
            <w:r>
              <w:rPr>
                <w:rFonts w:ascii="Arial" w:cs="Arial" w:eastAsia="Arial" w:hAnsi="Arial"/>
                <w:sz w:val="18"/>
                <w:szCs w:val="18"/>
                <w:color w:val="auto"/>
                <w:w w:val="95"/>
              </w:rPr>
              <w:t>4.2</w:t>
            </w:r>
          </w:p>
        </w:tc>
        <w:tc>
          <w:tcPr>
            <w:tcW w:w="1120" w:type="dxa"/>
            <w:vAlign w:val="bottom"/>
          </w:tcPr>
          <w:p>
            <w:pPr>
              <w:spacing w:after="0"/>
              <w:rPr>
                <w:sz w:val="24"/>
                <w:szCs w:val="24"/>
                <w:color w:val="auto"/>
              </w:rPr>
            </w:pPr>
          </w:p>
        </w:tc>
        <w:tc>
          <w:tcPr>
            <w:tcW w:w="9960" w:type="dxa"/>
            <w:vAlign w:val="bottom"/>
            <w:gridSpan w:val="2"/>
          </w:tcPr>
          <w:p>
            <w:pPr>
              <w:spacing w:after="0"/>
              <w:rPr>
                <w:sz w:val="20"/>
                <w:szCs w:val="20"/>
                <w:color w:val="auto"/>
              </w:rPr>
            </w:pPr>
            <w:r>
              <w:rPr>
                <w:rFonts w:ascii="Arial" w:cs="Arial" w:eastAsia="Arial" w:hAnsi="Arial"/>
                <w:sz w:val="18"/>
                <w:szCs w:val="18"/>
                <w:color w:val="auto"/>
              </w:rPr>
              <w:t>Form of capital note certificate.*</w:t>
            </w:r>
          </w:p>
        </w:tc>
      </w:tr>
      <w:tr>
        <w:trPr>
          <w:trHeight w:val="459"/>
        </w:trPr>
        <w:tc>
          <w:tcPr>
            <w:tcW w:w="260" w:type="dxa"/>
            <w:vAlign w:val="bottom"/>
          </w:tcPr>
          <w:p>
            <w:pPr>
              <w:spacing w:after="0"/>
              <w:rPr>
                <w:sz w:val="20"/>
                <w:szCs w:val="20"/>
                <w:color w:val="auto"/>
              </w:rPr>
            </w:pPr>
            <w:r>
              <w:rPr>
                <w:rFonts w:ascii="Arial" w:cs="Arial" w:eastAsia="Arial" w:hAnsi="Arial"/>
                <w:sz w:val="18"/>
                <w:szCs w:val="18"/>
                <w:color w:val="auto"/>
                <w:w w:val="95"/>
              </w:rPr>
              <w:t>4.3</w:t>
            </w:r>
          </w:p>
        </w:tc>
        <w:tc>
          <w:tcPr>
            <w:tcW w:w="1120" w:type="dxa"/>
            <w:vAlign w:val="bottom"/>
          </w:tcPr>
          <w:p>
            <w:pPr>
              <w:spacing w:after="0"/>
              <w:rPr>
                <w:sz w:val="24"/>
                <w:szCs w:val="24"/>
                <w:color w:val="auto"/>
              </w:rPr>
            </w:pPr>
          </w:p>
        </w:tc>
        <w:tc>
          <w:tcPr>
            <w:tcW w:w="9960" w:type="dxa"/>
            <w:vAlign w:val="bottom"/>
            <w:gridSpan w:val="2"/>
          </w:tcPr>
          <w:p>
            <w:pPr>
              <w:spacing w:after="0"/>
              <w:rPr>
                <w:sz w:val="20"/>
                <w:szCs w:val="20"/>
                <w:color w:val="auto"/>
              </w:rPr>
            </w:pPr>
            <w:r>
              <w:rPr>
                <w:rFonts w:ascii="Arial" w:cs="Arial" w:eastAsia="Arial" w:hAnsi="Arial"/>
                <w:sz w:val="18"/>
                <w:szCs w:val="18"/>
                <w:color w:val="auto"/>
              </w:rPr>
              <w:t>Form of indenture relating to debt securities. **</w:t>
            </w:r>
          </w:p>
        </w:tc>
      </w:tr>
      <w:tr>
        <w:trPr>
          <w:trHeight w:val="459"/>
        </w:trPr>
        <w:tc>
          <w:tcPr>
            <w:tcW w:w="260" w:type="dxa"/>
            <w:vAlign w:val="bottom"/>
          </w:tcPr>
          <w:p>
            <w:pPr>
              <w:spacing w:after="0"/>
              <w:rPr>
                <w:sz w:val="20"/>
                <w:szCs w:val="20"/>
                <w:color w:val="auto"/>
              </w:rPr>
            </w:pPr>
            <w:r>
              <w:rPr>
                <w:rFonts w:ascii="Arial" w:cs="Arial" w:eastAsia="Arial" w:hAnsi="Arial"/>
                <w:sz w:val="18"/>
                <w:szCs w:val="18"/>
                <w:color w:val="auto"/>
                <w:w w:val="95"/>
              </w:rPr>
              <w:t>4.4</w:t>
            </w:r>
          </w:p>
        </w:tc>
        <w:tc>
          <w:tcPr>
            <w:tcW w:w="1120" w:type="dxa"/>
            <w:vAlign w:val="bottom"/>
          </w:tcPr>
          <w:p>
            <w:pPr>
              <w:spacing w:after="0"/>
              <w:rPr>
                <w:sz w:val="24"/>
                <w:szCs w:val="24"/>
                <w:color w:val="auto"/>
              </w:rPr>
            </w:pPr>
          </w:p>
        </w:tc>
        <w:tc>
          <w:tcPr>
            <w:tcW w:w="9960" w:type="dxa"/>
            <w:vAlign w:val="bottom"/>
            <w:gridSpan w:val="2"/>
          </w:tcPr>
          <w:p>
            <w:pPr>
              <w:spacing w:after="0"/>
              <w:rPr>
                <w:sz w:val="20"/>
                <w:szCs w:val="20"/>
                <w:color w:val="auto"/>
              </w:rPr>
            </w:pPr>
            <w:r>
              <w:rPr>
                <w:rFonts w:ascii="Arial" w:cs="Arial" w:eastAsia="Arial" w:hAnsi="Arial"/>
                <w:sz w:val="18"/>
                <w:szCs w:val="18"/>
                <w:color w:val="auto"/>
              </w:rPr>
              <w:t>Form of debt securities.*</w:t>
            </w:r>
          </w:p>
        </w:tc>
      </w:tr>
      <w:tr>
        <w:trPr>
          <w:trHeight w:val="459"/>
        </w:trPr>
        <w:tc>
          <w:tcPr>
            <w:tcW w:w="260" w:type="dxa"/>
            <w:vAlign w:val="bottom"/>
          </w:tcPr>
          <w:p>
            <w:pPr>
              <w:spacing w:after="0"/>
              <w:rPr>
                <w:sz w:val="20"/>
                <w:szCs w:val="20"/>
                <w:color w:val="auto"/>
              </w:rPr>
            </w:pPr>
            <w:r>
              <w:rPr>
                <w:rFonts w:ascii="Arial" w:cs="Arial" w:eastAsia="Arial" w:hAnsi="Arial"/>
                <w:sz w:val="18"/>
                <w:szCs w:val="18"/>
                <w:color w:val="auto"/>
                <w:w w:val="95"/>
              </w:rPr>
              <w:t>4.5</w:t>
            </w:r>
          </w:p>
        </w:tc>
        <w:tc>
          <w:tcPr>
            <w:tcW w:w="1120" w:type="dxa"/>
            <w:vAlign w:val="bottom"/>
          </w:tcPr>
          <w:p>
            <w:pPr>
              <w:spacing w:after="0"/>
              <w:rPr>
                <w:sz w:val="24"/>
                <w:szCs w:val="24"/>
                <w:color w:val="auto"/>
              </w:rPr>
            </w:pPr>
          </w:p>
        </w:tc>
        <w:tc>
          <w:tcPr>
            <w:tcW w:w="9960" w:type="dxa"/>
            <w:vAlign w:val="bottom"/>
            <w:gridSpan w:val="2"/>
          </w:tcPr>
          <w:p>
            <w:pPr>
              <w:spacing w:after="0"/>
              <w:rPr>
                <w:sz w:val="20"/>
                <w:szCs w:val="20"/>
                <w:color w:val="auto"/>
              </w:rPr>
            </w:pPr>
            <w:r>
              <w:rPr>
                <w:rFonts w:ascii="Arial" w:cs="Arial" w:eastAsia="Arial" w:hAnsi="Arial"/>
                <w:sz w:val="18"/>
                <w:szCs w:val="18"/>
                <w:color w:val="auto"/>
              </w:rPr>
              <w:t>Form of purchase contract agreement (including form of purchase contract certificate).*</w:t>
            </w:r>
          </w:p>
        </w:tc>
      </w:tr>
      <w:tr>
        <w:trPr>
          <w:trHeight w:val="459"/>
        </w:trPr>
        <w:tc>
          <w:tcPr>
            <w:tcW w:w="260" w:type="dxa"/>
            <w:vAlign w:val="bottom"/>
          </w:tcPr>
          <w:p>
            <w:pPr>
              <w:spacing w:after="0"/>
              <w:rPr>
                <w:sz w:val="20"/>
                <w:szCs w:val="20"/>
                <w:color w:val="auto"/>
              </w:rPr>
            </w:pPr>
            <w:r>
              <w:rPr>
                <w:rFonts w:ascii="Arial" w:cs="Arial" w:eastAsia="Arial" w:hAnsi="Arial"/>
                <w:sz w:val="18"/>
                <w:szCs w:val="18"/>
                <w:color w:val="auto"/>
                <w:w w:val="95"/>
              </w:rPr>
              <w:t>4.6</w:t>
            </w:r>
          </w:p>
        </w:tc>
        <w:tc>
          <w:tcPr>
            <w:tcW w:w="1120" w:type="dxa"/>
            <w:vAlign w:val="bottom"/>
          </w:tcPr>
          <w:p>
            <w:pPr>
              <w:spacing w:after="0"/>
              <w:rPr>
                <w:sz w:val="24"/>
                <w:szCs w:val="24"/>
                <w:color w:val="auto"/>
              </w:rPr>
            </w:pPr>
          </w:p>
        </w:tc>
        <w:tc>
          <w:tcPr>
            <w:tcW w:w="9960" w:type="dxa"/>
            <w:vAlign w:val="bottom"/>
            <w:gridSpan w:val="2"/>
          </w:tcPr>
          <w:p>
            <w:pPr>
              <w:spacing w:after="0"/>
              <w:rPr>
                <w:sz w:val="20"/>
                <w:szCs w:val="20"/>
                <w:color w:val="auto"/>
              </w:rPr>
            </w:pPr>
            <w:r>
              <w:rPr>
                <w:rFonts w:ascii="Arial" w:cs="Arial" w:eastAsia="Arial" w:hAnsi="Arial"/>
                <w:sz w:val="18"/>
                <w:szCs w:val="18"/>
                <w:color w:val="auto"/>
              </w:rPr>
              <w:t>Form of unit agreement (including form of unit certificate).*</w:t>
            </w:r>
          </w:p>
        </w:tc>
      </w:tr>
      <w:tr>
        <w:trPr>
          <w:trHeight w:val="459"/>
        </w:trPr>
        <w:tc>
          <w:tcPr>
            <w:tcW w:w="260" w:type="dxa"/>
            <w:vAlign w:val="bottom"/>
          </w:tcPr>
          <w:p>
            <w:pPr>
              <w:spacing w:after="0"/>
              <w:rPr>
                <w:sz w:val="20"/>
                <w:szCs w:val="20"/>
                <w:color w:val="auto"/>
              </w:rPr>
            </w:pPr>
            <w:r>
              <w:rPr>
                <w:rFonts w:ascii="Arial" w:cs="Arial" w:eastAsia="Arial" w:hAnsi="Arial"/>
                <w:sz w:val="18"/>
                <w:szCs w:val="18"/>
                <w:color w:val="auto"/>
                <w:w w:val="95"/>
              </w:rPr>
              <w:t>4.7</w:t>
            </w:r>
          </w:p>
        </w:tc>
        <w:tc>
          <w:tcPr>
            <w:tcW w:w="1120" w:type="dxa"/>
            <w:vAlign w:val="bottom"/>
          </w:tcPr>
          <w:p>
            <w:pPr>
              <w:spacing w:after="0"/>
              <w:rPr>
                <w:sz w:val="24"/>
                <w:szCs w:val="24"/>
                <w:color w:val="auto"/>
              </w:rPr>
            </w:pPr>
          </w:p>
        </w:tc>
        <w:tc>
          <w:tcPr>
            <w:tcW w:w="9960" w:type="dxa"/>
            <w:vAlign w:val="bottom"/>
            <w:gridSpan w:val="2"/>
          </w:tcPr>
          <w:p>
            <w:pPr>
              <w:spacing w:after="0"/>
              <w:rPr>
                <w:sz w:val="20"/>
                <w:szCs w:val="20"/>
                <w:color w:val="auto"/>
              </w:rPr>
            </w:pPr>
            <w:r>
              <w:rPr>
                <w:rFonts w:ascii="Arial" w:cs="Arial" w:eastAsia="Arial" w:hAnsi="Arial"/>
                <w:sz w:val="18"/>
                <w:szCs w:val="18"/>
                <w:color w:val="auto"/>
              </w:rPr>
              <w:t>Form of warrant agreement (including form of warrant certificate).*</w:t>
            </w:r>
          </w:p>
        </w:tc>
      </w:tr>
      <w:tr>
        <w:trPr>
          <w:trHeight w:val="459"/>
        </w:trPr>
        <w:tc>
          <w:tcPr>
            <w:tcW w:w="260" w:type="dxa"/>
            <w:vAlign w:val="bottom"/>
          </w:tcPr>
          <w:p>
            <w:pPr>
              <w:spacing w:after="0"/>
              <w:rPr>
                <w:sz w:val="20"/>
                <w:szCs w:val="20"/>
                <w:color w:val="auto"/>
              </w:rPr>
            </w:pPr>
            <w:r>
              <w:rPr>
                <w:rFonts w:ascii="Arial" w:cs="Arial" w:eastAsia="Arial" w:hAnsi="Arial"/>
                <w:sz w:val="18"/>
                <w:szCs w:val="18"/>
                <w:color w:val="auto"/>
                <w:w w:val="95"/>
              </w:rPr>
              <w:t>5.1</w:t>
            </w:r>
          </w:p>
        </w:tc>
        <w:tc>
          <w:tcPr>
            <w:tcW w:w="1120" w:type="dxa"/>
            <w:vAlign w:val="bottom"/>
          </w:tcPr>
          <w:p>
            <w:pPr>
              <w:spacing w:after="0"/>
              <w:rPr>
                <w:sz w:val="24"/>
                <w:szCs w:val="24"/>
                <w:color w:val="auto"/>
              </w:rPr>
            </w:pPr>
          </w:p>
        </w:tc>
        <w:tc>
          <w:tcPr>
            <w:tcW w:w="9960" w:type="dxa"/>
            <w:vAlign w:val="bottom"/>
            <w:gridSpan w:val="2"/>
          </w:tcPr>
          <w:p>
            <w:pPr>
              <w:spacing w:after="0"/>
              <w:rPr>
                <w:sz w:val="20"/>
                <w:szCs w:val="20"/>
                <w:color w:val="auto"/>
              </w:rPr>
            </w:pPr>
            <w:r>
              <w:rPr>
                <w:rFonts w:ascii="Arial" w:cs="Arial" w:eastAsia="Arial" w:hAnsi="Arial"/>
                <w:sz w:val="18"/>
                <w:szCs w:val="18"/>
                <w:color w:val="auto"/>
              </w:rPr>
              <w:t>Opinion of Yigal Arnon &amp; Co., Israeli counsel to the registrant, re legality. **</w:t>
            </w:r>
          </w:p>
        </w:tc>
      </w:tr>
      <w:tr>
        <w:trPr>
          <w:trHeight w:val="459"/>
        </w:trPr>
        <w:tc>
          <w:tcPr>
            <w:tcW w:w="260" w:type="dxa"/>
            <w:vAlign w:val="bottom"/>
          </w:tcPr>
          <w:p>
            <w:pPr>
              <w:spacing w:after="0"/>
              <w:rPr>
                <w:sz w:val="20"/>
                <w:szCs w:val="20"/>
                <w:color w:val="auto"/>
              </w:rPr>
            </w:pPr>
            <w:r>
              <w:rPr>
                <w:rFonts w:ascii="Arial" w:cs="Arial" w:eastAsia="Arial" w:hAnsi="Arial"/>
                <w:sz w:val="18"/>
                <w:szCs w:val="18"/>
                <w:color w:val="auto"/>
                <w:w w:val="95"/>
              </w:rPr>
              <w:t>5.2</w:t>
            </w:r>
          </w:p>
        </w:tc>
        <w:tc>
          <w:tcPr>
            <w:tcW w:w="1120" w:type="dxa"/>
            <w:vAlign w:val="bottom"/>
          </w:tcPr>
          <w:p>
            <w:pPr>
              <w:spacing w:after="0"/>
              <w:rPr>
                <w:sz w:val="24"/>
                <w:szCs w:val="24"/>
                <w:color w:val="auto"/>
              </w:rPr>
            </w:pPr>
          </w:p>
        </w:tc>
        <w:tc>
          <w:tcPr>
            <w:tcW w:w="9960" w:type="dxa"/>
            <w:vAlign w:val="bottom"/>
            <w:gridSpan w:val="2"/>
          </w:tcPr>
          <w:p>
            <w:pPr>
              <w:spacing w:after="0"/>
              <w:rPr>
                <w:sz w:val="20"/>
                <w:szCs w:val="20"/>
                <w:color w:val="auto"/>
              </w:rPr>
            </w:pPr>
            <w:r>
              <w:rPr>
                <w:rFonts w:ascii="Arial" w:cs="Arial" w:eastAsia="Arial" w:hAnsi="Arial"/>
                <w:sz w:val="18"/>
                <w:szCs w:val="18"/>
                <w:color w:val="auto"/>
              </w:rPr>
              <w:t>Opinion of Eilenberg Krause &amp; Paul LLP, U.S. counsel to the registrant, re legality. **</w:t>
            </w:r>
          </w:p>
        </w:tc>
      </w:tr>
      <w:tr>
        <w:trPr>
          <w:trHeight w:val="459"/>
        </w:trPr>
        <w:tc>
          <w:tcPr>
            <w:tcW w:w="1380" w:type="dxa"/>
            <w:vAlign w:val="bottom"/>
            <w:gridSpan w:val="2"/>
          </w:tcPr>
          <w:p>
            <w:pPr>
              <w:spacing w:after="0"/>
              <w:rPr>
                <w:sz w:val="20"/>
                <w:szCs w:val="20"/>
                <w:color w:val="auto"/>
              </w:rPr>
            </w:pPr>
            <w:r>
              <w:rPr>
                <w:rFonts w:ascii="Arial" w:cs="Arial" w:eastAsia="Arial" w:hAnsi="Arial"/>
                <w:sz w:val="18"/>
                <w:szCs w:val="18"/>
                <w:color w:val="auto"/>
              </w:rPr>
              <w:t>12.1</w:t>
            </w:r>
          </w:p>
        </w:tc>
        <w:tc>
          <w:tcPr>
            <w:tcW w:w="9960" w:type="dxa"/>
            <w:vAlign w:val="bottom"/>
            <w:gridSpan w:val="2"/>
          </w:tcPr>
          <w:p>
            <w:pPr>
              <w:spacing w:after="0"/>
              <w:rPr>
                <w:sz w:val="20"/>
                <w:szCs w:val="20"/>
                <w:color w:val="auto"/>
              </w:rPr>
            </w:pPr>
            <w:r>
              <w:rPr>
                <w:rFonts w:ascii="Arial" w:cs="Arial" w:eastAsia="Arial" w:hAnsi="Arial"/>
                <w:sz w:val="18"/>
                <w:szCs w:val="18"/>
                <w:color w:val="auto"/>
              </w:rPr>
              <w:t>Statement of Computation of Ratio of Earnings to Fixed Charges. **</w:t>
            </w:r>
          </w:p>
        </w:tc>
      </w:tr>
      <w:tr>
        <w:trPr>
          <w:trHeight w:val="459"/>
        </w:trPr>
        <w:tc>
          <w:tcPr>
            <w:tcW w:w="1380" w:type="dxa"/>
            <w:vAlign w:val="bottom"/>
            <w:gridSpan w:val="2"/>
          </w:tcPr>
          <w:p>
            <w:pPr>
              <w:spacing w:after="0"/>
              <w:rPr>
                <w:sz w:val="20"/>
                <w:szCs w:val="20"/>
                <w:color w:val="auto"/>
              </w:rPr>
            </w:pPr>
            <w:r>
              <w:rPr>
                <w:rFonts w:ascii="Arial" w:cs="Arial" w:eastAsia="Arial" w:hAnsi="Arial"/>
                <w:sz w:val="18"/>
                <w:szCs w:val="18"/>
                <w:color w:val="auto"/>
              </w:rPr>
              <w:t>23.1</w:t>
            </w:r>
          </w:p>
        </w:tc>
        <w:tc>
          <w:tcPr>
            <w:tcW w:w="9960" w:type="dxa"/>
            <w:vAlign w:val="bottom"/>
            <w:gridSpan w:val="2"/>
          </w:tcPr>
          <w:p>
            <w:pPr>
              <w:spacing w:after="0"/>
              <w:rPr>
                <w:sz w:val="20"/>
                <w:szCs w:val="20"/>
                <w:color w:val="auto"/>
              </w:rPr>
            </w:pPr>
            <w:r>
              <w:rPr>
                <w:rFonts w:ascii="Arial" w:cs="Arial" w:eastAsia="Arial" w:hAnsi="Arial"/>
                <w:sz w:val="18"/>
                <w:szCs w:val="18"/>
                <w:color w:val="auto"/>
              </w:rPr>
              <w:t>Consent of Yigal Arnon &amp; Co., included in Exhibit 5.1. **</w:t>
            </w:r>
          </w:p>
        </w:tc>
      </w:tr>
      <w:tr>
        <w:trPr>
          <w:trHeight w:val="459"/>
        </w:trPr>
        <w:tc>
          <w:tcPr>
            <w:tcW w:w="1380" w:type="dxa"/>
            <w:vAlign w:val="bottom"/>
            <w:gridSpan w:val="2"/>
          </w:tcPr>
          <w:p>
            <w:pPr>
              <w:spacing w:after="0"/>
              <w:rPr>
                <w:sz w:val="20"/>
                <w:szCs w:val="20"/>
                <w:color w:val="auto"/>
              </w:rPr>
            </w:pPr>
            <w:r>
              <w:rPr>
                <w:rFonts w:ascii="Arial" w:cs="Arial" w:eastAsia="Arial" w:hAnsi="Arial"/>
                <w:sz w:val="18"/>
                <w:szCs w:val="18"/>
                <w:color w:val="auto"/>
              </w:rPr>
              <w:t>23.2</w:t>
            </w:r>
          </w:p>
        </w:tc>
        <w:tc>
          <w:tcPr>
            <w:tcW w:w="9960" w:type="dxa"/>
            <w:vAlign w:val="bottom"/>
            <w:gridSpan w:val="2"/>
          </w:tcPr>
          <w:p>
            <w:pPr>
              <w:spacing w:after="0"/>
              <w:rPr>
                <w:sz w:val="20"/>
                <w:szCs w:val="20"/>
                <w:color w:val="auto"/>
              </w:rPr>
            </w:pPr>
            <w:r>
              <w:rPr>
                <w:rFonts w:ascii="Arial" w:cs="Arial" w:eastAsia="Arial" w:hAnsi="Arial"/>
                <w:sz w:val="18"/>
                <w:szCs w:val="18"/>
                <w:color w:val="auto"/>
              </w:rPr>
              <w:t>Consent of Eilenberg Krause &amp; Paul LLP, included in Exhibit 5.2. **</w:t>
            </w:r>
          </w:p>
        </w:tc>
      </w:tr>
      <w:tr>
        <w:trPr>
          <w:trHeight w:val="459"/>
        </w:trPr>
        <w:tc>
          <w:tcPr>
            <w:tcW w:w="1380" w:type="dxa"/>
            <w:vAlign w:val="bottom"/>
            <w:gridSpan w:val="2"/>
          </w:tcPr>
          <w:p>
            <w:pPr>
              <w:spacing w:after="0"/>
              <w:rPr>
                <w:sz w:val="20"/>
                <w:szCs w:val="20"/>
                <w:color w:val="auto"/>
              </w:rPr>
            </w:pPr>
            <w:r>
              <w:rPr>
                <w:rFonts w:ascii="Arial" w:cs="Arial" w:eastAsia="Arial" w:hAnsi="Arial"/>
                <w:sz w:val="18"/>
                <w:szCs w:val="18"/>
                <w:color w:val="auto"/>
              </w:rPr>
              <w:t>23.3</w:t>
            </w:r>
          </w:p>
        </w:tc>
        <w:tc>
          <w:tcPr>
            <w:tcW w:w="9960" w:type="dxa"/>
            <w:vAlign w:val="bottom"/>
            <w:gridSpan w:val="2"/>
          </w:tcPr>
          <w:p>
            <w:pPr>
              <w:spacing w:after="0"/>
              <w:rPr>
                <w:sz w:val="20"/>
                <w:szCs w:val="20"/>
                <w:color w:val="auto"/>
              </w:rPr>
            </w:pPr>
            <w:r>
              <w:rPr>
                <w:rFonts w:ascii="Arial" w:cs="Arial" w:eastAsia="Arial" w:hAnsi="Arial"/>
                <w:sz w:val="18"/>
                <w:szCs w:val="18"/>
                <w:color w:val="auto"/>
              </w:rPr>
              <w:t>Consent of Brightman Almagor &amp; Co., independent registered public accounting firm. **</w:t>
            </w:r>
          </w:p>
        </w:tc>
      </w:tr>
      <w:tr>
        <w:trPr>
          <w:trHeight w:val="459"/>
        </w:trPr>
        <w:tc>
          <w:tcPr>
            <w:tcW w:w="1380" w:type="dxa"/>
            <w:vAlign w:val="bottom"/>
            <w:gridSpan w:val="2"/>
          </w:tcPr>
          <w:p>
            <w:pPr>
              <w:spacing w:after="0"/>
              <w:rPr>
                <w:sz w:val="20"/>
                <w:szCs w:val="20"/>
                <w:color w:val="auto"/>
              </w:rPr>
            </w:pPr>
            <w:r>
              <w:rPr>
                <w:rFonts w:ascii="Arial" w:cs="Arial" w:eastAsia="Arial" w:hAnsi="Arial"/>
                <w:sz w:val="18"/>
                <w:szCs w:val="18"/>
                <w:color w:val="auto"/>
              </w:rPr>
              <w:t>24.1</w:t>
            </w:r>
          </w:p>
        </w:tc>
        <w:tc>
          <w:tcPr>
            <w:tcW w:w="9960" w:type="dxa"/>
            <w:vAlign w:val="bottom"/>
            <w:gridSpan w:val="2"/>
          </w:tcPr>
          <w:p>
            <w:pPr>
              <w:spacing w:after="0"/>
              <w:rPr>
                <w:sz w:val="20"/>
                <w:szCs w:val="20"/>
                <w:color w:val="auto"/>
              </w:rPr>
            </w:pPr>
            <w:r>
              <w:rPr>
                <w:rFonts w:ascii="Arial" w:cs="Arial" w:eastAsia="Arial" w:hAnsi="Arial"/>
                <w:sz w:val="18"/>
                <w:szCs w:val="18"/>
                <w:color w:val="auto"/>
              </w:rPr>
              <w:t>Power of attorney, included in the signature page of this registration statement. **</w:t>
            </w:r>
          </w:p>
        </w:tc>
      </w:tr>
      <w:tr>
        <w:trPr>
          <w:trHeight w:val="459"/>
        </w:trPr>
        <w:tc>
          <w:tcPr>
            <w:tcW w:w="1380" w:type="dxa"/>
            <w:vAlign w:val="bottom"/>
            <w:gridSpan w:val="2"/>
          </w:tcPr>
          <w:p>
            <w:pPr>
              <w:spacing w:after="0"/>
              <w:rPr>
                <w:sz w:val="20"/>
                <w:szCs w:val="20"/>
                <w:color w:val="auto"/>
              </w:rPr>
            </w:pPr>
            <w:r>
              <w:rPr>
                <w:rFonts w:ascii="Arial" w:cs="Arial" w:eastAsia="Arial" w:hAnsi="Arial"/>
                <w:sz w:val="18"/>
                <w:szCs w:val="18"/>
                <w:color w:val="auto"/>
              </w:rPr>
              <w:t>25.1</w:t>
            </w:r>
          </w:p>
        </w:tc>
        <w:tc>
          <w:tcPr>
            <w:tcW w:w="9960" w:type="dxa"/>
            <w:vAlign w:val="bottom"/>
            <w:gridSpan w:val="2"/>
          </w:tcPr>
          <w:p>
            <w:pPr>
              <w:spacing w:after="0"/>
              <w:rPr>
                <w:sz w:val="20"/>
                <w:szCs w:val="20"/>
                <w:color w:val="auto"/>
              </w:rPr>
            </w:pPr>
            <w:r>
              <w:rPr>
                <w:rFonts w:ascii="Arial" w:cs="Arial" w:eastAsia="Arial" w:hAnsi="Arial"/>
                <w:sz w:val="18"/>
                <w:szCs w:val="18"/>
                <w:color w:val="auto"/>
              </w:rPr>
              <w:t>Statement of Eligibility of Trustee for Indenture under Trust Indenture Act of 1939.***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110617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354" w:lineRule="exact"/>
        <w:rPr>
          <w:sz w:val="20"/>
          <w:szCs w:val="20"/>
          <w:color w:val="auto"/>
        </w:rPr>
      </w:pPr>
    </w:p>
    <w:p>
      <w:pPr>
        <w:ind w:right="3800" w:firstLine="8"/>
        <w:spacing w:after="0" w:line="501" w:lineRule="auto"/>
        <w:tabs>
          <w:tab w:leader="none" w:pos="132" w:val="left"/>
        </w:tabs>
        <w:numPr>
          <w:ilvl w:val="0"/>
          <w:numId w:val="45"/>
        </w:numPr>
        <w:rPr>
          <w:rFonts w:ascii="Arial" w:cs="Arial" w:eastAsia="Arial" w:hAnsi="Arial"/>
          <w:sz w:val="18"/>
          <w:szCs w:val="18"/>
          <w:color w:val="auto"/>
        </w:rPr>
      </w:pPr>
      <w:r>
        <w:rPr>
          <w:rFonts w:ascii="Arial" w:cs="Arial" w:eastAsia="Arial" w:hAnsi="Arial"/>
          <w:sz w:val="18"/>
          <w:szCs w:val="18"/>
          <w:color w:val="auto"/>
        </w:rPr>
        <w:t>To be filed by amendment, or as an exhibit to a report on Form 6-K and incorporated herein by reference. ** Filed with this registration statement.</w:t>
      </w:r>
    </w:p>
    <w:p>
      <w:pPr>
        <w:spacing w:after="0"/>
        <w:rPr>
          <w:rFonts w:ascii="Arial" w:cs="Arial" w:eastAsia="Arial" w:hAnsi="Arial"/>
          <w:sz w:val="18"/>
          <w:szCs w:val="18"/>
          <w:color w:val="auto"/>
        </w:rPr>
      </w:pPr>
      <w:r>
        <w:rPr>
          <w:rFonts w:ascii="Arial" w:cs="Arial" w:eastAsia="Arial" w:hAnsi="Arial"/>
          <w:sz w:val="18"/>
          <w:szCs w:val="18"/>
          <w:color w:val="auto"/>
        </w:rPr>
        <w:t>*** To be incorporated by reference from a subsequent filing in accordance with Section 305(b)(2) of the Trust Indenture Act of 1939.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1286510</wp:posOffset>
            </wp:positionV>
            <wp:extent cx="726757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3810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u w:val="single" w:color="auto"/>
          <w:color w:val="auto"/>
        </w:rPr>
        <w:t>Exhibit 4.3</w:t>
      </w:r>
    </w:p>
    <w:p>
      <w:pPr>
        <w:spacing w:after="0" w:line="293"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Form of Indenture</w:t>
      </w:r>
    </w:p>
    <w:p>
      <w:pPr>
        <w:spacing w:after="0" w:line="312" w:lineRule="exact"/>
        <w:rPr>
          <w:sz w:val="20"/>
          <w:szCs w:val="20"/>
          <w:color w:val="auto"/>
        </w:rPr>
      </w:pPr>
    </w:p>
    <w:p>
      <w:pPr>
        <w:jc w:val="center"/>
        <w:ind w:right="1240"/>
        <w:spacing w:after="0"/>
        <w:rPr>
          <w:sz w:val="20"/>
          <w:szCs w:val="20"/>
          <w:color w:val="auto"/>
        </w:rPr>
      </w:pPr>
      <w:r>
        <w:rPr>
          <w:rFonts w:ascii="Arial" w:cs="Arial" w:eastAsia="Arial" w:hAnsi="Arial"/>
          <w:sz w:val="16"/>
          <w:szCs w:val="16"/>
          <w:color w:val="auto"/>
        </w:rPr>
        <w:t>TOWER SEMICONDUCTOR LTD.</w:t>
      </w:r>
    </w:p>
    <w:p>
      <w:pPr>
        <w:spacing w:after="0" w:line="38"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ISSUER</w:t>
      </w:r>
    </w:p>
    <w:p>
      <w:pPr>
        <w:spacing w:after="0" w:line="21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[____________________]</w:t>
      </w:r>
    </w:p>
    <w:p>
      <w:pPr>
        <w:spacing w:after="0" w:line="1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INDENTURE TRUSTEE</w:t>
      </w:r>
    </w:p>
    <w:p>
      <w:pPr>
        <w:spacing w:after="0" w:line="21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INDENTURE</w:t>
      </w:r>
    </w:p>
    <w:p>
      <w:pPr>
        <w:spacing w:after="0" w:line="225"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Dated as of ________, 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120650</wp:posOffset>
            </wp:positionV>
            <wp:extent cx="72504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0220"/>
          </w:cols>
          <w:pgMar w:left="1440" w:top="125" w:right="2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28"/>
        </w:trPr>
        <w:tc>
          <w:tcPr>
            <w:tcW w:w="10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40" w:type="dxa"/>
            <w:vAlign w:val="bottom"/>
            <w:gridSpan w:val="2"/>
          </w:tcPr>
          <w:p>
            <w:pPr>
              <w:ind w:left="300"/>
              <w:spacing w:after="0"/>
              <w:rPr>
                <w:sz w:val="20"/>
                <w:szCs w:val="20"/>
                <w:color w:val="auto"/>
              </w:rPr>
            </w:pPr>
            <w:r>
              <w:rPr>
                <w:rFonts w:ascii="Arial" w:cs="Arial" w:eastAsia="Arial" w:hAnsi="Arial"/>
                <w:sz w:val="18"/>
                <w:szCs w:val="18"/>
                <w:b w:val="1"/>
                <w:bCs w:val="1"/>
                <w:color w:val="auto"/>
              </w:rPr>
              <w:t>TABLE OF CONTENTS</w:t>
            </w:r>
          </w:p>
        </w:tc>
        <w:tc>
          <w:tcPr>
            <w:tcW w:w="2460" w:type="dxa"/>
            <w:vAlign w:val="bottom"/>
          </w:tcPr>
          <w:p>
            <w:pPr>
              <w:spacing w:after="0"/>
              <w:rPr>
                <w:sz w:val="19"/>
                <w:szCs w:val="19"/>
                <w:color w:val="auto"/>
              </w:rPr>
            </w:pPr>
          </w:p>
        </w:tc>
      </w:tr>
      <w:tr>
        <w:trPr>
          <w:trHeight w:val="394"/>
        </w:trPr>
        <w:tc>
          <w:tcPr>
            <w:tcW w:w="1080" w:type="dxa"/>
            <w:vAlign w:val="bottom"/>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ARTICLE I</w:t>
              </w:r>
            </w:hyperlink>
          </w:p>
        </w:tc>
        <w:tc>
          <w:tcPr>
            <w:tcW w:w="7840" w:type="dxa"/>
            <w:vAlign w:val="bottom"/>
            <w:gridSpan w:val="33"/>
          </w:tcPr>
          <w:p>
            <w:pPr>
              <w:ind w:left="120"/>
              <w:spacing w:after="0"/>
              <w:rPr>
                <w:rFonts w:ascii="Arial" w:cs="Arial" w:eastAsia="Arial" w:hAnsi="Arial"/>
                <w:sz w:val="18"/>
                <w:szCs w:val="18"/>
                <w:color w:val="0000EE"/>
              </w:rPr>
            </w:pPr>
            <w:hyperlink w:anchor="page28">
              <w:r>
                <w:rPr>
                  <w:rFonts w:ascii="Arial" w:cs="Arial" w:eastAsia="Arial" w:hAnsi="Arial"/>
                  <w:sz w:val="18"/>
                  <w:szCs w:val="18"/>
                  <w:color w:val="0000EE"/>
                </w:rPr>
                <w:t>DEFINITIONS AND INCORPORATION BY REFERENCE</w:t>
              </w:r>
            </w:hyperlink>
          </w:p>
        </w:tc>
        <w:tc>
          <w:tcPr>
            <w:tcW w:w="24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12"/>
        </w:trPr>
        <w:tc>
          <w:tcPr>
            <w:tcW w:w="172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9"/>
              </w:rPr>
            </w:pPr>
            <w:hyperlink w:anchor="page28">
              <w:r>
                <w:rPr>
                  <w:rFonts w:ascii="Arial" w:cs="Arial" w:eastAsia="Arial" w:hAnsi="Arial"/>
                  <w:sz w:val="18"/>
                  <w:szCs w:val="18"/>
                  <w:color w:val="0000EE"/>
                  <w:w w:val="89"/>
                </w:rPr>
                <w:t>Section 1.01 Definitions</w:t>
              </w:r>
            </w:hyperlink>
          </w:p>
        </w:tc>
        <w:tc>
          <w:tcPr>
            <w:tcW w:w="3780" w:type="dxa"/>
            <w:vAlign w:val="bottom"/>
            <w:tcBorders>
              <w:top w:val="single" w:sz="8" w:color="0000EE"/>
            </w:tcBorders>
            <w:gridSpan w:val="31"/>
          </w:tcPr>
          <w:p>
            <w:pPr>
              <w:spacing w:after="0"/>
              <w:rPr>
                <w:sz w:val="24"/>
                <w:szCs w:val="24"/>
                <w:color w:val="auto"/>
              </w:rPr>
            </w:pPr>
          </w:p>
        </w:tc>
        <w:tc>
          <w:tcPr>
            <w:tcW w:w="3420" w:type="dxa"/>
            <w:vAlign w:val="bottom"/>
          </w:tcPr>
          <w:p>
            <w:pPr>
              <w:spacing w:after="0"/>
              <w:rPr>
                <w:sz w:val="24"/>
                <w:szCs w:val="24"/>
                <w:color w:val="auto"/>
              </w:rPr>
            </w:pPr>
          </w:p>
        </w:tc>
        <w:tc>
          <w:tcPr>
            <w:tcW w:w="24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8920" w:type="dxa"/>
            <w:vAlign w:val="bottom"/>
            <w:gridSpan w:val="34"/>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Section 1.02 Other Definitions</w:t>
              </w:r>
            </w:hyperlink>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20"/>
        </w:trPr>
        <w:tc>
          <w:tcPr>
            <w:tcW w:w="18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40" w:type="dxa"/>
            <w:vAlign w:val="bottom"/>
            <w:gridSpan w:val="2"/>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96"/>
        </w:trPr>
        <w:tc>
          <w:tcPr>
            <w:tcW w:w="4480" w:type="dxa"/>
            <w:vAlign w:val="bottom"/>
            <w:tcBorders>
              <w:bottom w:val="single" w:sz="8" w:color="0000EE"/>
            </w:tcBorders>
            <w:gridSpan w:val="32"/>
          </w:tcPr>
          <w:p>
            <w:pPr>
              <w:spacing w:after="0" w:line="196" w:lineRule="exact"/>
              <w:rPr>
                <w:rFonts w:ascii="Arial" w:cs="Arial" w:eastAsia="Arial" w:hAnsi="Arial"/>
                <w:sz w:val="18"/>
                <w:szCs w:val="18"/>
                <w:color w:val="0000EE"/>
                <w:w w:val="89"/>
              </w:rPr>
            </w:pPr>
            <w:hyperlink w:anchor="page31">
              <w:r>
                <w:rPr>
                  <w:rFonts w:ascii="Arial" w:cs="Arial" w:eastAsia="Arial" w:hAnsi="Arial"/>
                  <w:sz w:val="18"/>
                  <w:szCs w:val="18"/>
                  <w:color w:val="0000EE"/>
                  <w:w w:val="89"/>
                </w:rPr>
                <w:t>Section 1.03 Incorporation by Reference of Trust Indenture Act</w:t>
              </w:r>
            </w:hyperlink>
          </w:p>
        </w:tc>
        <w:tc>
          <w:tcPr>
            <w:tcW w:w="4440" w:type="dxa"/>
            <w:vAlign w:val="bottom"/>
            <w:gridSpan w:val="2"/>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2480" w:type="dxa"/>
            <w:vAlign w:val="bottom"/>
            <w:tcBorders>
              <w:bottom w:val="single" w:sz="8" w:color="0000EE"/>
            </w:tcBorders>
            <w:gridSpan w:val="14"/>
          </w:tcPr>
          <w:p>
            <w:pPr>
              <w:spacing w:after="0" w:line="196" w:lineRule="exact"/>
              <w:rPr>
                <w:rFonts w:ascii="Arial" w:cs="Arial" w:eastAsia="Arial" w:hAnsi="Arial"/>
                <w:sz w:val="18"/>
                <w:szCs w:val="18"/>
                <w:color w:val="0000EE"/>
                <w:w w:val="88"/>
              </w:rPr>
            </w:pPr>
            <w:hyperlink w:anchor="page32">
              <w:r>
                <w:rPr>
                  <w:rFonts w:ascii="Arial" w:cs="Arial" w:eastAsia="Arial" w:hAnsi="Arial"/>
                  <w:sz w:val="18"/>
                  <w:szCs w:val="18"/>
                  <w:color w:val="0000EE"/>
                  <w:w w:val="88"/>
                </w:rPr>
                <w:t>Section 1.04 Rules of Construction</w:t>
              </w:r>
            </w:hyperlink>
          </w:p>
        </w:tc>
        <w:tc>
          <w:tcPr>
            <w:tcW w:w="6440" w:type="dxa"/>
            <w:vAlign w:val="bottom"/>
            <w:gridSpan w:val="20"/>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412"/>
        </w:trPr>
        <w:tc>
          <w:tcPr>
            <w:tcW w:w="1080" w:type="dxa"/>
            <w:vAlign w:val="bottom"/>
            <w:tcBorders>
              <w:bottom w:val="single" w:sz="8" w:color="0000EE"/>
            </w:tcBorders>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ARTICLE II</w:t>
              </w:r>
            </w:hyperlink>
          </w:p>
        </w:tc>
        <w:tc>
          <w:tcPr>
            <w:tcW w:w="1560" w:type="dxa"/>
            <w:vAlign w:val="bottom"/>
            <w:tcBorders>
              <w:bottom w:val="single" w:sz="8" w:color="0000EE"/>
            </w:tcBorders>
            <w:gridSpan w:val="17"/>
          </w:tcPr>
          <w:p>
            <w:pPr>
              <w:ind w:left="180"/>
              <w:spacing w:after="0"/>
              <w:rPr>
                <w:rFonts w:ascii="Arial" w:cs="Arial" w:eastAsia="Arial" w:hAnsi="Arial"/>
                <w:sz w:val="18"/>
                <w:szCs w:val="18"/>
                <w:color w:val="0000EE"/>
                <w:w w:val="91"/>
              </w:rPr>
            </w:pPr>
            <w:hyperlink w:anchor="page32">
              <w:r>
                <w:rPr>
                  <w:rFonts w:ascii="Arial" w:cs="Arial" w:eastAsia="Arial" w:hAnsi="Arial"/>
                  <w:sz w:val="18"/>
                  <w:szCs w:val="18"/>
                  <w:color w:val="0000EE"/>
                  <w:w w:val="91"/>
                </w:rPr>
                <w:t>THE SECURITIES</w:t>
              </w:r>
            </w:hyperlink>
          </w:p>
        </w:tc>
        <w:tc>
          <w:tcPr>
            <w:tcW w:w="6280" w:type="dxa"/>
            <w:vAlign w:val="bottom"/>
            <w:gridSpan w:val="16"/>
          </w:tcPr>
          <w:p>
            <w:pPr>
              <w:spacing w:after="0"/>
              <w:rPr>
                <w:sz w:val="24"/>
                <w:szCs w:val="24"/>
                <w:color w:val="auto"/>
              </w:rPr>
            </w:pPr>
          </w:p>
        </w:tc>
        <w:tc>
          <w:tcPr>
            <w:tcW w:w="24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412"/>
        </w:trPr>
        <w:tc>
          <w:tcPr>
            <w:tcW w:w="2160" w:type="dxa"/>
            <w:vAlign w:val="bottom"/>
            <w:tcBorders>
              <w:bottom w:val="single" w:sz="8" w:color="0000EE"/>
            </w:tcBorders>
            <w:gridSpan w:val="8"/>
          </w:tcPr>
          <w:p>
            <w:pPr>
              <w:spacing w:after="0"/>
              <w:rPr>
                <w:rFonts w:ascii="Arial" w:cs="Arial" w:eastAsia="Arial" w:hAnsi="Arial"/>
                <w:sz w:val="18"/>
                <w:szCs w:val="18"/>
                <w:color w:val="0000EE"/>
                <w:w w:val="85"/>
              </w:rPr>
            </w:pPr>
            <w:hyperlink w:anchor="page32">
              <w:r>
                <w:rPr>
                  <w:rFonts w:ascii="Arial" w:cs="Arial" w:eastAsia="Arial" w:hAnsi="Arial"/>
                  <w:sz w:val="18"/>
                  <w:szCs w:val="18"/>
                  <w:color w:val="0000EE"/>
                  <w:w w:val="85"/>
                </w:rPr>
                <w:t>Section 2.01 Issuable in Series</w:t>
              </w:r>
            </w:hyperlink>
          </w:p>
        </w:tc>
        <w:tc>
          <w:tcPr>
            <w:tcW w:w="6760" w:type="dxa"/>
            <w:vAlign w:val="bottom"/>
            <w:gridSpan w:val="26"/>
          </w:tcPr>
          <w:p>
            <w:pPr>
              <w:spacing w:after="0"/>
              <w:rPr>
                <w:sz w:val="24"/>
                <w:szCs w:val="24"/>
                <w:color w:val="auto"/>
              </w:rPr>
            </w:pPr>
          </w:p>
        </w:tc>
        <w:tc>
          <w:tcPr>
            <w:tcW w:w="24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196"/>
        </w:trPr>
        <w:tc>
          <w:tcPr>
            <w:tcW w:w="8920" w:type="dxa"/>
            <w:vAlign w:val="bottom"/>
            <w:gridSpan w:val="34"/>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Section 2.02 Establishment of Terms of Series of Securities</w:t>
              </w:r>
            </w:hyperlink>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4180" w:type="dxa"/>
            <w:vAlign w:val="bottom"/>
            <w:tcBorders>
              <w:top w:val="single" w:sz="8" w:color="0000EE"/>
            </w:tcBorders>
            <w:gridSpan w:val="30"/>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Section 2.03 Execution and Authentication</w:t>
              </w:r>
            </w:hyperlink>
          </w:p>
        </w:tc>
        <w:tc>
          <w:tcPr>
            <w:tcW w:w="4740" w:type="dxa"/>
            <w:vAlign w:val="bottom"/>
            <w:gridSpan w:val="4"/>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2880" w:type="dxa"/>
            <w:vAlign w:val="bottom"/>
            <w:tcBorders>
              <w:top w:val="single" w:sz="8" w:color="0000EE"/>
              <w:bottom w:val="single" w:sz="8" w:color="0000EE"/>
            </w:tcBorders>
            <w:gridSpan w:val="19"/>
          </w:tcPr>
          <w:p>
            <w:pPr>
              <w:spacing w:after="0" w:line="196" w:lineRule="exact"/>
              <w:rPr>
                <w:rFonts w:ascii="Arial" w:cs="Arial" w:eastAsia="Arial" w:hAnsi="Arial"/>
                <w:sz w:val="18"/>
                <w:szCs w:val="18"/>
                <w:color w:val="0000EE"/>
                <w:w w:val="87"/>
              </w:rPr>
            </w:pPr>
            <w:hyperlink w:anchor="page34">
              <w:r>
                <w:rPr>
                  <w:rFonts w:ascii="Arial" w:cs="Arial" w:eastAsia="Arial" w:hAnsi="Arial"/>
                  <w:sz w:val="18"/>
                  <w:szCs w:val="18"/>
                  <w:color w:val="0000EE"/>
                  <w:w w:val="87"/>
                </w:rPr>
                <w:t>Section 2.04 Registrar and Paying Agent</w:t>
              </w:r>
            </w:hyperlink>
          </w:p>
        </w:tc>
        <w:tc>
          <w:tcPr>
            <w:tcW w:w="140" w:type="dxa"/>
            <w:vAlign w:val="bottom"/>
            <w:tcBorders>
              <w:top w:val="single" w:sz="8" w:color="0000EE"/>
            </w:tcBorders>
            <w:gridSpan w:val="3"/>
          </w:tcPr>
          <w:p>
            <w:pPr>
              <w:spacing w:after="0"/>
              <w:rPr>
                <w:sz w:val="17"/>
                <w:szCs w:val="17"/>
                <w:color w:val="auto"/>
              </w:rPr>
            </w:pPr>
          </w:p>
        </w:tc>
        <w:tc>
          <w:tcPr>
            <w:tcW w:w="5900" w:type="dxa"/>
            <w:vAlign w:val="bottom"/>
            <w:gridSpan w:val="12"/>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3600" w:type="dxa"/>
            <w:vAlign w:val="bottom"/>
            <w:tcBorders>
              <w:bottom w:val="single" w:sz="8" w:color="0000EE"/>
            </w:tcBorders>
            <w:gridSpan w:val="28"/>
          </w:tcPr>
          <w:p>
            <w:pPr>
              <w:spacing w:after="0" w:line="196" w:lineRule="exact"/>
              <w:rPr>
                <w:rFonts w:ascii="Arial" w:cs="Arial" w:eastAsia="Arial" w:hAnsi="Arial"/>
                <w:sz w:val="18"/>
                <w:szCs w:val="18"/>
                <w:color w:val="0000EE"/>
                <w:w w:val="89"/>
              </w:rPr>
            </w:pPr>
            <w:hyperlink w:anchor="page35">
              <w:r>
                <w:rPr>
                  <w:rFonts w:ascii="Arial" w:cs="Arial" w:eastAsia="Arial" w:hAnsi="Arial"/>
                  <w:sz w:val="18"/>
                  <w:szCs w:val="18"/>
                  <w:color w:val="0000EE"/>
                  <w:w w:val="89"/>
                </w:rPr>
                <w:t>Section 2.05 Paying Agent to Hold Money in Trust</w:t>
              </w:r>
            </w:hyperlink>
          </w:p>
        </w:tc>
        <w:tc>
          <w:tcPr>
            <w:tcW w:w="5320" w:type="dxa"/>
            <w:vAlign w:val="bottom"/>
            <w:gridSpan w:val="6"/>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8920" w:type="dxa"/>
            <w:vAlign w:val="bottom"/>
            <w:gridSpan w:val="34"/>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Section 2.06 Holder Lists</w:t>
              </w:r>
            </w:hyperlink>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20"/>
        </w:trPr>
        <w:tc>
          <w:tcPr>
            <w:tcW w:w="180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580" w:type="dxa"/>
            <w:vAlign w:val="bottom"/>
            <w:gridSpan w:val="3"/>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96"/>
        </w:trPr>
        <w:tc>
          <w:tcPr>
            <w:tcW w:w="2560" w:type="dxa"/>
            <w:vAlign w:val="bottom"/>
            <w:tcBorders>
              <w:bottom w:val="single" w:sz="8" w:color="0000EE"/>
            </w:tcBorders>
            <w:gridSpan w:val="17"/>
          </w:tcPr>
          <w:p>
            <w:pPr>
              <w:spacing w:after="0" w:line="196" w:lineRule="exact"/>
              <w:rPr>
                <w:rFonts w:ascii="Arial" w:cs="Arial" w:eastAsia="Arial" w:hAnsi="Arial"/>
                <w:sz w:val="18"/>
                <w:szCs w:val="18"/>
                <w:color w:val="0000EE"/>
                <w:w w:val="86"/>
              </w:rPr>
            </w:pPr>
            <w:hyperlink w:anchor="page35">
              <w:r>
                <w:rPr>
                  <w:rFonts w:ascii="Arial" w:cs="Arial" w:eastAsia="Arial" w:hAnsi="Arial"/>
                  <w:sz w:val="18"/>
                  <w:szCs w:val="18"/>
                  <w:color w:val="0000EE"/>
                  <w:w w:val="86"/>
                </w:rPr>
                <w:t>Section 2.07 Transfer and Exchange</w:t>
              </w:r>
            </w:hyperlink>
          </w:p>
        </w:tc>
        <w:tc>
          <w:tcPr>
            <w:tcW w:w="6360" w:type="dxa"/>
            <w:vAlign w:val="bottom"/>
            <w:gridSpan w:val="17"/>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8920" w:type="dxa"/>
            <w:vAlign w:val="bottom"/>
            <w:gridSpan w:val="34"/>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Section 2.08 Mutilated, Destroyed, Lost and Stolen Securities</w:t>
              </w:r>
            </w:hyperlink>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4340" w:type="dxa"/>
            <w:vAlign w:val="bottom"/>
            <w:tcBorders>
              <w:top w:val="single" w:sz="8" w:color="0000EE"/>
            </w:tcBorders>
            <w:gridSpan w:val="31"/>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Section 2.09 Outstanding Securities</w:t>
              </w:r>
            </w:hyperlink>
          </w:p>
        </w:tc>
        <w:tc>
          <w:tcPr>
            <w:tcW w:w="4580" w:type="dxa"/>
            <w:vAlign w:val="bottom"/>
            <w:gridSpan w:val="3"/>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196"/>
        </w:trPr>
        <w:tc>
          <w:tcPr>
            <w:tcW w:w="2520" w:type="dxa"/>
            <w:vAlign w:val="bottom"/>
            <w:tcBorders>
              <w:top w:val="single" w:sz="8" w:color="0000EE"/>
            </w:tcBorders>
            <w:gridSpan w:val="16"/>
          </w:tcPr>
          <w:p>
            <w:pPr>
              <w:spacing w:after="0" w:line="196" w:lineRule="exact"/>
              <w:rPr>
                <w:rFonts w:ascii="Arial" w:cs="Arial" w:eastAsia="Arial" w:hAnsi="Arial"/>
                <w:sz w:val="18"/>
                <w:szCs w:val="18"/>
                <w:color w:val="0000EE"/>
                <w:w w:val="96"/>
              </w:rPr>
            </w:pPr>
            <w:hyperlink w:anchor="page36">
              <w:r>
                <w:rPr>
                  <w:rFonts w:ascii="Arial" w:cs="Arial" w:eastAsia="Arial" w:hAnsi="Arial"/>
                  <w:sz w:val="18"/>
                  <w:szCs w:val="18"/>
                  <w:color w:val="0000EE"/>
                  <w:w w:val="96"/>
                </w:rPr>
                <w:t>Section 2.10 Treasury Securities</w:t>
              </w:r>
            </w:hyperlink>
          </w:p>
        </w:tc>
        <w:tc>
          <w:tcPr>
            <w:tcW w:w="6400" w:type="dxa"/>
            <w:vAlign w:val="bottom"/>
            <w:gridSpan w:val="18"/>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20"/>
        </w:trPr>
        <w:tc>
          <w:tcPr>
            <w:tcW w:w="182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240" w:type="dxa"/>
            <w:vAlign w:val="bottom"/>
            <w:gridSpan w:val="5"/>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96"/>
        </w:trPr>
        <w:tc>
          <w:tcPr>
            <w:tcW w:w="8920" w:type="dxa"/>
            <w:vAlign w:val="bottom"/>
            <w:gridSpan w:val="34"/>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Section 2.11 Temporary Securities</w:t>
              </w:r>
            </w:hyperlink>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196"/>
        </w:trPr>
        <w:tc>
          <w:tcPr>
            <w:tcW w:w="182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8"/>
              </w:rPr>
            </w:pPr>
            <w:hyperlink w:anchor="page36">
              <w:r>
                <w:rPr>
                  <w:rFonts w:ascii="Arial" w:cs="Arial" w:eastAsia="Arial" w:hAnsi="Arial"/>
                  <w:sz w:val="18"/>
                  <w:szCs w:val="18"/>
                  <w:color w:val="0000EE"/>
                  <w:w w:val="88"/>
                </w:rPr>
                <w:t>Section 2.12 Cancellation</w:t>
              </w:r>
            </w:hyperlink>
          </w:p>
        </w:tc>
        <w:tc>
          <w:tcPr>
            <w:tcW w:w="600" w:type="dxa"/>
            <w:vAlign w:val="bottom"/>
            <w:tcBorders>
              <w:top w:val="single" w:sz="8" w:color="0000EE"/>
            </w:tcBorders>
            <w:gridSpan w:val="8"/>
          </w:tcPr>
          <w:p>
            <w:pPr>
              <w:spacing w:after="0"/>
              <w:rPr>
                <w:sz w:val="17"/>
                <w:szCs w:val="17"/>
                <w:color w:val="auto"/>
              </w:rPr>
            </w:pPr>
          </w:p>
        </w:tc>
        <w:tc>
          <w:tcPr>
            <w:tcW w:w="6500" w:type="dxa"/>
            <w:vAlign w:val="bottom"/>
            <w:gridSpan w:val="22"/>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196"/>
        </w:trPr>
        <w:tc>
          <w:tcPr>
            <w:tcW w:w="2200" w:type="dxa"/>
            <w:vAlign w:val="bottom"/>
            <w:tcBorders>
              <w:bottom w:val="single" w:sz="8" w:color="0000EE"/>
            </w:tcBorders>
            <w:gridSpan w:val="9"/>
          </w:tcPr>
          <w:p>
            <w:pPr>
              <w:spacing w:after="0" w:line="196" w:lineRule="exact"/>
              <w:rPr>
                <w:rFonts w:ascii="Arial" w:cs="Arial" w:eastAsia="Arial" w:hAnsi="Arial"/>
                <w:sz w:val="18"/>
                <w:szCs w:val="18"/>
                <w:color w:val="0000EE"/>
                <w:w w:val="88"/>
              </w:rPr>
            </w:pPr>
            <w:hyperlink w:anchor="page37">
              <w:r>
                <w:rPr>
                  <w:rFonts w:ascii="Arial" w:cs="Arial" w:eastAsia="Arial" w:hAnsi="Arial"/>
                  <w:sz w:val="18"/>
                  <w:szCs w:val="18"/>
                  <w:color w:val="0000EE"/>
                  <w:w w:val="88"/>
                </w:rPr>
                <w:t>Section 2.13 Defaulted Interest</w:t>
              </w:r>
            </w:hyperlink>
          </w:p>
        </w:tc>
        <w:tc>
          <w:tcPr>
            <w:tcW w:w="6720" w:type="dxa"/>
            <w:vAlign w:val="bottom"/>
            <w:gridSpan w:val="25"/>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196"/>
        </w:trPr>
        <w:tc>
          <w:tcPr>
            <w:tcW w:w="2160" w:type="dxa"/>
            <w:vAlign w:val="bottom"/>
            <w:tcBorders>
              <w:bottom w:val="single" w:sz="8" w:color="0000EE"/>
            </w:tcBorders>
            <w:gridSpan w:val="8"/>
          </w:tcPr>
          <w:p>
            <w:pPr>
              <w:spacing w:after="0" w:line="196" w:lineRule="exact"/>
              <w:rPr>
                <w:rFonts w:ascii="Arial" w:cs="Arial" w:eastAsia="Arial" w:hAnsi="Arial"/>
                <w:sz w:val="18"/>
                <w:szCs w:val="18"/>
                <w:color w:val="0000EE"/>
                <w:w w:val="87"/>
              </w:rPr>
            </w:pPr>
            <w:hyperlink w:anchor="page37">
              <w:r>
                <w:rPr>
                  <w:rFonts w:ascii="Arial" w:cs="Arial" w:eastAsia="Arial" w:hAnsi="Arial"/>
                  <w:sz w:val="18"/>
                  <w:szCs w:val="18"/>
                  <w:color w:val="0000EE"/>
                  <w:w w:val="87"/>
                </w:rPr>
                <w:t>Section 2.14 Global Securities</w:t>
              </w:r>
            </w:hyperlink>
          </w:p>
        </w:tc>
        <w:tc>
          <w:tcPr>
            <w:tcW w:w="6760" w:type="dxa"/>
            <w:vAlign w:val="bottom"/>
            <w:gridSpan w:val="26"/>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196"/>
        </w:trPr>
        <w:tc>
          <w:tcPr>
            <w:tcW w:w="2120" w:type="dxa"/>
            <w:vAlign w:val="bottom"/>
            <w:tcBorders>
              <w:bottom w:val="single" w:sz="8" w:color="0000EE"/>
            </w:tcBorders>
            <w:gridSpan w:val="6"/>
          </w:tcPr>
          <w:p>
            <w:pPr>
              <w:spacing w:after="0" w:line="196" w:lineRule="exact"/>
              <w:rPr>
                <w:rFonts w:ascii="Arial" w:cs="Arial" w:eastAsia="Arial" w:hAnsi="Arial"/>
                <w:sz w:val="18"/>
                <w:szCs w:val="18"/>
                <w:color w:val="0000EE"/>
                <w:w w:val="88"/>
              </w:rPr>
            </w:pPr>
            <w:hyperlink w:anchor="page38">
              <w:r>
                <w:rPr>
                  <w:rFonts w:ascii="Arial" w:cs="Arial" w:eastAsia="Arial" w:hAnsi="Arial"/>
                  <w:sz w:val="18"/>
                  <w:szCs w:val="18"/>
                  <w:color w:val="0000EE"/>
                  <w:w w:val="88"/>
                </w:rPr>
                <w:t>Section 2.15 CUSIP Numbers</w:t>
              </w:r>
            </w:hyperlink>
          </w:p>
        </w:tc>
        <w:tc>
          <w:tcPr>
            <w:tcW w:w="6800" w:type="dxa"/>
            <w:vAlign w:val="bottom"/>
            <w:gridSpan w:val="28"/>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412"/>
        </w:trPr>
        <w:tc>
          <w:tcPr>
            <w:tcW w:w="1080" w:type="dxa"/>
            <w:vAlign w:val="bottom"/>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ARTICLE III</w:t>
              </w:r>
            </w:hyperlink>
          </w:p>
        </w:tc>
        <w:tc>
          <w:tcPr>
            <w:tcW w:w="7840" w:type="dxa"/>
            <w:vAlign w:val="bottom"/>
            <w:gridSpan w:val="33"/>
          </w:tcPr>
          <w:p>
            <w:pPr>
              <w:ind w:left="220"/>
              <w:spacing w:after="0"/>
              <w:rPr>
                <w:rFonts w:ascii="Arial" w:cs="Arial" w:eastAsia="Arial" w:hAnsi="Arial"/>
                <w:sz w:val="18"/>
                <w:szCs w:val="18"/>
                <w:color w:val="0000EE"/>
              </w:rPr>
            </w:pPr>
            <w:hyperlink w:anchor="page38">
              <w:r>
                <w:rPr>
                  <w:rFonts w:ascii="Arial" w:cs="Arial" w:eastAsia="Arial" w:hAnsi="Arial"/>
                  <w:sz w:val="18"/>
                  <w:szCs w:val="18"/>
                  <w:color w:val="0000EE"/>
                </w:rPr>
                <w:t>REDEMPTION</w:t>
              </w:r>
            </w:hyperlink>
          </w:p>
        </w:tc>
        <w:tc>
          <w:tcPr>
            <w:tcW w:w="24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412"/>
        </w:trPr>
        <w:tc>
          <w:tcPr>
            <w:tcW w:w="2440" w:type="dxa"/>
            <w:vAlign w:val="bottom"/>
            <w:tcBorders>
              <w:top w:val="single" w:sz="8" w:color="0000EE"/>
            </w:tcBorders>
            <w:gridSpan w:val="13"/>
          </w:tcPr>
          <w:p>
            <w:pPr>
              <w:spacing w:after="0"/>
              <w:rPr>
                <w:rFonts w:ascii="Arial" w:cs="Arial" w:eastAsia="Arial" w:hAnsi="Arial"/>
                <w:sz w:val="18"/>
                <w:szCs w:val="18"/>
                <w:color w:val="0000EE"/>
                <w:w w:val="99"/>
              </w:rPr>
            </w:pPr>
            <w:hyperlink w:anchor="page38">
              <w:r>
                <w:rPr>
                  <w:rFonts w:ascii="Arial" w:cs="Arial" w:eastAsia="Arial" w:hAnsi="Arial"/>
                  <w:sz w:val="18"/>
                  <w:szCs w:val="18"/>
                  <w:color w:val="0000EE"/>
                  <w:w w:val="99"/>
                </w:rPr>
                <w:t>Section 3.01 Notice to Trustee</w:t>
              </w:r>
            </w:hyperlink>
          </w:p>
        </w:tc>
        <w:tc>
          <w:tcPr>
            <w:tcW w:w="6480" w:type="dxa"/>
            <w:vAlign w:val="bottom"/>
            <w:gridSpan w:val="21"/>
          </w:tcPr>
          <w:p>
            <w:pPr>
              <w:spacing w:after="0"/>
              <w:rPr>
                <w:sz w:val="24"/>
                <w:szCs w:val="24"/>
                <w:color w:val="auto"/>
              </w:rPr>
            </w:pPr>
          </w:p>
        </w:tc>
        <w:tc>
          <w:tcPr>
            <w:tcW w:w="24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0"/>
        </w:trPr>
        <w:tc>
          <w:tcPr>
            <w:tcW w:w="1840" w:type="dxa"/>
            <w:vAlign w:val="bottom"/>
            <w:gridSpan w:val="5"/>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240" w:type="dxa"/>
            <w:vAlign w:val="bottom"/>
            <w:gridSpan w:val="5"/>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96"/>
        </w:trPr>
        <w:tc>
          <w:tcPr>
            <w:tcW w:w="8920" w:type="dxa"/>
            <w:vAlign w:val="bottom"/>
            <w:gridSpan w:val="34"/>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Section 3.02 Selection of Securities to be Redeemed</w:t>
              </w:r>
            </w:hyperlink>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196"/>
        </w:trPr>
        <w:tc>
          <w:tcPr>
            <w:tcW w:w="250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89"/>
              </w:rPr>
            </w:pPr>
            <w:hyperlink w:anchor="page38">
              <w:r>
                <w:rPr>
                  <w:rFonts w:ascii="Arial" w:cs="Arial" w:eastAsia="Arial" w:hAnsi="Arial"/>
                  <w:sz w:val="18"/>
                  <w:szCs w:val="18"/>
                  <w:color w:val="0000EE"/>
                  <w:w w:val="89"/>
                </w:rPr>
                <w:t>Section 3.03 Notice of Redemption</w:t>
              </w:r>
            </w:hyperlink>
          </w:p>
        </w:tc>
        <w:tc>
          <w:tcPr>
            <w:tcW w:w="1180" w:type="dxa"/>
            <w:vAlign w:val="bottom"/>
            <w:tcBorders>
              <w:top w:val="single" w:sz="8" w:color="0000EE"/>
            </w:tcBorders>
            <w:gridSpan w:val="14"/>
          </w:tcPr>
          <w:p>
            <w:pPr>
              <w:spacing w:after="0"/>
              <w:rPr>
                <w:sz w:val="17"/>
                <w:szCs w:val="17"/>
                <w:color w:val="auto"/>
              </w:rPr>
            </w:pPr>
          </w:p>
        </w:tc>
        <w:tc>
          <w:tcPr>
            <w:tcW w:w="5240" w:type="dxa"/>
            <w:vAlign w:val="bottom"/>
            <w:gridSpan w:val="5"/>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196"/>
        </w:trPr>
        <w:tc>
          <w:tcPr>
            <w:tcW w:w="8920" w:type="dxa"/>
            <w:vAlign w:val="bottom"/>
            <w:gridSpan w:val="34"/>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Section 3.04 Effect of Notice of Redemption</w:t>
              </w:r>
            </w:hyperlink>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196"/>
        </w:trPr>
        <w:tc>
          <w:tcPr>
            <w:tcW w:w="2980" w:type="dxa"/>
            <w:vAlign w:val="bottom"/>
            <w:tcBorders>
              <w:top w:val="single" w:sz="8" w:color="0000EE"/>
              <w:bottom w:val="single" w:sz="8" w:color="0000EE"/>
            </w:tcBorders>
            <w:gridSpan w:val="21"/>
          </w:tcPr>
          <w:p>
            <w:pPr>
              <w:spacing w:after="0" w:line="196" w:lineRule="exact"/>
              <w:rPr>
                <w:rFonts w:ascii="Arial" w:cs="Arial" w:eastAsia="Arial" w:hAnsi="Arial"/>
                <w:sz w:val="18"/>
                <w:szCs w:val="18"/>
                <w:color w:val="0000EE"/>
                <w:w w:val="88"/>
              </w:rPr>
            </w:pPr>
            <w:hyperlink w:anchor="page39">
              <w:r>
                <w:rPr>
                  <w:rFonts w:ascii="Arial" w:cs="Arial" w:eastAsia="Arial" w:hAnsi="Arial"/>
                  <w:sz w:val="18"/>
                  <w:szCs w:val="18"/>
                  <w:color w:val="0000EE"/>
                  <w:w w:val="88"/>
                </w:rPr>
                <w:t>Section 3.05 Deposit of Redemption Price</w:t>
              </w:r>
            </w:hyperlink>
          </w:p>
        </w:tc>
        <w:tc>
          <w:tcPr>
            <w:tcW w:w="160" w:type="dxa"/>
            <w:vAlign w:val="bottom"/>
            <w:tcBorders>
              <w:top w:val="single" w:sz="8" w:color="0000EE"/>
            </w:tcBorders>
            <w:gridSpan w:val="2"/>
          </w:tcPr>
          <w:p>
            <w:pPr>
              <w:spacing w:after="0"/>
              <w:rPr>
                <w:sz w:val="17"/>
                <w:szCs w:val="17"/>
                <w:color w:val="auto"/>
              </w:rPr>
            </w:pPr>
          </w:p>
        </w:tc>
        <w:tc>
          <w:tcPr>
            <w:tcW w:w="5780" w:type="dxa"/>
            <w:vAlign w:val="bottom"/>
            <w:gridSpan w:val="11"/>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196"/>
        </w:trPr>
        <w:tc>
          <w:tcPr>
            <w:tcW w:w="2920" w:type="dxa"/>
            <w:vAlign w:val="bottom"/>
            <w:tcBorders>
              <w:bottom w:val="single" w:sz="8" w:color="0000EE"/>
            </w:tcBorders>
            <w:gridSpan w:val="20"/>
          </w:tcPr>
          <w:p>
            <w:pPr>
              <w:spacing w:after="0" w:line="196" w:lineRule="exact"/>
              <w:rPr>
                <w:rFonts w:ascii="Arial" w:cs="Arial" w:eastAsia="Arial" w:hAnsi="Arial"/>
                <w:sz w:val="18"/>
                <w:szCs w:val="18"/>
                <w:color w:val="0000EE"/>
                <w:w w:val="86"/>
              </w:rPr>
            </w:pPr>
            <w:hyperlink w:anchor="page39">
              <w:r>
                <w:rPr>
                  <w:rFonts w:ascii="Arial" w:cs="Arial" w:eastAsia="Arial" w:hAnsi="Arial"/>
                  <w:sz w:val="18"/>
                  <w:szCs w:val="18"/>
                  <w:color w:val="0000EE"/>
                  <w:w w:val="86"/>
                </w:rPr>
                <w:t>Section 3.06 Securities Redeemed in Part</w:t>
              </w:r>
            </w:hyperlink>
          </w:p>
        </w:tc>
        <w:tc>
          <w:tcPr>
            <w:tcW w:w="6000" w:type="dxa"/>
            <w:vAlign w:val="bottom"/>
            <w:gridSpan w:val="14"/>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412"/>
        </w:trPr>
        <w:tc>
          <w:tcPr>
            <w:tcW w:w="1080" w:type="dxa"/>
            <w:vAlign w:val="bottom"/>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ARTICLE IV</w:t>
              </w:r>
            </w:hyperlink>
          </w:p>
        </w:tc>
        <w:tc>
          <w:tcPr>
            <w:tcW w:w="7840" w:type="dxa"/>
            <w:vAlign w:val="bottom"/>
            <w:gridSpan w:val="33"/>
          </w:tcPr>
          <w:p>
            <w:pPr>
              <w:ind w:left="240"/>
              <w:spacing w:after="0"/>
              <w:rPr>
                <w:rFonts w:ascii="Arial" w:cs="Arial" w:eastAsia="Arial" w:hAnsi="Arial"/>
                <w:sz w:val="18"/>
                <w:szCs w:val="18"/>
                <w:color w:val="0000EE"/>
              </w:rPr>
            </w:pPr>
            <w:hyperlink w:anchor="page39">
              <w:r>
                <w:rPr>
                  <w:rFonts w:ascii="Arial" w:cs="Arial" w:eastAsia="Arial" w:hAnsi="Arial"/>
                  <w:sz w:val="18"/>
                  <w:szCs w:val="18"/>
                  <w:color w:val="0000EE"/>
                </w:rPr>
                <w:t>COVENANTS</w:t>
              </w:r>
            </w:hyperlink>
          </w:p>
        </w:tc>
        <w:tc>
          <w:tcPr>
            <w:tcW w:w="24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0"/>
        </w:trPr>
        <w:tc>
          <w:tcPr>
            <w:tcW w:w="1840" w:type="dxa"/>
            <w:vAlign w:val="bottom"/>
            <w:gridSpan w:val="5"/>
            <w:shd w:val="clear" w:color="auto" w:fill="0000EE"/>
          </w:tcPr>
          <w:p>
            <w:pPr>
              <w:spacing w:after="0" w:line="20" w:lineRule="exact"/>
              <w:rPr>
                <w:sz w:val="1"/>
                <w:szCs w:val="1"/>
                <w:color w:val="auto"/>
              </w:rPr>
            </w:pPr>
          </w:p>
        </w:tc>
        <w:tc>
          <w:tcPr>
            <w:tcW w:w="520" w:type="dxa"/>
            <w:vAlign w:val="bottom"/>
            <w:gridSpan w:val="6"/>
            <w:shd w:val="clear" w:color="auto" w:fill="0000EE"/>
          </w:tcPr>
          <w:p>
            <w:pPr>
              <w:spacing w:after="0" w:line="20" w:lineRule="exact"/>
              <w:rPr>
                <w:sz w:val="1"/>
                <w:szCs w:val="1"/>
                <w:color w:val="auto"/>
              </w:rPr>
            </w:pPr>
          </w:p>
        </w:tc>
        <w:tc>
          <w:tcPr>
            <w:tcW w:w="200" w:type="dxa"/>
            <w:vAlign w:val="bottom"/>
            <w:tcBorders>
              <w:left w:val="single" w:sz="8" w:color="0000EE"/>
            </w:tcBorders>
            <w:gridSpan w:val="6"/>
          </w:tcPr>
          <w:p>
            <w:pPr>
              <w:spacing w:after="0" w:line="20" w:lineRule="exact"/>
              <w:rPr>
                <w:sz w:val="1"/>
                <w:szCs w:val="1"/>
                <w:color w:val="auto"/>
              </w:rPr>
            </w:pPr>
          </w:p>
        </w:tc>
        <w:tc>
          <w:tcPr>
            <w:tcW w:w="66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560" w:type="dxa"/>
            <w:vAlign w:val="bottom"/>
            <w:gridSpan w:val="7"/>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412"/>
        </w:trPr>
        <w:tc>
          <w:tcPr>
            <w:tcW w:w="8920" w:type="dxa"/>
            <w:vAlign w:val="bottom"/>
            <w:gridSpan w:val="34"/>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Section 4.01 Payment of Principal and Interest</w:t>
              </w:r>
            </w:hyperlink>
          </w:p>
        </w:tc>
        <w:tc>
          <w:tcPr>
            <w:tcW w:w="24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196"/>
        </w:trPr>
        <w:tc>
          <w:tcPr>
            <w:tcW w:w="3280" w:type="dxa"/>
            <w:vAlign w:val="bottom"/>
            <w:tcBorders>
              <w:top w:val="single" w:sz="8" w:color="0000EE"/>
            </w:tcBorders>
            <w:gridSpan w:val="26"/>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Section 4.02 SEC Reports</w:t>
              </w:r>
            </w:hyperlink>
          </w:p>
        </w:tc>
        <w:tc>
          <w:tcPr>
            <w:tcW w:w="5640" w:type="dxa"/>
            <w:vAlign w:val="bottom"/>
            <w:gridSpan w:val="8"/>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20"/>
        </w:trPr>
        <w:tc>
          <w:tcPr>
            <w:tcW w:w="1840" w:type="dxa"/>
            <w:vAlign w:val="bottom"/>
            <w:gridSpan w:val="5"/>
            <w:shd w:val="clear" w:color="auto" w:fill="0000EE"/>
          </w:tcPr>
          <w:p>
            <w:pPr>
              <w:spacing w:after="0" w:line="20" w:lineRule="exact"/>
              <w:rPr>
                <w:sz w:val="1"/>
                <w:szCs w:val="1"/>
                <w:color w:val="auto"/>
              </w:rPr>
            </w:pPr>
          </w:p>
        </w:tc>
        <w:tc>
          <w:tcPr>
            <w:tcW w:w="520" w:type="dxa"/>
            <w:vAlign w:val="bottom"/>
            <w:gridSpan w:val="6"/>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66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560" w:type="dxa"/>
            <w:vAlign w:val="bottom"/>
            <w:gridSpan w:val="7"/>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96"/>
        </w:trPr>
        <w:tc>
          <w:tcPr>
            <w:tcW w:w="8920" w:type="dxa"/>
            <w:vAlign w:val="bottom"/>
            <w:gridSpan w:val="34"/>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Section 4.03 Compliance Certificate</w:t>
              </w:r>
            </w:hyperlink>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20"/>
        </w:trPr>
        <w:tc>
          <w:tcPr>
            <w:tcW w:w="2360" w:type="dxa"/>
            <w:vAlign w:val="bottom"/>
            <w:gridSpan w:val="11"/>
            <w:shd w:val="clear" w:color="auto" w:fill="0000EE"/>
          </w:tcPr>
          <w:p>
            <w:pPr>
              <w:spacing w:after="0" w:line="20" w:lineRule="exact"/>
              <w:rPr>
                <w:sz w:val="1"/>
                <w:szCs w:val="1"/>
                <w:color w:val="auto"/>
              </w:rPr>
            </w:pPr>
          </w:p>
        </w:tc>
        <w:tc>
          <w:tcPr>
            <w:tcW w:w="200" w:type="dxa"/>
            <w:vAlign w:val="bottom"/>
            <w:tcBorders>
              <w:left w:val="single" w:sz="8" w:color="0000EE"/>
            </w:tcBorders>
            <w:gridSpan w:val="6"/>
            <w:shd w:val="clear" w:color="auto" w:fill="0000EE"/>
          </w:tcPr>
          <w:p>
            <w:pPr>
              <w:spacing w:after="0" w:line="20" w:lineRule="exact"/>
              <w:rPr>
                <w:sz w:val="1"/>
                <w:szCs w:val="1"/>
                <w:color w:val="auto"/>
              </w:rPr>
            </w:pPr>
          </w:p>
        </w:tc>
        <w:tc>
          <w:tcPr>
            <w:tcW w:w="66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560" w:type="dxa"/>
            <w:vAlign w:val="bottom"/>
            <w:gridSpan w:val="7"/>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96"/>
        </w:trPr>
        <w:tc>
          <w:tcPr>
            <w:tcW w:w="3220" w:type="dxa"/>
            <w:vAlign w:val="bottom"/>
            <w:tcBorders>
              <w:bottom w:val="single" w:sz="8" w:color="0000EE"/>
            </w:tcBorders>
            <w:gridSpan w:val="24"/>
          </w:tcPr>
          <w:p>
            <w:pPr>
              <w:spacing w:after="0" w:line="196" w:lineRule="exact"/>
              <w:rPr>
                <w:rFonts w:ascii="Arial" w:cs="Arial" w:eastAsia="Arial" w:hAnsi="Arial"/>
                <w:sz w:val="18"/>
                <w:szCs w:val="18"/>
                <w:color w:val="0000EE"/>
                <w:w w:val="87"/>
              </w:rPr>
            </w:pPr>
            <w:hyperlink w:anchor="page40">
              <w:r>
                <w:rPr>
                  <w:rFonts w:ascii="Arial" w:cs="Arial" w:eastAsia="Arial" w:hAnsi="Arial"/>
                  <w:sz w:val="18"/>
                  <w:szCs w:val="18"/>
                  <w:color w:val="0000EE"/>
                  <w:w w:val="87"/>
                </w:rPr>
                <w:t>Section 4.04 Stay, Extension and Usury Laws</w:t>
              </w:r>
            </w:hyperlink>
          </w:p>
        </w:tc>
        <w:tc>
          <w:tcPr>
            <w:tcW w:w="5700" w:type="dxa"/>
            <w:vAlign w:val="bottom"/>
            <w:gridSpan w:val="10"/>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412"/>
        </w:trPr>
        <w:tc>
          <w:tcPr>
            <w:tcW w:w="1080" w:type="dxa"/>
            <w:vAlign w:val="bottom"/>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ARTICLE V</w:t>
              </w:r>
            </w:hyperlink>
          </w:p>
        </w:tc>
        <w:tc>
          <w:tcPr>
            <w:tcW w:w="7840" w:type="dxa"/>
            <w:vAlign w:val="bottom"/>
            <w:gridSpan w:val="33"/>
          </w:tcPr>
          <w:p>
            <w:pPr>
              <w:ind w:left="180"/>
              <w:spacing w:after="0"/>
              <w:rPr>
                <w:rFonts w:ascii="Arial" w:cs="Arial" w:eastAsia="Arial" w:hAnsi="Arial"/>
                <w:sz w:val="18"/>
                <w:szCs w:val="18"/>
                <w:color w:val="0000EE"/>
              </w:rPr>
            </w:pPr>
            <w:hyperlink w:anchor="page40">
              <w:r>
                <w:rPr>
                  <w:rFonts w:ascii="Arial" w:cs="Arial" w:eastAsia="Arial" w:hAnsi="Arial"/>
                  <w:sz w:val="18"/>
                  <w:szCs w:val="18"/>
                  <w:color w:val="0000EE"/>
                </w:rPr>
                <w:t>SUCCESSORS</w:t>
              </w:r>
            </w:hyperlink>
          </w:p>
        </w:tc>
        <w:tc>
          <w:tcPr>
            <w:tcW w:w="24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0"/>
        </w:trPr>
        <w:tc>
          <w:tcPr>
            <w:tcW w:w="2360" w:type="dxa"/>
            <w:vAlign w:val="bottom"/>
            <w:gridSpan w:val="11"/>
            <w:shd w:val="clear" w:color="auto" w:fill="0000EE"/>
          </w:tcPr>
          <w:p>
            <w:pPr>
              <w:spacing w:after="0" w:line="20" w:lineRule="exact"/>
              <w:rPr>
                <w:sz w:val="1"/>
                <w:szCs w:val="1"/>
                <w:color w:val="auto"/>
              </w:rPr>
            </w:pPr>
          </w:p>
        </w:tc>
        <w:tc>
          <w:tcPr>
            <w:tcW w:w="900" w:type="dxa"/>
            <w:vAlign w:val="bottom"/>
            <w:gridSpan w:val="1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560" w:type="dxa"/>
            <w:vAlign w:val="bottom"/>
            <w:gridSpan w:val="7"/>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412"/>
        </w:trPr>
        <w:tc>
          <w:tcPr>
            <w:tcW w:w="8920" w:type="dxa"/>
            <w:vAlign w:val="bottom"/>
            <w:gridSpan w:val="34"/>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Section 5.01 When Company May Merge, Etc</w:t>
              </w:r>
            </w:hyperlink>
          </w:p>
        </w:tc>
        <w:tc>
          <w:tcPr>
            <w:tcW w:w="24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0"/>
        </w:trPr>
        <w:tc>
          <w:tcPr>
            <w:tcW w:w="3260" w:type="dxa"/>
            <w:vAlign w:val="bottom"/>
            <w:gridSpan w:val="25"/>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560" w:type="dxa"/>
            <w:vAlign w:val="bottom"/>
            <w:gridSpan w:val="7"/>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96"/>
        </w:trPr>
        <w:tc>
          <w:tcPr>
            <w:tcW w:w="3360" w:type="dxa"/>
            <w:vAlign w:val="bottom"/>
            <w:tcBorders>
              <w:bottom w:val="single" w:sz="8" w:color="0000EE"/>
            </w:tcBorders>
            <w:gridSpan w:val="27"/>
          </w:tcPr>
          <w:p>
            <w:pPr>
              <w:spacing w:after="0" w:line="196" w:lineRule="exact"/>
              <w:rPr>
                <w:rFonts w:ascii="Arial" w:cs="Arial" w:eastAsia="Arial" w:hAnsi="Arial"/>
                <w:sz w:val="18"/>
                <w:szCs w:val="18"/>
                <w:color w:val="0000EE"/>
                <w:w w:val="87"/>
              </w:rPr>
            </w:pPr>
            <w:hyperlink w:anchor="page40">
              <w:r>
                <w:rPr>
                  <w:rFonts w:ascii="Arial" w:cs="Arial" w:eastAsia="Arial" w:hAnsi="Arial"/>
                  <w:sz w:val="18"/>
                  <w:szCs w:val="18"/>
                  <w:color w:val="0000EE"/>
                  <w:w w:val="87"/>
                </w:rPr>
                <w:t>Section 5.02 Successor Corporation Substituted</w:t>
              </w:r>
            </w:hyperlink>
          </w:p>
        </w:tc>
        <w:tc>
          <w:tcPr>
            <w:tcW w:w="5560" w:type="dxa"/>
            <w:vAlign w:val="bottom"/>
            <w:gridSpan w:val="7"/>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bl>
    <w:p>
      <w:pPr>
        <w:spacing w:after="0" w:line="200" w:lineRule="exact"/>
        <w:rPr>
          <w:sz w:val="20"/>
          <w:szCs w:val="20"/>
          <w:color w:val="auto"/>
        </w:rPr>
      </w:pPr>
    </w:p>
    <w:p>
      <w:pPr>
        <w:spacing w:after="0" w:line="2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(continued)</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80" w:type="dxa"/>
            <w:vAlign w:val="bottom"/>
            <w:tcBorders>
              <w:bottom w:val="single" w:sz="8" w:color="0000EE"/>
            </w:tcBorders>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ARTICLE VI</w:t>
              </w:r>
            </w:hyperlink>
          </w:p>
        </w:tc>
        <w:tc>
          <w:tcPr>
            <w:tcW w:w="2360" w:type="dxa"/>
            <w:vAlign w:val="bottom"/>
            <w:tcBorders>
              <w:bottom w:val="single" w:sz="8" w:color="0000EE"/>
            </w:tcBorders>
            <w:gridSpan w:val="28"/>
          </w:tcPr>
          <w:p>
            <w:pPr>
              <w:ind w:left="140"/>
              <w:spacing w:after="0"/>
              <w:rPr>
                <w:rFonts w:ascii="Arial" w:cs="Arial" w:eastAsia="Arial" w:hAnsi="Arial"/>
                <w:sz w:val="18"/>
                <w:szCs w:val="18"/>
                <w:color w:val="0000EE"/>
                <w:w w:val="93"/>
              </w:rPr>
            </w:pPr>
            <w:hyperlink w:anchor="page40">
              <w:r>
                <w:rPr>
                  <w:rFonts w:ascii="Arial" w:cs="Arial" w:eastAsia="Arial" w:hAnsi="Arial"/>
                  <w:sz w:val="18"/>
                  <w:szCs w:val="18"/>
                  <w:color w:val="0000EE"/>
                  <w:w w:val="93"/>
                </w:rPr>
                <w:t>DEFAULTS AND REMEDIES</w:t>
              </w:r>
            </w:hyperlink>
          </w:p>
        </w:tc>
        <w:tc>
          <w:tcPr>
            <w:tcW w:w="4800" w:type="dxa"/>
            <w:vAlign w:val="bottom"/>
            <w:gridSpan w:val="13"/>
          </w:tcPr>
          <w:p>
            <w:pPr>
              <w:spacing w:after="0"/>
              <w:rPr>
                <w:sz w:val="17"/>
                <w:szCs w:val="17"/>
                <w:color w:val="auto"/>
              </w:rPr>
            </w:pPr>
          </w:p>
        </w:tc>
        <w:tc>
          <w:tcPr>
            <w:tcW w:w="30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439"/>
        </w:trPr>
        <w:tc>
          <w:tcPr>
            <w:tcW w:w="218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40">
              <w:r>
                <w:rPr>
                  <w:rFonts w:ascii="Arial" w:cs="Arial" w:eastAsia="Arial" w:hAnsi="Arial"/>
                  <w:sz w:val="18"/>
                  <w:szCs w:val="18"/>
                  <w:color w:val="0000EE"/>
                  <w:w w:val="89"/>
                </w:rPr>
                <w:t>Section 6.01 Events of Default</w:t>
              </w:r>
            </w:hyperlink>
          </w:p>
        </w:tc>
        <w:tc>
          <w:tcPr>
            <w:tcW w:w="6160" w:type="dxa"/>
            <w:vAlign w:val="bottom"/>
            <w:gridSpan w:val="35"/>
          </w:tcPr>
          <w:p>
            <w:pPr>
              <w:spacing w:after="0"/>
              <w:rPr>
                <w:sz w:val="24"/>
                <w:szCs w:val="24"/>
                <w:color w:val="auto"/>
              </w:rPr>
            </w:pPr>
          </w:p>
        </w:tc>
        <w:tc>
          <w:tcPr>
            <w:tcW w:w="30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196"/>
        </w:trPr>
        <w:tc>
          <w:tcPr>
            <w:tcW w:w="4660" w:type="dxa"/>
            <w:vAlign w:val="bottom"/>
            <w:tcBorders>
              <w:bottom w:val="single" w:sz="8" w:color="0000EE"/>
            </w:tcBorders>
            <w:gridSpan w:val="37"/>
          </w:tcPr>
          <w:p>
            <w:pPr>
              <w:spacing w:after="0" w:line="196" w:lineRule="exact"/>
              <w:rPr>
                <w:rFonts w:ascii="Arial" w:cs="Arial" w:eastAsia="Arial" w:hAnsi="Arial"/>
                <w:sz w:val="18"/>
                <w:szCs w:val="18"/>
                <w:color w:val="0000EE"/>
                <w:w w:val="89"/>
              </w:rPr>
            </w:pPr>
            <w:hyperlink w:anchor="page41">
              <w:r>
                <w:rPr>
                  <w:rFonts w:ascii="Arial" w:cs="Arial" w:eastAsia="Arial" w:hAnsi="Arial"/>
                  <w:sz w:val="18"/>
                  <w:szCs w:val="18"/>
                  <w:color w:val="0000EE"/>
                  <w:w w:val="89"/>
                </w:rPr>
                <w:t>Section 6.02 Acceleration of Maturity; Rescission and Annulment</w:t>
              </w:r>
            </w:hyperlink>
          </w:p>
        </w:tc>
        <w:tc>
          <w:tcPr>
            <w:tcW w:w="3680" w:type="dxa"/>
            <w:vAlign w:val="bottom"/>
            <w:gridSpan w:val="5"/>
          </w:tcPr>
          <w:p>
            <w:pPr>
              <w:spacing w:after="0"/>
              <w:rPr>
                <w:sz w:val="17"/>
                <w:szCs w:val="17"/>
                <w:color w:val="auto"/>
              </w:rPr>
            </w:pPr>
          </w:p>
        </w:tc>
        <w:tc>
          <w:tcPr>
            <w:tcW w:w="304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196"/>
        </w:trPr>
        <w:tc>
          <w:tcPr>
            <w:tcW w:w="8340" w:type="dxa"/>
            <w:vAlign w:val="bottom"/>
            <w:gridSpan w:val="42"/>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Section 6.03 Collection of Indebtedness and Suits for Enforcement by Trustee</w:t>
              </w:r>
            </w:hyperlink>
          </w:p>
        </w:tc>
        <w:tc>
          <w:tcPr>
            <w:tcW w:w="304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196"/>
        </w:trPr>
        <w:tc>
          <w:tcPr>
            <w:tcW w:w="3300" w:type="dxa"/>
            <w:vAlign w:val="bottom"/>
            <w:tcBorders>
              <w:top w:val="single" w:sz="8" w:color="0000EE"/>
              <w:bottom w:val="single" w:sz="8" w:color="0000EE"/>
            </w:tcBorders>
            <w:gridSpan w:val="26"/>
          </w:tcPr>
          <w:p>
            <w:pPr>
              <w:spacing w:after="0" w:line="196" w:lineRule="exact"/>
              <w:rPr>
                <w:rFonts w:ascii="Arial" w:cs="Arial" w:eastAsia="Arial" w:hAnsi="Arial"/>
                <w:sz w:val="18"/>
                <w:szCs w:val="18"/>
                <w:color w:val="0000EE"/>
                <w:w w:val="89"/>
              </w:rPr>
            </w:pPr>
            <w:hyperlink w:anchor="page42">
              <w:r>
                <w:rPr>
                  <w:rFonts w:ascii="Arial" w:cs="Arial" w:eastAsia="Arial" w:hAnsi="Arial"/>
                  <w:sz w:val="18"/>
                  <w:szCs w:val="18"/>
                  <w:color w:val="0000EE"/>
                  <w:w w:val="89"/>
                </w:rPr>
                <w:t>Section 6.04 Trustee May File Proofs of Claim</w:t>
              </w:r>
            </w:hyperlink>
          </w:p>
        </w:tc>
        <w:tc>
          <w:tcPr>
            <w:tcW w:w="2180" w:type="dxa"/>
            <w:vAlign w:val="bottom"/>
            <w:tcBorders>
              <w:top w:val="single" w:sz="8" w:color="0000EE"/>
            </w:tcBorders>
            <w:gridSpan w:val="14"/>
          </w:tcPr>
          <w:p>
            <w:pPr>
              <w:spacing w:after="0"/>
              <w:rPr>
                <w:sz w:val="17"/>
                <w:szCs w:val="17"/>
                <w:color w:val="auto"/>
              </w:rPr>
            </w:pPr>
          </w:p>
        </w:tc>
        <w:tc>
          <w:tcPr>
            <w:tcW w:w="2860" w:type="dxa"/>
            <w:vAlign w:val="bottom"/>
            <w:gridSpan w:val="2"/>
          </w:tcPr>
          <w:p>
            <w:pPr>
              <w:spacing w:after="0"/>
              <w:rPr>
                <w:sz w:val="17"/>
                <w:szCs w:val="17"/>
                <w:color w:val="auto"/>
              </w:rPr>
            </w:pPr>
          </w:p>
        </w:tc>
        <w:tc>
          <w:tcPr>
            <w:tcW w:w="304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196"/>
        </w:trPr>
        <w:tc>
          <w:tcPr>
            <w:tcW w:w="8340" w:type="dxa"/>
            <w:vAlign w:val="bottom"/>
            <w:gridSpan w:val="42"/>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Section 6.05 Trustee May Enforce Claims Without Possession of Securities</w:t>
              </w:r>
            </w:hyperlink>
          </w:p>
        </w:tc>
        <w:tc>
          <w:tcPr>
            <w:tcW w:w="304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196"/>
        </w:trPr>
        <w:tc>
          <w:tcPr>
            <w:tcW w:w="5300" w:type="dxa"/>
            <w:vAlign w:val="bottom"/>
            <w:tcBorders>
              <w:top w:val="single" w:sz="8" w:color="0000EE"/>
            </w:tcBorders>
            <w:gridSpan w:val="38"/>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Section 6.06 Application of Money Collected</w:t>
              </w:r>
            </w:hyperlink>
          </w:p>
        </w:tc>
        <w:tc>
          <w:tcPr>
            <w:tcW w:w="3040" w:type="dxa"/>
            <w:vAlign w:val="bottom"/>
            <w:gridSpan w:val="4"/>
          </w:tcPr>
          <w:p>
            <w:pPr>
              <w:spacing w:after="0"/>
              <w:rPr>
                <w:sz w:val="17"/>
                <w:szCs w:val="17"/>
                <w:color w:val="auto"/>
              </w:rPr>
            </w:pPr>
          </w:p>
        </w:tc>
        <w:tc>
          <w:tcPr>
            <w:tcW w:w="304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196"/>
        </w:trPr>
        <w:tc>
          <w:tcPr>
            <w:tcW w:w="230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0"/>
              </w:rPr>
            </w:pPr>
            <w:hyperlink w:anchor="page43">
              <w:r>
                <w:rPr>
                  <w:rFonts w:ascii="Arial" w:cs="Arial" w:eastAsia="Arial" w:hAnsi="Arial"/>
                  <w:sz w:val="18"/>
                  <w:szCs w:val="18"/>
                  <w:color w:val="0000EE"/>
                  <w:w w:val="90"/>
                </w:rPr>
                <w:t>Section 6.07 Limitation on Suits</w:t>
              </w:r>
            </w:hyperlink>
          </w:p>
        </w:tc>
        <w:tc>
          <w:tcPr>
            <w:tcW w:w="900" w:type="dxa"/>
            <w:vAlign w:val="bottom"/>
            <w:tcBorders>
              <w:top w:val="single" w:sz="8" w:color="0000EE"/>
            </w:tcBorders>
            <w:gridSpan w:val="14"/>
          </w:tcPr>
          <w:p>
            <w:pPr>
              <w:spacing w:after="0"/>
              <w:rPr>
                <w:sz w:val="17"/>
                <w:szCs w:val="17"/>
                <w:color w:val="auto"/>
              </w:rPr>
            </w:pPr>
          </w:p>
        </w:tc>
        <w:tc>
          <w:tcPr>
            <w:tcW w:w="5140" w:type="dxa"/>
            <w:vAlign w:val="bottom"/>
            <w:gridSpan w:val="19"/>
          </w:tcPr>
          <w:p>
            <w:pPr>
              <w:spacing w:after="0"/>
              <w:rPr>
                <w:sz w:val="17"/>
                <w:szCs w:val="17"/>
                <w:color w:val="auto"/>
              </w:rPr>
            </w:pPr>
          </w:p>
        </w:tc>
        <w:tc>
          <w:tcPr>
            <w:tcW w:w="304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196"/>
        </w:trPr>
        <w:tc>
          <w:tcPr>
            <w:tcW w:w="5500" w:type="dxa"/>
            <w:vAlign w:val="bottom"/>
            <w:tcBorders>
              <w:bottom w:val="single" w:sz="8" w:color="0000EE"/>
            </w:tcBorders>
            <w:gridSpan w:val="41"/>
          </w:tcPr>
          <w:p>
            <w:pPr>
              <w:spacing w:after="0" w:line="196" w:lineRule="exact"/>
              <w:rPr>
                <w:rFonts w:ascii="Arial" w:cs="Arial" w:eastAsia="Arial" w:hAnsi="Arial"/>
                <w:sz w:val="18"/>
                <w:szCs w:val="18"/>
                <w:color w:val="0000EE"/>
                <w:w w:val="89"/>
              </w:rPr>
            </w:pPr>
            <w:hyperlink w:anchor="page44">
              <w:r>
                <w:rPr>
                  <w:rFonts w:ascii="Arial" w:cs="Arial" w:eastAsia="Arial" w:hAnsi="Arial"/>
                  <w:sz w:val="18"/>
                  <w:szCs w:val="18"/>
                  <w:color w:val="0000EE"/>
                  <w:w w:val="89"/>
                </w:rPr>
                <w:t>Section 6.08 Unconditional Right of Holders to Receive Principal and Interest</w:t>
              </w:r>
            </w:hyperlink>
          </w:p>
        </w:tc>
        <w:tc>
          <w:tcPr>
            <w:tcW w:w="2840" w:type="dxa"/>
            <w:vAlign w:val="bottom"/>
          </w:tcPr>
          <w:p>
            <w:pPr>
              <w:spacing w:after="0"/>
              <w:rPr>
                <w:sz w:val="17"/>
                <w:szCs w:val="17"/>
                <w:color w:val="auto"/>
              </w:rPr>
            </w:pPr>
          </w:p>
        </w:tc>
        <w:tc>
          <w:tcPr>
            <w:tcW w:w="304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8340" w:type="dxa"/>
            <w:vAlign w:val="bottom"/>
            <w:gridSpan w:val="42"/>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Section 6.09 Restoration of Rights and Remedies</w:t>
              </w:r>
            </w:hyperlink>
          </w:p>
        </w:tc>
        <w:tc>
          <w:tcPr>
            <w:tcW w:w="304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3460" w:type="dxa"/>
            <w:vAlign w:val="bottom"/>
            <w:tcBorders>
              <w:top w:val="single" w:sz="8" w:color="0000EE"/>
            </w:tcBorders>
            <w:gridSpan w:val="28"/>
          </w:tcPr>
          <w:p>
            <w:pPr>
              <w:spacing w:after="0" w:line="196" w:lineRule="exact"/>
              <w:rPr>
                <w:rFonts w:ascii="Arial" w:cs="Arial" w:eastAsia="Arial" w:hAnsi="Arial"/>
                <w:sz w:val="18"/>
                <w:szCs w:val="18"/>
                <w:color w:val="0000EE"/>
                <w:w w:val="92"/>
              </w:rPr>
            </w:pPr>
            <w:hyperlink w:anchor="page44">
              <w:r>
                <w:rPr>
                  <w:rFonts w:ascii="Arial" w:cs="Arial" w:eastAsia="Arial" w:hAnsi="Arial"/>
                  <w:sz w:val="18"/>
                  <w:szCs w:val="18"/>
                  <w:color w:val="0000EE"/>
                  <w:w w:val="92"/>
                </w:rPr>
                <w:t>Section 6.10 Rights and Remedies Cumulative</w:t>
              </w:r>
            </w:hyperlink>
          </w:p>
        </w:tc>
        <w:tc>
          <w:tcPr>
            <w:tcW w:w="4880" w:type="dxa"/>
            <w:vAlign w:val="bottom"/>
            <w:gridSpan w:val="14"/>
          </w:tcPr>
          <w:p>
            <w:pPr>
              <w:spacing w:after="0"/>
              <w:rPr>
                <w:sz w:val="17"/>
                <w:szCs w:val="17"/>
                <w:color w:val="auto"/>
              </w:rPr>
            </w:pPr>
          </w:p>
        </w:tc>
        <w:tc>
          <w:tcPr>
            <w:tcW w:w="304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3280" w:type="dxa"/>
            <w:vAlign w:val="bottom"/>
            <w:tcBorders>
              <w:top w:val="single" w:sz="8" w:color="0000EE"/>
            </w:tcBorders>
            <w:gridSpan w:val="25"/>
          </w:tcPr>
          <w:p>
            <w:pPr>
              <w:spacing w:after="0" w:line="196" w:lineRule="exact"/>
              <w:rPr>
                <w:rFonts w:ascii="Arial" w:cs="Arial" w:eastAsia="Arial" w:hAnsi="Arial"/>
                <w:sz w:val="18"/>
                <w:szCs w:val="18"/>
                <w:color w:val="0000EE"/>
                <w:w w:val="94"/>
              </w:rPr>
            </w:pPr>
            <w:hyperlink w:anchor="page44">
              <w:r>
                <w:rPr>
                  <w:rFonts w:ascii="Arial" w:cs="Arial" w:eastAsia="Arial" w:hAnsi="Arial"/>
                  <w:sz w:val="18"/>
                  <w:szCs w:val="18"/>
                  <w:color w:val="0000EE"/>
                  <w:w w:val="94"/>
                </w:rPr>
                <w:t>Section 6.11 Delay or Omission Not Waiver</w:t>
              </w:r>
            </w:hyperlink>
          </w:p>
        </w:tc>
        <w:tc>
          <w:tcPr>
            <w:tcW w:w="5060" w:type="dxa"/>
            <w:vAlign w:val="bottom"/>
            <w:gridSpan w:val="17"/>
          </w:tcPr>
          <w:p>
            <w:pPr>
              <w:spacing w:after="0"/>
              <w:rPr>
                <w:sz w:val="17"/>
                <w:szCs w:val="17"/>
                <w:color w:val="auto"/>
              </w:rPr>
            </w:pPr>
          </w:p>
        </w:tc>
        <w:tc>
          <w:tcPr>
            <w:tcW w:w="304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310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Section 6.12 Control by Holders</w:t>
              </w:r>
            </w:hyperlink>
          </w:p>
        </w:tc>
        <w:tc>
          <w:tcPr>
            <w:tcW w:w="5240" w:type="dxa"/>
            <w:vAlign w:val="bottom"/>
            <w:gridSpan w:val="20"/>
          </w:tcPr>
          <w:p>
            <w:pPr>
              <w:spacing w:after="0"/>
              <w:rPr>
                <w:sz w:val="17"/>
                <w:szCs w:val="17"/>
                <w:color w:val="auto"/>
              </w:rPr>
            </w:pPr>
          </w:p>
        </w:tc>
        <w:tc>
          <w:tcPr>
            <w:tcW w:w="304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20"/>
        </w:trPr>
        <w:tc>
          <w:tcPr>
            <w:tcW w:w="15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2980" w:type="dxa"/>
            <w:vAlign w:val="bottom"/>
            <w:gridSpan w:val="3"/>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r>
      <w:tr>
        <w:trPr>
          <w:trHeight w:val="196"/>
        </w:trPr>
        <w:tc>
          <w:tcPr>
            <w:tcW w:w="2600" w:type="dxa"/>
            <w:vAlign w:val="bottom"/>
            <w:tcBorders>
              <w:bottom w:val="single" w:sz="8" w:color="0000EE"/>
            </w:tcBorders>
            <w:gridSpan w:val="13"/>
          </w:tcPr>
          <w:p>
            <w:pPr>
              <w:spacing w:after="0" w:line="196" w:lineRule="exact"/>
              <w:rPr>
                <w:rFonts w:ascii="Arial" w:cs="Arial" w:eastAsia="Arial" w:hAnsi="Arial"/>
                <w:sz w:val="18"/>
                <w:szCs w:val="18"/>
                <w:color w:val="0000EE"/>
                <w:w w:val="87"/>
              </w:rPr>
            </w:pPr>
            <w:hyperlink w:anchor="page44">
              <w:r>
                <w:rPr>
                  <w:rFonts w:ascii="Arial" w:cs="Arial" w:eastAsia="Arial" w:hAnsi="Arial"/>
                  <w:sz w:val="18"/>
                  <w:szCs w:val="18"/>
                  <w:color w:val="0000EE"/>
                  <w:w w:val="87"/>
                </w:rPr>
                <w:t>Section 6.13 Waiver of Past Defaults</w:t>
              </w:r>
            </w:hyperlink>
          </w:p>
        </w:tc>
        <w:tc>
          <w:tcPr>
            <w:tcW w:w="5740" w:type="dxa"/>
            <w:vAlign w:val="bottom"/>
            <w:gridSpan w:val="29"/>
          </w:tcPr>
          <w:p>
            <w:pPr>
              <w:spacing w:after="0"/>
              <w:rPr>
                <w:sz w:val="17"/>
                <w:szCs w:val="17"/>
                <w:color w:val="auto"/>
              </w:rPr>
            </w:pPr>
          </w:p>
        </w:tc>
        <w:tc>
          <w:tcPr>
            <w:tcW w:w="304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2500" w:type="dxa"/>
            <w:vAlign w:val="bottom"/>
            <w:tcBorders>
              <w:bottom w:val="single" w:sz="8" w:color="0000EE"/>
            </w:tcBorders>
            <w:gridSpan w:val="12"/>
          </w:tcPr>
          <w:p>
            <w:pPr>
              <w:spacing w:after="0" w:line="196" w:lineRule="exact"/>
              <w:rPr>
                <w:rFonts w:ascii="Arial" w:cs="Arial" w:eastAsia="Arial" w:hAnsi="Arial"/>
                <w:sz w:val="18"/>
                <w:szCs w:val="18"/>
                <w:color w:val="0000EE"/>
                <w:w w:val="88"/>
              </w:rPr>
            </w:pPr>
            <w:hyperlink w:anchor="page45">
              <w:r>
                <w:rPr>
                  <w:rFonts w:ascii="Arial" w:cs="Arial" w:eastAsia="Arial" w:hAnsi="Arial"/>
                  <w:sz w:val="18"/>
                  <w:szCs w:val="18"/>
                  <w:color w:val="0000EE"/>
                  <w:w w:val="88"/>
                </w:rPr>
                <w:t>Section 6.14 Undertaking for Costs</w:t>
              </w:r>
            </w:hyperlink>
          </w:p>
        </w:tc>
        <w:tc>
          <w:tcPr>
            <w:tcW w:w="5840" w:type="dxa"/>
            <w:vAlign w:val="bottom"/>
            <w:gridSpan w:val="30"/>
          </w:tcPr>
          <w:p>
            <w:pPr>
              <w:spacing w:after="0"/>
              <w:rPr>
                <w:sz w:val="17"/>
                <w:szCs w:val="17"/>
                <w:color w:val="auto"/>
              </w:rPr>
            </w:pPr>
          </w:p>
        </w:tc>
        <w:tc>
          <w:tcPr>
            <w:tcW w:w="304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412"/>
        </w:trPr>
        <w:tc>
          <w:tcPr>
            <w:tcW w:w="1180" w:type="dxa"/>
            <w:vAlign w:val="bottom"/>
            <w:tcBorders>
              <w:bottom w:val="single" w:sz="8" w:color="0000EE"/>
            </w:tcBorders>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ARTICLE VII</w:t>
              </w:r>
            </w:hyperlink>
          </w:p>
        </w:tc>
        <w:tc>
          <w:tcPr>
            <w:tcW w:w="980" w:type="dxa"/>
            <w:vAlign w:val="bottom"/>
            <w:tcBorders>
              <w:bottom w:val="single" w:sz="8" w:color="0000EE"/>
            </w:tcBorders>
            <w:gridSpan w:val="5"/>
          </w:tcPr>
          <w:p>
            <w:pPr>
              <w:ind w:left="200"/>
              <w:spacing w:after="0"/>
              <w:rPr>
                <w:rFonts w:ascii="Arial" w:cs="Arial" w:eastAsia="Arial" w:hAnsi="Arial"/>
                <w:sz w:val="18"/>
                <w:szCs w:val="18"/>
                <w:color w:val="0000EE"/>
                <w:w w:val="90"/>
              </w:rPr>
            </w:pPr>
            <w:hyperlink w:anchor="page45">
              <w:r>
                <w:rPr>
                  <w:rFonts w:ascii="Arial" w:cs="Arial" w:eastAsia="Arial" w:hAnsi="Arial"/>
                  <w:sz w:val="18"/>
                  <w:szCs w:val="18"/>
                  <w:color w:val="0000EE"/>
                  <w:w w:val="90"/>
                </w:rPr>
                <w:t>TRUSTEE</w:t>
              </w:r>
            </w:hyperlink>
          </w:p>
        </w:tc>
        <w:tc>
          <w:tcPr>
            <w:tcW w:w="6180" w:type="dxa"/>
            <w:vAlign w:val="bottom"/>
            <w:gridSpan w:val="36"/>
          </w:tcPr>
          <w:p>
            <w:pPr>
              <w:spacing w:after="0"/>
              <w:rPr>
                <w:sz w:val="24"/>
                <w:szCs w:val="24"/>
                <w:color w:val="auto"/>
              </w:rPr>
            </w:pPr>
          </w:p>
        </w:tc>
        <w:tc>
          <w:tcPr>
            <w:tcW w:w="30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412"/>
        </w:trPr>
        <w:tc>
          <w:tcPr>
            <w:tcW w:w="8340" w:type="dxa"/>
            <w:vAlign w:val="bottom"/>
            <w:gridSpan w:val="42"/>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Section 7.01 Duties of Trustee</w:t>
              </w:r>
            </w:hyperlink>
          </w:p>
        </w:tc>
        <w:tc>
          <w:tcPr>
            <w:tcW w:w="30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0"/>
        </w:trPr>
        <w:tc>
          <w:tcPr>
            <w:tcW w:w="15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2980" w:type="dxa"/>
            <w:vAlign w:val="bottom"/>
            <w:gridSpan w:val="3"/>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r>
      <w:tr>
        <w:trPr>
          <w:trHeight w:val="196"/>
        </w:trPr>
        <w:tc>
          <w:tcPr>
            <w:tcW w:w="8340" w:type="dxa"/>
            <w:vAlign w:val="bottom"/>
            <w:gridSpan w:val="42"/>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Section 7.02 Rights of Trustee</w:t>
              </w:r>
            </w:hyperlink>
          </w:p>
        </w:tc>
        <w:tc>
          <w:tcPr>
            <w:tcW w:w="304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20"/>
        </w:trPr>
        <w:tc>
          <w:tcPr>
            <w:tcW w:w="15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2980" w:type="dxa"/>
            <w:vAlign w:val="bottom"/>
            <w:gridSpan w:val="3"/>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r>
      <w:tr>
        <w:trPr>
          <w:trHeight w:val="196"/>
        </w:trPr>
        <w:tc>
          <w:tcPr>
            <w:tcW w:w="2920" w:type="dxa"/>
            <w:vAlign w:val="bottom"/>
            <w:tcBorders>
              <w:bottom w:val="single" w:sz="8" w:color="0000EE"/>
            </w:tcBorders>
            <w:gridSpan w:val="19"/>
          </w:tcPr>
          <w:p>
            <w:pPr>
              <w:spacing w:after="0" w:line="196" w:lineRule="exact"/>
              <w:rPr>
                <w:rFonts w:ascii="Arial" w:cs="Arial" w:eastAsia="Arial" w:hAnsi="Arial"/>
                <w:sz w:val="18"/>
                <w:szCs w:val="18"/>
                <w:color w:val="0000EE"/>
                <w:w w:val="89"/>
              </w:rPr>
            </w:pPr>
            <w:hyperlink w:anchor="page47">
              <w:r>
                <w:rPr>
                  <w:rFonts w:ascii="Arial" w:cs="Arial" w:eastAsia="Arial" w:hAnsi="Arial"/>
                  <w:sz w:val="18"/>
                  <w:szCs w:val="18"/>
                  <w:color w:val="0000EE"/>
                  <w:w w:val="89"/>
                </w:rPr>
                <w:t>Section 7.03 Individual Rights of Trustee</w:t>
              </w:r>
            </w:hyperlink>
          </w:p>
        </w:tc>
        <w:tc>
          <w:tcPr>
            <w:tcW w:w="5420" w:type="dxa"/>
            <w:vAlign w:val="bottom"/>
            <w:gridSpan w:val="23"/>
          </w:tcPr>
          <w:p>
            <w:pPr>
              <w:spacing w:after="0"/>
              <w:rPr>
                <w:sz w:val="17"/>
                <w:szCs w:val="17"/>
                <w:color w:val="auto"/>
              </w:rPr>
            </w:pPr>
          </w:p>
        </w:tc>
        <w:tc>
          <w:tcPr>
            <w:tcW w:w="304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8340" w:type="dxa"/>
            <w:vAlign w:val="bottom"/>
            <w:gridSpan w:val="42"/>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Section 7.04 Trustee's Disclaimer</w:t>
              </w:r>
            </w:hyperlink>
          </w:p>
        </w:tc>
        <w:tc>
          <w:tcPr>
            <w:tcW w:w="304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2360" w:type="dxa"/>
            <w:vAlign w:val="bottom"/>
            <w:tcBorders>
              <w:top w:val="single" w:sz="8" w:color="0000EE"/>
            </w:tcBorders>
            <w:gridSpan w:val="10"/>
          </w:tcPr>
          <w:p>
            <w:pPr>
              <w:spacing w:after="0" w:line="196" w:lineRule="exact"/>
              <w:rPr>
                <w:rFonts w:ascii="Arial" w:cs="Arial" w:eastAsia="Arial" w:hAnsi="Arial"/>
                <w:sz w:val="18"/>
                <w:szCs w:val="18"/>
                <w:color w:val="0000EE"/>
                <w:w w:val="94"/>
              </w:rPr>
            </w:pPr>
            <w:hyperlink w:anchor="page47">
              <w:r>
                <w:rPr>
                  <w:rFonts w:ascii="Arial" w:cs="Arial" w:eastAsia="Arial" w:hAnsi="Arial"/>
                  <w:sz w:val="18"/>
                  <w:szCs w:val="18"/>
                  <w:color w:val="0000EE"/>
                  <w:w w:val="94"/>
                </w:rPr>
                <w:t>Section 7.05 Notice of Defaults</w:t>
              </w:r>
            </w:hyperlink>
          </w:p>
        </w:tc>
        <w:tc>
          <w:tcPr>
            <w:tcW w:w="5980" w:type="dxa"/>
            <w:vAlign w:val="bottom"/>
            <w:gridSpan w:val="32"/>
          </w:tcPr>
          <w:p>
            <w:pPr>
              <w:spacing w:after="0"/>
              <w:rPr>
                <w:sz w:val="17"/>
                <w:szCs w:val="17"/>
                <w:color w:val="auto"/>
              </w:rPr>
            </w:pPr>
          </w:p>
        </w:tc>
        <w:tc>
          <w:tcPr>
            <w:tcW w:w="304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20"/>
        </w:trPr>
        <w:tc>
          <w:tcPr>
            <w:tcW w:w="15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2980" w:type="dxa"/>
            <w:vAlign w:val="bottom"/>
            <w:gridSpan w:val="3"/>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r>
      <w:tr>
        <w:trPr>
          <w:trHeight w:val="196"/>
        </w:trPr>
        <w:tc>
          <w:tcPr>
            <w:tcW w:w="3040" w:type="dxa"/>
            <w:vAlign w:val="bottom"/>
            <w:tcBorders>
              <w:bottom w:val="single" w:sz="8" w:color="0000EE"/>
            </w:tcBorders>
            <w:gridSpan w:val="21"/>
          </w:tcPr>
          <w:p>
            <w:pPr>
              <w:spacing w:after="0" w:line="196" w:lineRule="exact"/>
              <w:rPr>
                <w:rFonts w:ascii="Arial" w:cs="Arial" w:eastAsia="Arial" w:hAnsi="Arial"/>
                <w:sz w:val="18"/>
                <w:szCs w:val="18"/>
                <w:color w:val="0000EE"/>
                <w:w w:val="87"/>
              </w:rPr>
            </w:pPr>
            <w:hyperlink w:anchor="page47">
              <w:r>
                <w:rPr>
                  <w:rFonts w:ascii="Arial" w:cs="Arial" w:eastAsia="Arial" w:hAnsi="Arial"/>
                  <w:sz w:val="18"/>
                  <w:szCs w:val="18"/>
                  <w:color w:val="0000EE"/>
                  <w:w w:val="87"/>
                </w:rPr>
                <w:t>Section 7.06 Reports by Trustee to Holders</w:t>
              </w:r>
            </w:hyperlink>
          </w:p>
        </w:tc>
        <w:tc>
          <w:tcPr>
            <w:tcW w:w="5300" w:type="dxa"/>
            <w:vAlign w:val="bottom"/>
            <w:gridSpan w:val="21"/>
          </w:tcPr>
          <w:p>
            <w:pPr>
              <w:spacing w:after="0"/>
              <w:rPr>
                <w:sz w:val="17"/>
                <w:szCs w:val="17"/>
                <w:color w:val="auto"/>
              </w:rPr>
            </w:pPr>
          </w:p>
        </w:tc>
        <w:tc>
          <w:tcPr>
            <w:tcW w:w="304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8340" w:type="dxa"/>
            <w:vAlign w:val="bottom"/>
            <w:gridSpan w:val="42"/>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Section 7.07 Compensation and Indemnity</w:t>
              </w:r>
            </w:hyperlink>
          </w:p>
        </w:tc>
        <w:tc>
          <w:tcPr>
            <w:tcW w:w="304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300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Section 7.08 Replacement of Trustee</w:t>
              </w:r>
            </w:hyperlink>
          </w:p>
        </w:tc>
        <w:tc>
          <w:tcPr>
            <w:tcW w:w="5340" w:type="dxa"/>
            <w:vAlign w:val="bottom"/>
            <w:gridSpan w:val="22"/>
          </w:tcPr>
          <w:p>
            <w:pPr>
              <w:spacing w:after="0"/>
              <w:rPr>
                <w:sz w:val="17"/>
                <w:szCs w:val="17"/>
                <w:color w:val="auto"/>
              </w:rPr>
            </w:pPr>
          </w:p>
        </w:tc>
        <w:tc>
          <w:tcPr>
            <w:tcW w:w="304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20"/>
        </w:trPr>
        <w:tc>
          <w:tcPr>
            <w:tcW w:w="15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00" w:type="dxa"/>
            <w:vAlign w:val="bottom"/>
            <w:gridSpan w:val="5"/>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2980" w:type="dxa"/>
            <w:vAlign w:val="bottom"/>
            <w:gridSpan w:val="3"/>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r>
      <w:tr>
        <w:trPr>
          <w:trHeight w:val="196"/>
        </w:trPr>
        <w:tc>
          <w:tcPr>
            <w:tcW w:w="3260" w:type="dxa"/>
            <w:vAlign w:val="bottom"/>
            <w:tcBorders>
              <w:bottom w:val="single" w:sz="8" w:color="0000EE"/>
            </w:tcBorders>
            <w:gridSpan w:val="24"/>
          </w:tcPr>
          <w:p>
            <w:pPr>
              <w:spacing w:after="0" w:line="196" w:lineRule="exact"/>
              <w:rPr>
                <w:rFonts w:ascii="Arial" w:cs="Arial" w:eastAsia="Arial" w:hAnsi="Arial"/>
                <w:sz w:val="18"/>
                <w:szCs w:val="18"/>
                <w:color w:val="0000EE"/>
                <w:w w:val="86"/>
              </w:rPr>
            </w:pPr>
            <w:hyperlink w:anchor="page48">
              <w:r>
                <w:rPr>
                  <w:rFonts w:ascii="Arial" w:cs="Arial" w:eastAsia="Arial" w:hAnsi="Arial"/>
                  <w:sz w:val="18"/>
                  <w:szCs w:val="18"/>
                  <w:color w:val="0000EE"/>
                  <w:w w:val="86"/>
                </w:rPr>
                <w:t>Section 7.09 Successor Trustee by Merger, etc</w:t>
              </w:r>
            </w:hyperlink>
          </w:p>
        </w:tc>
        <w:tc>
          <w:tcPr>
            <w:tcW w:w="5080" w:type="dxa"/>
            <w:vAlign w:val="bottom"/>
            <w:gridSpan w:val="18"/>
          </w:tcPr>
          <w:p>
            <w:pPr>
              <w:spacing w:after="0"/>
              <w:rPr>
                <w:sz w:val="17"/>
                <w:szCs w:val="17"/>
                <w:color w:val="auto"/>
              </w:rPr>
            </w:pPr>
          </w:p>
        </w:tc>
        <w:tc>
          <w:tcPr>
            <w:tcW w:w="304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196"/>
        </w:trPr>
        <w:tc>
          <w:tcPr>
            <w:tcW w:w="8340" w:type="dxa"/>
            <w:vAlign w:val="bottom"/>
            <w:gridSpan w:val="42"/>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Section 7.10 Eligibility; Disqualification</w:t>
              </w:r>
            </w:hyperlink>
          </w:p>
        </w:tc>
        <w:tc>
          <w:tcPr>
            <w:tcW w:w="304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20"/>
        </w:trPr>
        <w:tc>
          <w:tcPr>
            <w:tcW w:w="15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00" w:type="dxa"/>
            <w:vAlign w:val="bottom"/>
            <w:gridSpan w:val="5"/>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340" w:type="dxa"/>
            <w:vAlign w:val="bottom"/>
            <w:gridSpan w:val="6"/>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2980" w:type="dxa"/>
            <w:vAlign w:val="bottom"/>
            <w:gridSpan w:val="3"/>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r>
      <w:tr>
        <w:trPr>
          <w:trHeight w:val="196"/>
        </w:trPr>
        <w:tc>
          <w:tcPr>
            <w:tcW w:w="8340" w:type="dxa"/>
            <w:vAlign w:val="bottom"/>
            <w:gridSpan w:val="42"/>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Section 7.11 Preferential Collection of Claims Against Company</w:t>
              </w:r>
            </w:hyperlink>
          </w:p>
        </w:tc>
        <w:tc>
          <w:tcPr>
            <w:tcW w:w="304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20"/>
        </w:trPr>
        <w:tc>
          <w:tcPr>
            <w:tcW w:w="11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00" w:type="dxa"/>
            <w:vAlign w:val="bottom"/>
            <w:gridSpan w:val="5"/>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340" w:type="dxa"/>
            <w:vAlign w:val="bottom"/>
            <w:gridSpan w:val="6"/>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2980" w:type="dxa"/>
            <w:vAlign w:val="bottom"/>
            <w:gridSpan w:val="3"/>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r>
      <w:tr>
        <w:trPr>
          <w:trHeight w:val="412"/>
        </w:trPr>
        <w:tc>
          <w:tcPr>
            <w:tcW w:w="1180" w:type="dxa"/>
            <w:vAlign w:val="bottom"/>
            <w:tcBorders>
              <w:bottom w:val="single" w:sz="8" w:color="0000EE"/>
            </w:tcBorders>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ARTICLE VIII</w:t>
              </w:r>
            </w:hyperlink>
          </w:p>
        </w:tc>
        <w:tc>
          <w:tcPr>
            <w:tcW w:w="4180" w:type="dxa"/>
            <w:vAlign w:val="bottom"/>
            <w:tcBorders>
              <w:bottom w:val="single" w:sz="8" w:color="0000EE"/>
            </w:tcBorders>
            <w:gridSpan w:val="38"/>
          </w:tcPr>
          <w:p>
            <w:pPr>
              <w:ind w:left="260"/>
              <w:spacing w:after="0"/>
              <w:rPr>
                <w:rFonts w:ascii="Arial" w:cs="Arial" w:eastAsia="Arial" w:hAnsi="Arial"/>
                <w:sz w:val="18"/>
                <w:szCs w:val="18"/>
                <w:color w:val="0000EE"/>
                <w:w w:val="93"/>
              </w:rPr>
            </w:pPr>
            <w:hyperlink w:anchor="page48">
              <w:r>
                <w:rPr>
                  <w:rFonts w:ascii="Arial" w:cs="Arial" w:eastAsia="Arial" w:hAnsi="Arial"/>
                  <w:sz w:val="18"/>
                  <w:szCs w:val="18"/>
                  <w:color w:val="0000EE"/>
                  <w:w w:val="93"/>
                </w:rPr>
                <w:t>SATISFACTION AND DISCHARGE; DEFEASANCE</w:t>
              </w:r>
            </w:hyperlink>
          </w:p>
        </w:tc>
        <w:tc>
          <w:tcPr>
            <w:tcW w:w="2980" w:type="dxa"/>
            <w:vAlign w:val="bottom"/>
            <w:gridSpan w:val="3"/>
          </w:tcPr>
          <w:p>
            <w:pPr>
              <w:spacing w:after="0"/>
              <w:rPr>
                <w:sz w:val="24"/>
                <w:szCs w:val="24"/>
                <w:color w:val="auto"/>
              </w:rPr>
            </w:pPr>
          </w:p>
        </w:tc>
        <w:tc>
          <w:tcPr>
            <w:tcW w:w="30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412"/>
        </w:trPr>
        <w:tc>
          <w:tcPr>
            <w:tcW w:w="3720" w:type="dxa"/>
            <w:vAlign w:val="bottom"/>
            <w:tcBorders>
              <w:bottom w:val="single" w:sz="8" w:color="0000EE"/>
            </w:tcBorders>
            <w:gridSpan w:val="32"/>
          </w:tcPr>
          <w:p>
            <w:pPr>
              <w:spacing w:after="0"/>
              <w:rPr>
                <w:rFonts w:ascii="Arial" w:cs="Arial" w:eastAsia="Arial" w:hAnsi="Arial"/>
                <w:sz w:val="18"/>
                <w:szCs w:val="18"/>
                <w:color w:val="0000EE"/>
                <w:w w:val="88"/>
              </w:rPr>
            </w:pPr>
            <w:hyperlink w:anchor="page48">
              <w:r>
                <w:rPr>
                  <w:rFonts w:ascii="Arial" w:cs="Arial" w:eastAsia="Arial" w:hAnsi="Arial"/>
                  <w:sz w:val="18"/>
                  <w:szCs w:val="18"/>
                  <w:color w:val="0000EE"/>
                  <w:w w:val="88"/>
                </w:rPr>
                <w:t>Section 8.01 Satisfaction and Discharge of Indenture</w:t>
              </w:r>
            </w:hyperlink>
          </w:p>
        </w:tc>
        <w:tc>
          <w:tcPr>
            <w:tcW w:w="4620" w:type="dxa"/>
            <w:vAlign w:val="bottom"/>
            <w:gridSpan w:val="10"/>
          </w:tcPr>
          <w:p>
            <w:pPr>
              <w:spacing w:after="0"/>
              <w:rPr>
                <w:sz w:val="24"/>
                <w:szCs w:val="24"/>
                <w:color w:val="auto"/>
              </w:rPr>
            </w:pPr>
          </w:p>
        </w:tc>
        <w:tc>
          <w:tcPr>
            <w:tcW w:w="30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196"/>
        </w:trPr>
        <w:tc>
          <w:tcPr>
            <w:tcW w:w="8340" w:type="dxa"/>
            <w:vAlign w:val="bottom"/>
            <w:gridSpan w:val="42"/>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Section 8.02 Application of Trust Funds; Indemnification</w:t>
              </w:r>
            </w:hyperlink>
          </w:p>
        </w:tc>
        <w:tc>
          <w:tcPr>
            <w:tcW w:w="304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20"/>
        </w:trPr>
        <w:tc>
          <w:tcPr>
            <w:tcW w:w="15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00" w:type="dxa"/>
            <w:vAlign w:val="bottom"/>
            <w:gridSpan w:val="5"/>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340" w:type="dxa"/>
            <w:vAlign w:val="bottom"/>
            <w:gridSpan w:val="6"/>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80" w:type="dxa"/>
            <w:vAlign w:val="bottom"/>
            <w:gridSpan w:val="7"/>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r>
      <w:tr>
        <w:trPr>
          <w:trHeight w:val="196"/>
        </w:trPr>
        <w:tc>
          <w:tcPr>
            <w:tcW w:w="8340" w:type="dxa"/>
            <w:vAlign w:val="bottom"/>
            <w:gridSpan w:val="42"/>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Section 8.03 Legal Defeasance of Securities of any Series</w:t>
              </w:r>
            </w:hyperlink>
          </w:p>
        </w:tc>
        <w:tc>
          <w:tcPr>
            <w:tcW w:w="304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196"/>
        </w:trPr>
        <w:tc>
          <w:tcPr>
            <w:tcW w:w="246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86"/>
              </w:rPr>
            </w:pPr>
            <w:hyperlink w:anchor="page51">
              <w:r>
                <w:rPr>
                  <w:rFonts w:ascii="Arial" w:cs="Arial" w:eastAsia="Arial" w:hAnsi="Arial"/>
                  <w:sz w:val="18"/>
                  <w:szCs w:val="18"/>
                  <w:color w:val="0000EE"/>
                  <w:w w:val="86"/>
                </w:rPr>
                <w:t>Section 8.04 Covenant Defeasance</w:t>
              </w:r>
            </w:hyperlink>
          </w:p>
        </w:tc>
        <w:tc>
          <w:tcPr>
            <w:tcW w:w="1600" w:type="dxa"/>
            <w:vAlign w:val="bottom"/>
            <w:tcBorders>
              <w:top w:val="single" w:sz="8" w:color="0000EE"/>
            </w:tcBorders>
            <w:gridSpan w:val="24"/>
          </w:tcPr>
          <w:p>
            <w:pPr>
              <w:spacing w:after="0"/>
              <w:rPr>
                <w:sz w:val="17"/>
                <w:szCs w:val="17"/>
                <w:color w:val="auto"/>
              </w:rPr>
            </w:pPr>
          </w:p>
        </w:tc>
        <w:tc>
          <w:tcPr>
            <w:tcW w:w="4280" w:type="dxa"/>
            <w:vAlign w:val="bottom"/>
            <w:gridSpan w:val="7"/>
          </w:tcPr>
          <w:p>
            <w:pPr>
              <w:spacing w:after="0"/>
              <w:rPr>
                <w:sz w:val="17"/>
                <w:szCs w:val="17"/>
                <w:color w:val="auto"/>
              </w:rPr>
            </w:pPr>
          </w:p>
        </w:tc>
        <w:tc>
          <w:tcPr>
            <w:tcW w:w="304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196"/>
        </w:trPr>
        <w:tc>
          <w:tcPr>
            <w:tcW w:w="2640" w:type="dxa"/>
            <w:vAlign w:val="bottom"/>
            <w:tcBorders>
              <w:bottom w:val="single" w:sz="8" w:color="0000EE"/>
            </w:tcBorders>
            <w:gridSpan w:val="14"/>
          </w:tcPr>
          <w:p>
            <w:pPr>
              <w:spacing w:after="0" w:line="196" w:lineRule="exact"/>
              <w:rPr>
                <w:rFonts w:ascii="Arial" w:cs="Arial" w:eastAsia="Arial" w:hAnsi="Arial"/>
                <w:sz w:val="18"/>
                <w:szCs w:val="18"/>
                <w:color w:val="0000EE"/>
                <w:w w:val="87"/>
              </w:rPr>
            </w:pPr>
            <w:hyperlink w:anchor="page52">
              <w:r>
                <w:rPr>
                  <w:rFonts w:ascii="Arial" w:cs="Arial" w:eastAsia="Arial" w:hAnsi="Arial"/>
                  <w:sz w:val="18"/>
                  <w:szCs w:val="18"/>
                  <w:color w:val="0000EE"/>
                  <w:w w:val="87"/>
                </w:rPr>
                <w:t>Section 8.05 Repayment to Company</w:t>
              </w:r>
            </w:hyperlink>
          </w:p>
        </w:tc>
        <w:tc>
          <w:tcPr>
            <w:tcW w:w="5700" w:type="dxa"/>
            <w:vAlign w:val="bottom"/>
            <w:gridSpan w:val="28"/>
          </w:tcPr>
          <w:p>
            <w:pPr>
              <w:spacing w:after="0"/>
              <w:rPr>
                <w:sz w:val="17"/>
                <w:szCs w:val="17"/>
                <w:color w:val="auto"/>
              </w:rPr>
            </w:pPr>
          </w:p>
        </w:tc>
        <w:tc>
          <w:tcPr>
            <w:tcW w:w="304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196"/>
        </w:trPr>
        <w:tc>
          <w:tcPr>
            <w:tcW w:w="1940" w:type="dxa"/>
            <w:vAlign w:val="bottom"/>
            <w:tcBorders>
              <w:bottom w:val="single" w:sz="8" w:color="0000EE"/>
            </w:tcBorders>
            <w:gridSpan w:val="4"/>
          </w:tcPr>
          <w:p>
            <w:pPr>
              <w:spacing w:after="0" w:line="196" w:lineRule="exact"/>
              <w:rPr>
                <w:rFonts w:ascii="Arial" w:cs="Arial" w:eastAsia="Arial" w:hAnsi="Arial"/>
                <w:sz w:val="18"/>
                <w:szCs w:val="18"/>
                <w:color w:val="0000EE"/>
                <w:w w:val="86"/>
              </w:rPr>
            </w:pPr>
            <w:hyperlink w:anchor="page52">
              <w:r>
                <w:rPr>
                  <w:rFonts w:ascii="Arial" w:cs="Arial" w:eastAsia="Arial" w:hAnsi="Arial"/>
                  <w:sz w:val="18"/>
                  <w:szCs w:val="18"/>
                  <w:color w:val="0000EE"/>
                  <w:w w:val="86"/>
                </w:rPr>
                <w:t>Section 8.06 Reinstatement</w:t>
              </w:r>
            </w:hyperlink>
          </w:p>
        </w:tc>
        <w:tc>
          <w:tcPr>
            <w:tcW w:w="6400" w:type="dxa"/>
            <w:vAlign w:val="bottom"/>
            <w:gridSpan w:val="38"/>
          </w:tcPr>
          <w:p>
            <w:pPr>
              <w:spacing w:after="0"/>
              <w:rPr>
                <w:sz w:val="17"/>
                <w:szCs w:val="17"/>
                <w:color w:val="auto"/>
              </w:rPr>
            </w:pPr>
          </w:p>
        </w:tc>
        <w:tc>
          <w:tcPr>
            <w:tcW w:w="304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412"/>
        </w:trPr>
        <w:tc>
          <w:tcPr>
            <w:tcW w:w="1180" w:type="dxa"/>
            <w:vAlign w:val="bottom"/>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ARTICLE IX</w:t>
              </w:r>
            </w:hyperlink>
          </w:p>
        </w:tc>
        <w:tc>
          <w:tcPr>
            <w:tcW w:w="7160" w:type="dxa"/>
            <w:vAlign w:val="bottom"/>
            <w:gridSpan w:val="41"/>
          </w:tcPr>
          <w:p>
            <w:pPr>
              <w:ind w:left="140"/>
              <w:spacing w:after="0"/>
              <w:rPr>
                <w:rFonts w:ascii="Arial" w:cs="Arial" w:eastAsia="Arial" w:hAnsi="Arial"/>
                <w:sz w:val="18"/>
                <w:szCs w:val="18"/>
                <w:color w:val="0000EE"/>
              </w:rPr>
            </w:pPr>
            <w:hyperlink w:anchor="page52">
              <w:r>
                <w:rPr>
                  <w:rFonts w:ascii="Arial" w:cs="Arial" w:eastAsia="Arial" w:hAnsi="Arial"/>
                  <w:sz w:val="18"/>
                  <w:szCs w:val="18"/>
                  <w:color w:val="0000EE"/>
                </w:rPr>
                <w:t>AMENDMENTS AND WAIVERS</w:t>
              </w:r>
            </w:hyperlink>
          </w:p>
        </w:tc>
        <w:tc>
          <w:tcPr>
            <w:tcW w:w="30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412"/>
        </w:trPr>
        <w:tc>
          <w:tcPr>
            <w:tcW w:w="3800" w:type="dxa"/>
            <w:vAlign w:val="bottom"/>
            <w:tcBorders>
              <w:top w:val="single" w:sz="8" w:color="0000EE"/>
            </w:tcBorders>
            <w:gridSpan w:val="33"/>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Section 9.01 Without Consent of Holders</w:t>
              </w:r>
            </w:hyperlink>
          </w:p>
        </w:tc>
        <w:tc>
          <w:tcPr>
            <w:tcW w:w="4540" w:type="dxa"/>
            <w:vAlign w:val="bottom"/>
            <w:gridSpan w:val="9"/>
          </w:tcPr>
          <w:p>
            <w:pPr>
              <w:spacing w:after="0"/>
              <w:rPr>
                <w:sz w:val="24"/>
                <w:szCs w:val="24"/>
                <w:color w:val="auto"/>
              </w:rPr>
            </w:pPr>
          </w:p>
        </w:tc>
        <w:tc>
          <w:tcPr>
            <w:tcW w:w="30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196"/>
        </w:trPr>
        <w:tc>
          <w:tcPr>
            <w:tcW w:w="2900" w:type="dxa"/>
            <w:vAlign w:val="bottom"/>
            <w:tcBorders>
              <w:top w:val="single" w:sz="8" w:color="0000EE"/>
            </w:tcBorders>
            <w:gridSpan w:val="18"/>
          </w:tcPr>
          <w:p>
            <w:pPr>
              <w:spacing w:after="0" w:line="196" w:lineRule="exact"/>
              <w:rPr>
                <w:rFonts w:ascii="Arial" w:cs="Arial" w:eastAsia="Arial" w:hAnsi="Arial"/>
                <w:sz w:val="18"/>
                <w:szCs w:val="18"/>
                <w:color w:val="0000EE"/>
                <w:w w:val="95"/>
              </w:rPr>
            </w:pPr>
            <w:hyperlink w:anchor="page53">
              <w:r>
                <w:rPr>
                  <w:rFonts w:ascii="Arial" w:cs="Arial" w:eastAsia="Arial" w:hAnsi="Arial"/>
                  <w:sz w:val="18"/>
                  <w:szCs w:val="18"/>
                  <w:color w:val="0000EE"/>
                  <w:w w:val="95"/>
                </w:rPr>
                <w:t>Section 9.02 With Consent of Holders</w:t>
              </w:r>
            </w:hyperlink>
          </w:p>
        </w:tc>
        <w:tc>
          <w:tcPr>
            <w:tcW w:w="5440" w:type="dxa"/>
            <w:vAlign w:val="bottom"/>
            <w:gridSpan w:val="24"/>
          </w:tcPr>
          <w:p>
            <w:pPr>
              <w:spacing w:after="0"/>
              <w:rPr>
                <w:sz w:val="17"/>
                <w:szCs w:val="17"/>
                <w:color w:val="auto"/>
              </w:rPr>
            </w:pPr>
          </w:p>
        </w:tc>
        <w:tc>
          <w:tcPr>
            <w:tcW w:w="304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196"/>
        </w:trPr>
        <w:tc>
          <w:tcPr>
            <w:tcW w:w="17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9"/>
              </w:rPr>
            </w:pPr>
            <w:hyperlink w:anchor="page53">
              <w:r>
                <w:rPr>
                  <w:rFonts w:ascii="Arial" w:cs="Arial" w:eastAsia="Arial" w:hAnsi="Arial"/>
                  <w:sz w:val="18"/>
                  <w:szCs w:val="18"/>
                  <w:color w:val="0000EE"/>
                  <w:w w:val="89"/>
                </w:rPr>
                <w:t>Section 9.03 Limitations</w:t>
              </w:r>
            </w:hyperlink>
          </w:p>
        </w:tc>
        <w:tc>
          <w:tcPr>
            <w:tcW w:w="940" w:type="dxa"/>
            <w:vAlign w:val="bottom"/>
            <w:tcBorders>
              <w:top w:val="single" w:sz="8" w:color="0000EE"/>
            </w:tcBorders>
            <w:gridSpan w:val="12"/>
          </w:tcPr>
          <w:p>
            <w:pPr>
              <w:spacing w:after="0"/>
              <w:rPr>
                <w:sz w:val="17"/>
                <w:szCs w:val="17"/>
                <w:color w:val="auto"/>
              </w:rPr>
            </w:pPr>
          </w:p>
        </w:tc>
        <w:tc>
          <w:tcPr>
            <w:tcW w:w="5660" w:type="dxa"/>
            <w:vAlign w:val="bottom"/>
            <w:gridSpan w:val="27"/>
          </w:tcPr>
          <w:p>
            <w:pPr>
              <w:spacing w:after="0"/>
              <w:rPr>
                <w:sz w:val="17"/>
                <w:szCs w:val="17"/>
                <w:color w:val="auto"/>
              </w:rPr>
            </w:pPr>
          </w:p>
        </w:tc>
        <w:tc>
          <w:tcPr>
            <w:tcW w:w="304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196"/>
        </w:trPr>
        <w:tc>
          <w:tcPr>
            <w:tcW w:w="3560" w:type="dxa"/>
            <w:vAlign w:val="bottom"/>
            <w:tcBorders>
              <w:bottom w:val="single" w:sz="8" w:color="0000EE"/>
            </w:tcBorders>
            <w:gridSpan w:val="30"/>
          </w:tcPr>
          <w:p>
            <w:pPr>
              <w:spacing w:after="0" w:line="196" w:lineRule="exact"/>
              <w:rPr>
                <w:rFonts w:ascii="Arial" w:cs="Arial" w:eastAsia="Arial" w:hAnsi="Arial"/>
                <w:sz w:val="18"/>
                <w:szCs w:val="18"/>
                <w:color w:val="0000EE"/>
                <w:w w:val="89"/>
              </w:rPr>
            </w:pPr>
            <w:hyperlink w:anchor="page54">
              <w:r>
                <w:rPr>
                  <w:rFonts w:ascii="Arial" w:cs="Arial" w:eastAsia="Arial" w:hAnsi="Arial"/>
                  <w:sz w:val="18"/>
                  <w:szCs w:val="18"/>
                  <w:color w:val="0000EE"/>
                  <w:w w:val="89"/>
                </w:rPr>
                <w:t>Section 9.04 Compliance with Trust Indenture Act</w:t>
              </w:r>
            </w:hyperlink>
          </w:p>
        </w:tc>
        <w:tc>
          <w:tcPr>
            <w:tcW w:w="4780" w:type="dxa"/>
            <w:vAlign w:val="bottom"/>
            <w:gridSpan w:val="12"/>
          </w:tcPr>
          <w:p>
            <w:pPr>
              <w:spacing w:after="0"/>
              <w:rPr>
                <w:sz w:val="17"/>
                <w:szCs w:val="17"/>
                <w:color w:val="auto"/>
              </w:rPr>
            </w:pPr>
          </w:p>
        </w:tc>
        <w:tc>
          <w:tcPr>
            <w:tcW w:w="304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196"/>
        </w:trPr>
        <w:tc>
          <w:tcPr>
            <w:tcW w:w="3380" w:type="dxa"/>
            <w:vAlign w:val="bottom"/>
            <w:tcBorders>
              <w:bottom w:val="single" w:sz="8" w:color="0000EE"/>
            </w:tcBorders>
            <w:gridSpan w:val="27"/>
          </w:tcPr>
          <w:p>
            <w:pPr>
              <w:spacing w:after="0" w:line="196" w:lineRule="exact"/>
              <w:rPr>
                <w:rFonts w:ascii="Arial" w:cs="Arial" w:eastAsia="Arial" w:hAnsi="Arial"/>
                <w:sz w:val="18"/>
                <w:szCs w:val="18"/>
                <w:color w:val="0000EE"/>
                <w:w w:val="87"/>
              </w:rPr>
            </w:pPr>
            <w:hyperlink w:anchor="page54">
              <w:r>
                <w:rPr>
                  <w:rFonts w:ascii="Arial" w:cs="Arial" w:eastAsia="Arial" w:hAnsi="Arial"/>
                  <w:sz w:val="18"/>
                  <w:szCs w:val="18"/>
                  <w:color w:val="0000EE"/>
                  <w:w w:val="87"/>
                </w:rPr>
                <w:t>Section 9.05 Revocation and Effect of Consents</w:t>
              </w:r>
            </w:hyperlink>
          </w:p>
        </w:tc>
        <w:tc>
          <w:tcPr>
            <w:tcW w:w="4960" w:type="dxa"/>
            <w:vAlign w:val="bottom"/>
            <w:gridSpan w:val="15"/>
          </w:tcPr>
          <w:p>
            <w:pPr>
              <w:spacing w:after="0"/>
              <w:rPr>
                <w:sz w:val="17"/>
                <w:szCs w:val="17"/>
                <w:color w:val="auto"/>
              </w:rPr>
            </w:pPr>
          </w:p>
        </w:tc>
        <w:tc>
          <w:tcPr>
            <w:tcW w:w="304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196"/>
        </w:trPr>
        <w:tc>
          <w:tcPr>
            <w:tcW w:w="3620" w:type="dxa"/>
            <w:vAlign w:val="bottom"/>
            <w:tcBorders>
              <w:bottom w:val="single" w:sz="8" w:color="0000EE"/>
            </w:tcBorders>
            <w:gridSpan w:val="31"/>
          </w:tcPr>
          <w:p>
            <w:pPr>
              <w:spacing w:after="0" w:line="196" w:lineRule="exact"/>
              <w:rPr>
                <w:rFonts w:ascii="Arial" w:cs="Arial" w:eastAsia="Arial" w:hAnsi="Arial"/>
                <w:sz w:val="18"/>
                <w:szCs w:val="18"/>
                <w:color w:val="0000EE"/>
                <w:w w:val="88"/>
              </w:rPr>
            </w:pPr>
            <w:hyperlink w:anchor="page54">
              <w:r>
                <w:rPr>
                  <w:rFonts w:ascii="Arial" w:cs="Arial" w:eastAsia="Arial" w:hAnsi="Arial"/>
                  <w:sz w:val="18"/>
                  <w:szCs w:val="18"/>
                  <w:color w:val="0000EE"/>
                  <w:w w:val="88"/>
                </w:rPr>
                <w:t>Section 9.06 Notation on or Exchange of Securities</w:t>
              </w:r>
            </w:hyperlink>
          </w:p>
        </w:tc>
        <w:tc>
          <w:tcPr>
            <w:tcW w:w="4720" w:type="dxa"/>
            <w:vAlign w:val="bottom"/>
            <w:gridSpan w:val="11"/>
          </w:tcPr>
          <w:p>
            <w:pPr>
              <w:spacing w:after="0"/>
              <w:rPr>
                <w:sz w:val="17"/>
                <w:szCs w:val="17"/>
                <w:color w:val="auto"/>
              </w:rPr>
            </w:pPr>
          </w:p>
        </w:tc>
        <w:tc>
          <w:tcPr>
            <w:tcW w:w="304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196"/>
        </w:trPr>
        <w:tc>
          <w:tcPr>
            <w:tcW w:w="2160" w:type="dxa"/>
            <w:vAlign w:val="bottom"/>
            <w:tcBorders>
              <w:bottom w:val="single" w:sz="8" w:color="0000EE"/>
            </w:tcBorders>
            <w:gridSpan w:val="6"/>
          </w:tcPr>
          <w:p>
            <w:pPr>
              <w:spacing w:after="0" w:line="196" w:lineRule="exact"/>
              <w:rPr>
                <w:rFonts w:ascii="Arial" w:cs="Arial" w:eastAsia="Arial" w:hAnsi="Arial"/>
                <w:sz w:val="18"/>
                <w:szCs w:val="18"/>
                <w:color w:val="0000EE"/>
                <w:w w:val="86"/>
              </w:rPr>
            </w:pPr>
            <w:hyperlink w:anchor="page54">
              <w:r>
                <w:rPr>
                  <w:rFonts w:ascii="Arial" w:cs="Arial" w:eastAsia="Arial" w:hAnsi="Arial"/>
                  <w:sz w:val="18"/>
                  <w:szCs w:val="18"/>
                  <w:color w:val="0000EE"/>
                  <w:w w:val="86"/>
                </w:rPr>
                <w:t>Section 9.07 Trustee Protected</w:t>
              </w:r>
            </w:hyperlink>
          </w:p>
        </w:tc>
        <w:tc>
          <w:tcPr>
            <w:tcW w:w="6180" w:type="dxa"/>
            <w:vAlign w:val="bottom"/>
            <w:gridSpan w:val="36"/>
          </w:tcPr>
          <w:p>
            <w:pPr>
              <w:spacing w:after="0"/>
              <w:rPr>
                <w:sz w:val="17"/>
                <w:szCs w:val="17"/>
                <w:color w:val="auto"/>
              </w:rPr>
            </w:pPr>
          </w:p>
        </w:tc>
        <w:tc>
          <w:tcPr>
            <w:tcW w:w="304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412"/>
        </w:trPr>
        <w:tc>
          <w:tcPr>
            <w:tcW w:w="1180" w:type="dxa"/>
            <w:vAlign w:val="bottom"/>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ARTICLE X</w:t>
              </w:r>
            </w:hyperlink>
          </w:p>
        </w:tc>
        <w:tc>
          <w:tcPr>
            <w:tcW w:w="7160" w:type="dxa"/>
            <w:vAlign w:val="bottom"/>
            <w:gridSpan w:val="41"/>
          </w:tcPr>
          <w:p>
            <w:pPr>
              <w:ind w:left="80"/>
              <w:spacing w:after="0"/>
              <w:rPr>
                <w:rFonts w:ascii="Arial" w:cs="Arial" w:eastAsia="Arial" w:hAnsi="Arial"/>
                <w:sz w:val="18"/>
                <w:szCs w:val="18"/>
                <w:color w:val="0000EE"/>
              </w:rPr>
            </w:pPr>
            <w:hyperlink w:anchor="page54">
              <w:r>
                <w:rPr>
                  <w:rFonts w:ascii="Arial" w:cs="Arial" w:eastAsia="Arial" w:hAnsi="Arial"/>
                  <w:sz w:val="18"/>
                  <w:szCs w:val="18"/>
                  <w:color w:val="0000EE"/>
                </w:rPr>
                <w:t>MISCELLANEOUS</w:t>
              </w:r>
            </w:hyperlink>
          </w:p>
        </w:tc>
        <w:tc>
          <w:tcPr>
            <w:tcW w:w="30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0"/>
        </w:trPr>
        <w:tc>
          <w:tcPr>
            <w:tcW w:w="1560" w:type="dxa"/>
            <w:vAlign w:val="bottom"/>
            <w:gridSpan w:val="2"/>
            <w:shd w:val="clear" w:color="auto" w:fill="0000EE"/>
          </w:tcPr>
          <w:p>
            <w:pPr>
              <w:spacing w:after="0" w:line="20" w:lineRule="exact"/>
              <w:rPr>
                <w:sz w:val="1"/>
                <w:szCs w:val="1"/>
                <w:color w:val="auto"/>
              </w:rPr>
            </w:pPr>
          </w:p>
        </w:tc>
        <w:tc>
          <w:tcPr>
            <w:tcW w:w="1160" w:type="dxa"/>
            <w:vAlign w:val="bottom"/>
            <w:gridSpan w:val="14"/>
            <w:shd w:val="clear" w:color="auto" w:fill="0000EE"/>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5300" w:type="dxa"/>
            <w:vAlign w:val="bottom"/>
            <w:gridSpan w:val="21"/>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r>
      <w:tr>
        <w:trPr>
          <w:trHeight w:val="412"/>
        </w:trPr>
        <w:tc>
          <w:tcPr>
            <w:tcW w:w="8340" w:type="dxa"/>
            <w:vAlign w:val="bottom"/>
            <w:gridSpan w:val="42"/>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Section 10.01 Trust Indenture Act Controls</w:t>
              </w:r>
            </w:hyperlink>
          </w:p>
        </w:tc>
        <w:tc>
          <w:tcPr>
            <w:tcW w:w="30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196"/>
        </w:trPr>
        <w:tc>
          <w:tcPr>
            <w:tcW w:w="15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7"/>
              </w:rPr>
            </w:pPr>
            <w:hyperlink w:anchor="page54">
              <w:r>
                <w:rPr>
                  <w:rFonts w:ascii="Arial" w:cs="Arial" w:eastAsia="Arial" w:hAnsi="Arial"/>
                  <w:sz w:val="18"/>
                  <w:szCs w:val="18"/>
                  <w:color w:val="0000EE"/>
                  <w:w w:val="87"/>
                </w:rPr>
                <w:t>Section 10.02 Notices</w:t>
              </w:r>
            </w:hyperlink>
          </w:p>
        </w:tc>
        <w:tc>
          <w:tcPr>
            <w:tcW w:w="1480" w:type="dxa"/>
            <w:vAlign w:val="bottom"/>
            <w:tcBorders>
              <w:top w:val="single" w:sz="8" w:color="0000EE"/>
            </w:tcBorders>
            <w:gridSpan w:val="19"/>
          </w:tcPr>
          <w:p>
            <w:pPr>
              <w:spacing w:after="0"/>
              <w:rPr>
                <w:sz w:val="17"/>
                <w:szCs w:val="17"/>
                <w:color w:val="auto"/>
              </w:rPr>
            </w:pPr>
          </w:p>
        </w:tc>
        <w:tc>
          <w:tcPr>
            <w:tcW w:w="5300" w:type="dxa"/>
            <w:vAlign w:val="bottom"/>
            <w:gridSpan w:val="21"/>
          </w:tcPr>
          <w:p>
            <w:pPr>
              <w:spacing w:after="0"/>
              <w:rPr>
                <w:sz w:val="17"/>
                <w:szCs w:val="17"/>
                <w:color w:val="auto"/>
              </w:rPr>
            </w:pPr>
          </w:p>
        </w:tc>
        <w:tc>
          <w:tcPr>
            <w:tcW w:w="304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bl>
    <w:p>
      <w:pPr>
        <w:spacing w:after="0" w:line="200" w:lineRule="exact"/>
        <w:rPr>
          <w:sz w:val="20"/>
          <w:szCs w:val="20"/>
          <w:color w:val="auto"/>
        </w:rPr>
      </w:pPr>
    </w:p>
    <w:p>
      <w:pPr>
        <w:spacing w:after="0" w:line="2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320" w:type="dxa"/>
            <w:vAlign w:val="bottom"/>
            <w:gridSpan w:val="2"/>
          </w:tcPr>
          <w:p>
            <w:pPr>
              <w:ind w:left="160"/>
              <w:spacing w:after="0"/>
              <w:rPr>
                <w:sz w:val="20"/>
                <w:szCs w:val="20"/>
                <w:color w:val="auto"/>
              </w:rPr>
            </w:pPr>
            <w:r>
              <w:rPr>
                <w:rFonts w:ascii="Arial" w:cs="Arial" w:eastAsia="Arial" w:hAnsi="Arial"/>
                <w:sz w:val="18"/>
                <w:szCs w:val="18"/>
                <w:b w:val="1"/>
                <w:bCs w:val="1"/>
                <w:color w:val="auto"/>
              </w:rPr>
              <w:t>TABLE OF CONTENTS</w:t>
            </w:r>
          </w:p>
        </w:tc>
        <w:tc>
          <w:tcPr>
            <w:tcW w:w="2460" w:type="dxa"/>
            <w:vAlign w:val="bottom"/>
          </w:tcPr>
          <w:p>
            <w:pPr>
              <w:spacing w:after="0"/>
              <w:rPr>
                <w:sz w:val="18"/>
                <w:szCs w:val="18"/>
                <w:color w:val="auto"/>
              </w:rPr>
            </w:pPr>
          </w:p>
        </w:tc>
      </w:tr>
      <w:tr>
        <w:trPr>
          <w:trHeight w:val="228"/>
        </w:trPr>
        <w:tc>
          <w:tcPr>
            <w:tcW w:w="1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80" w:type="dxa"/>
            <w:vAlign w:val="bottom"/>
          </w:tcPr>
          <w:p>
            <w:pPr>
              <w:ind w:left="440"/>
              <w:spacing w:after="0"/>
              <w:rPr>
                <w:sz w:val="20"/>
                <w:szCs w:val="20"/>
                <w:color w:val="auto"/>
              </w:rPr>
            </w:pPr>
            <w:r>
              <w:rPr>
                <w:rFonts w:ascii="Arial" w:cs="Arial" w:eastAsia="Arial" w:hAnsi="Arial"/>
                <w:sz w:val="18"/>
                <w:szCs w:val="18"/>
                <w:b w:val="1"/>
                <w:bCs w:val="1"/>
                <w:color w:val="auto"/>
              </w:rPr>
              <w:t>(continued)</w:t>
            </w:r>
          </w:p>
        </w:tc>
        <w:tc>
          <w:tcPr>
            <w:tcW w:w="2460" w:type="dxa"/>
            <w:vAlign w:val="bottom"/>
          </w:tcPr>
          <w:p>
            <w:pPr>
              <w:spacing w:after="0"/>
              <w:rPr>
                <w:sz w:val="19"/>
                <w:szCs w:val="19"/>
                <w:color w:val="auto"/>
              </w:rPr>
            </w:pPr>
          </w:p>
        </w:tc>
      </w:tr>
      <w:tr>
        <w:trPr>
          <w:trHeight w:val="394"/>
        </w:trPr>
        <w:tc>
          <w:tcPr>
            <w:tcW w:w="8920" w:type="dxa"/>
            <w:vAlign w:val="bottom"/>
            <w:gridSpan w:val="19"/>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Section 10.03 Communication by Holders with Other Holders</w:t>
              </w:r>
            </w:hyperlink>
          </w:p>
        </w:tc>
        <w:tc>
          <w:tcPr>
            <w:tcW w:w="24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0"/>
        </w:trPr>
        <w:tc>
          <w:tcPr>
            <w:tcW w:w="17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96"/>
        </w:trPr>
        <w:tc>
          <w:tcPr>
            <w:tcW w:w="4600" w:type="dxa"/>
            <w:vAlign w:val="bottom"/>
            <w:tcBorders>
              <w:bottom w:val="single" w:sz="8" w:color="0000EE"/>
            </w:tcBorders>
            <w:gridSpan w:val="17"/>
          </w:tcPr>
          <w:p>
            <w:pPr>
              <w:spacing w:after="0" w:line="196" w:lineRule="exact"/>
              <w:rPr>
                <w:rFonts w:ascii="Arial" w:cs="Arial" w:eastAsia="Arial" w:hAnsi="Arial"/>
                <w:sz w:val="18"/>
                <w:szCs w:val="18"/>
                <w:color w:val="0000EE"/>
                <w:w w:val="88"/>
              </w:rPr>
            </w:pPr>
            <w:hyperlink w:anchor="page55">
              <w:r>
                <w:rPr>
                  <w:rFonts w:ascii="Arial" w:cs="Arial" w:eastAsia="Arial" w:hAnsi="Arial"/>
                  <w:sz w:val="18"/>
                  <w:szCs w:val="18"/>
                  <w:color w:val="0000EE"/>
                  <w:w w:val="88"/>
                </w:rPr>
                <w:t>Section 10.04 Certificate and Opinion as to Conditions Precedent</w:t>
              </w:r>
            </w:hyperlink>
          </w:p>
        </w:tc>
        <w:tc>
          <w:tcPr>
            <w:tcW w:w="4320" w:type="dxa"/>
            <w:vAlign w:val="bottom"/>
            <w:gridSpan w:val="2"/>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196"/>
        </w:trPr>
        <w:tc>
          <w:tcPr>
            <w:tcW w:w="8920" w:type="dxa"/>
            <w:vAlign w:val="bottom"/>
            <w:gridSpan w:val="19"/>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Section 10.05 Statements Required in Certificate or Opinion</w:t>
              </w:r>
            </w:hyperlink>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196"/>
        </w:trPr>
        <w:tc>
          <w:tcPr>
            <w:tcW w:w="306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87"/>
              </w:rPr>
            </w:pPr>
            <w:hyperlink w:anchor="page55">
              <w:r>
                <w:rPr>
                  <w:rFonts w:ascii="Arial" w:cs="Arial" w:eastAsia="Arial" w:hAnsi="Arial"/>
                  <w:sz w:val="18"/>
                  <w:szCs w:val="18"/>
                  <w:color w:val="0000EE"/>
                  <w:w w:val="87"/>
                </w:rPr>
                <w:t>Section 10.06 Rules by Trustee and Agents</w:t>
              </w:r>
            </w:hyperlink>
          </w:p>
        </w:tc>
        <w:tc>
          <w:tcPr>
            <w:tcW w:w="1180" w:type="dxa"/>
            <w:vAlign w:val="bottom"/>
            <w:tcBorders>
              <w:top w:val="single" w:sz="8" w:color="0000EE"/>
            </w:tcBorders>
            <w:gridSpan w:val="4"/>
          </w:tcPr>
          <w:p>
            <w:pPr>
              <w:spacing w:after="0"/>
              <w:rPr>
                <w:sz w:val="17"/>
                <w:szCs w:val="17"/>
                <w:color w:val="auto"/>
              </w:rPr>
            </w:pPr>
          </w:p>
        </w:tc>
        <w:tc>
          <w:tcPr>
            <w:tcW w:w="4680" w:type="dxa"/>
            <w:vAlign w:val="bottom"/>
            <w:gridSpan w:val="5"/>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196"/>
        </w:trPr>
        <w:tc>
          <w:tcPr>
            <w:tcW w:w="210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56">
              <w:r>
                <w:rPr>
                  <w:rFonts w:ascii="Arial" w:cs="Arial" w:eastAsia="Arial" w:hAnsi="Arial"/>
                  <w:sz w:val="18"/>
                  <w:szCs w:val="18"/>
                  <w:color w:val="0000EE"/>
                  <w:w w:val="89"/>
                </w:rPr>
                <w:t>Section 10.07 Legal Holidays</w:t>
              </w:r>
            </w:hyperlink>
          </w:p>
        </w:tc>
        <w:tc>
          <w:tcPr>
            <w:tcW w:w="6820" w:type="dxa"/>
            <w:vAlign w:val="bottom"/>
            <w:gridSpan w:val="15"/>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196"/>
        </w:trPr>
        <w:tc>
          <w:tcPr>
            <w:tcW w:w="3040" w:type="dxa"/>
            <w:vAlign w:val="bottom"/>
            <w:tcBorders>
              <w:bottom w:val="single" w:sz="8" w:color="0000EE"/>
            </w:tcBorders>
            <w:gridSpan w:val="9"/>
          </w:tcPr>
          <w:p>
            <w:pPr>
              <w:spacing w:after="0" w:line="196" w:lineRule="exact"/>
              <w:rPr>
                <w:rFonts w:ascii="Arial" w:cs="Arial" w:eastAsia="Arial" w:hAnsi="Arial"/>
                <w:sz w:val="18"/>
                <w:szCs w:val="18"/>
                <w:color w:val="0000EE"/>
                <w:w w:val="87"/>
              </w:rPr>
            </w:pPr>
            <w:hyperlink w:anchor="page56">
              <w:r>
                <w:rPr>
                  <w:rFonts w:ascii="Arial" w:cs="Arial" w:eastAsia="Arial" w:hAnsi="Arial"/>
                  <w:sz w:val="18"/>
                  <w:szCs w:val="18"/>
                  <w:color w:val="0000EE"/>
                  <w:w w:val="87"/>
                </w:rPr>
                <w:t>Section 10.08 No Recourse Against Others</w:t>
              </w:r>
            </w:hyperlink>
          </w:p>
        </w:tc>
        <w:tc>
          <w:tcPr>
            <w:tcW w:w="5880" w:type="dxa"/>
            <w:vAlign w:val="bottom"/>
            <w:gridSpan w:val="10"/>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196"/>
        </w:trPr>
        <w:tc>
          <w:tcPr>
            <w:tcW w:w="8920" w:type="dxa"/>
            <w:vAlign w:val="bottom"/>
            <w:gridSpan w:val="19"/>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Section 10.09 Counterparts</w:t>
              </w:r>
            </w:hyperlink>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20"/>
        </w:trPr>
        <w:tc>
          <w:tcPr>
            <w:tcW w:w="17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96"/>
        </w:trPr>
        <w:tc>
          <w:tcPr>
            <w:tcW w:w="2200" w:type="dxa"/>
            <w:vAlign w:val="bottom"/>
            <w:tcBorders>
              <w:bottom w:val="single" w:sz="8" w:color="0000EE"/>
            </w:tcBorders>
            <w:gridSpan w:val="5"/>
          </w:tcPr>
          <w:p>
            <w:pPr>
              <w:spacing w:after="0" w:line="196" w:lineRule="exact"/>
              <w:rPr>
                <w:rFonts w:ascii="Arial" w:cs="Arial" w:eastAsia="Arial" w:hAnsi="Arial"/>
                <w:sz w:val="18"/>
                <w:szCs w:val="18"/>
                <w:color w:val="0000EE"/>
                <w:w w:val="88"/>
              </w:rPr>
            </w:pPr>
            <w:hyperlink w:anchor="page56">
              <w:r>
                <w:rPr>
                  <w:rFonts w:ascii="Arial" w:cs="Arial" w:eastAsia="Arial" w:hAnsi="Arial"/>
                  <w:sz w:val="18"/>
                  <w:szCs w:val="18"/>
                  <w:color w:val="0000EE"/>
                  <w:w w:val="88"/>
                </w:rPr>
                <w:t>Section 10.10 Governing Laws</w:t>
              </w:r>
            </w:hyperlink>
          </w:p>
        </w:tc>
        <w:tc>
          <w:tcPr>
            <w:tcW w:w="6720" w:type="dxa"/>
            <w:vAlign w:val="bottom"/>
            <w:gridSpan w:val="14"/>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196"/>
        </w:trPr>
        <w:tc>
          <w:tcPr>
            <w:tcW w:w="4380" w:type="dxa"/>
            <w:vAlign w:val="bottom"/>
            <w:tcBorders>
              <w:bottom w:val="single" w:sz="8" w:color="0000EE"/>
            </w:tcBorders>
            <w:gridSpan w:val="16"/>
          </w:tcPr>
          <w:p>
            <w:pPr>
              <w:spacing w:after="0" w:line="196" w:lineRule="exact"/>
              <w:rPr>
                <w:rFonts w:ascii="Arial" w:cs="Arial" w:eastAsia="Arial" w:hAnsi="Arial"/>
                <w:sz w:val="18"/>
                <w:szCs w:val="18"/>
                <w:color w:val="0000EE"/>
                <w:w w:val="88"/>
              </w:rPr>
            </w:pPr>
            <w:hyperlink w:anchor="page56">
              <w:r>
                <w:rPr>
                  <w:rFonts w:ascii="Arial" w:cs="Arial" w:eastAsia="Arial" w:hAnsi="Arial"/>
                  <w:sz w:val="18"/>
                  <w:szCs w:val="18"/>
                  <w:color w:val="0000EE"/>
                  <w:w w:val="88"/>
                </w:rPr>
                <w:t>Section 10.11 No Adverse Interpretation of Other Agreements</w:t>
              </w:r>
            </w:hyperlink>
          </w:p>
        </w:tc>
        <w:tc>
          <w:tcPr>
            <w:tcW w:w="4540" w:type="dxa"/>
            <w:vAlign w:val="bottom"/>
            <w:gridSpan w:val="3"/>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196"/>
        </w:trPr>
        <w:tc>
          <w:tcPr>
            <w:tcW w:w="8920" w:type="dxa"/>
            <w:vAlign w:val="bottom"/>
            <w:gridSpan w:val="19"/>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Section 10.12 Successors</w:t>
              </w:r>
            </w:hyperlink>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20"/>
        </w:trPr>
        <w:tc>
          <w:tcPr>
            <w:tcW w:w="178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96"/>
        </w:trPr>
        <w:tc>
          <w:tcPr>
            <w:tcW w:w="8920" w:type="dxa"/>
            <w:vAlign w:val="bottom"/>
            <w:gridSpan w:val="19"/>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Section 10.13 Severability</w:t>
              </w:r>
            </w:hyperlink>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20"/>
        </w:trPr>
        <w:tc>
          <w:tcPr>
            <w:tcW w:w="1860" w:type="dxa"/>
            <w:vAlign w:val="bottom"/>
            <w:gridSpan w:val="3"/>
            <w:shd w:val="clear" w:color="auto" w:fill="0000EE"/>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96"/>
        </w:trPr>
        <w:tc>
          <w:tcPr>
            <w:tcW w:w="3340" w:type="dxa"/>
            <w:vAlign w:val="bottom"/>
            <w:tcBorders>
              <w:bottom w:val="single" w:sz="8" w:color="0000EE"/>
            </w:tcBorders>
            <w:gridSpan w:val="12"/>
          </w:tcPr>
          <w:p>
            <w:pPr>
              <w:spacing w:after="0" w:line="196" w:lineRule="exact"/>
              <w:rPr>
                <w:rFonts w:ascii="Arial" w:cs="Arial" w:eastAsia="Arial" w:hAnsi="Arial"/>
                <w:sz w:val="18"/>
                <w:szCs w:val="18"/>
                <w:color w:val="0000EE"/>
                <w:w w:val="87"/>
              </w:rPr>
            </w:pPr>
            <w:hyperlink w:anchor="page56">
              <w:r>
                <w:rPr>
                  <w:rFonts w:ascii="Arial" w:cs="Arial" w:eastAsia="Arial" w:hAnsi="Arial"/>
                  <w:sz w:val="18"/>
                  <w:szCs w:val="18"/>
                  <w:color w:val="0000EE"/>
                  <w:w w:val="87"/>
                </w:rPr>
                <w:t>Section 10.14 Table of Contents, Headings, Etc</w:t>
              </w:r>
            </w:hyperlink>
          </w:p>
        </w:tc>
        <w:tc>
          <w:tcPr>
            <w:tcW w:w="5580" w:type="dxa"/>
            <w:vAlign w:val="bottom"/>
            <w:gridSpan w:val="7"/>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196"/>
        </w:trPr>
        <w:tc>
          <w:tcPr>
            <w:tcW w:w="3300" w:type="dxa"/>
            <w:vAlign w:val="bottom"/>
            <w:tcBorders>
              <w:bottom w:val="single" w:sz="8" w:color="0000EE"/>
            </w:tcBorders>
            <w:gridSpan w:val="11"/>
          </w:tcPr>
          <w:p>
            <w:pPr>
              <w:spacing w:after="0" w:line="196" w:lineRule="exact"/>
              <w:rPr>
                <w:rFonts w:ascii="Arial" w:cs="Arial" w:eastAsia="Arial" w:hAnsi="Arial"/>
                <w:sz w:val="18"/>
                <w:szCs w:val="18"/>
                <w:color w:val="0000EE"/>
                <w:w w:val="88"/>
              </w:rPr>
            </w:pPr>
            <w:hyperlink w:anchor="page56">
              <w:r>
                <w:rPr>
                  <w:rFonts w:ascii="Arial" w:cs="Arial" w:eastAsia="Arial" w:hAnsi="Arial"/>
                  <w:sz w:val="18"/>
                  <w:szCs w:val="18"/>
                  <w:color w:val="0000EE"/>
                  <w:w w:val="88"/>
                </w:rPr>
                <w:t>Section 10.15 Securities in a Foreign Currency</w:t>
              </w:r>
            </w:hyperlink>
          </w:p>
        </w:tc>
        <w:tc>
          <w:tcPr>
            <w:tcW w:w="5620" w:type="dxa"/>
            <w:vAlign w:val="bottom"/>
            <w:gridSpan w:val="8"/>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196"/>
        </w:trPr>
        <w:tc>
          <w:tcPr>
            <w:tcW w:w="2400" w:type="dxa"/>
            <w:vAlign w:val="bottom"/>
            <w:tcBorders>
              <w:bottom w:val="single" w:sz="8" w:color="0000EE"/>
            </w:tcBorders>
            <w:gridSpan w:val="6"/>
          </w:tcPr>
          <w:p>
            <w:pPr>
              <w:spacing w:after="0" w:line="196" w:lineRule="exact"/>
              <w:rPr>
                <w:rFonts w:ascii="Arial" w:cs="Arial" w:eastAsia="Arial" w:hAnsi="Arial"/>
                <w:sz w:val="18"/>
                <w:szCs w:val="18"/>
                <w:color w:val="0000EE"/>
                <w:w w:val="87"/>
              </w:rPr>
            </w:pPr>
            <w:hyperlink w:anchor="page57">
              <w:r>
                <w:rPr>
                  <w:rFonts w:ascii="Arial" w:cs="Arial" w:eastAsia="Arial" w:hAnsi="Arial"/>
                  <w:sz w:val="18"/>
                  <w:szCs w:val="18"/>
                  <w:color w:val="0000EE"/>
                  <w:w w:val="87"/>
                </w:rPr>
                <w:t>Section 10.16 Judgment Currency</w:t>
              </w:r>
            </w:hyperlink>
          </w:p>
        </w:tc>
        <w:tc>
          <w:tcPr>
            <w:tcW w:w="6520" w:type="dxa"/>
            <w:vAlign w:val="bottom"/>
            <w:gridSpan w:val="13"/>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412"/>
        </w:trPr>
        <w:tc>
          <w:tcPr>
            <w:tcW w:w="1140" w:type="dxa"/>
            <w:vAlign w:val="bottom"/>
            <w:tcBorders>
              <w:bottom w:val="single" w:sz="8" w:color="0000EE"/>
            </w:tcBorders>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ARTICLE XI</w:t>
              </w:r>
            </w:hyperlink>
          </w:p>
        </w:tc>
        <w:tc>
          <w:tcPr>
            <w:tcW w:w="1540" w:type="dxa"/>
            <w:vAlign w:val="bottom"/>
            <w:tcBorders>
              <w:bottom w:val="single" w:sz="8" w:color="0000EE"/>
            </w:tcBorders>
            <w:gridSpan w:val="7"/>
          </w:tcPr>
          <w:p>
            <w:pPr>
              <w:ind w:left="180"/>
              <w:spacing w:after="0"/>
              <w:rPr>
                <w:rFonts w:ascii="Arial" w:cs="Arial" w:eastAsia="Arial" w:hAnsi="Arial"/>
                <w:sz w:val="18"/>
                <w:szCs w:val="18"/>
                <w:color w:val="0000EE"/>
                <w:w w:val="94"/>
              </w:rPr>
            </w:pPr>
            <w:hyperlink w:anchor="page57">
              <w:r>
                <w:rPr>
                  <w:rFonts w:ascii="Arial" w:cs="Arial" w:eastAsia="Arial" w:hAnsi="Arial"/>
                  <w:sz w:val="18"/>
                  <w:szCs w:val="18"/>
                  <w:color w:val="0000EE"/>
                  <w:w w:val="94"/>
                </w:rPr>
                <w:t>SINKING FUNDS</w:t>
              </w:r>
            </w:hyperlink>
          </w:p>
        </w:tc>
        <w:tc>
          <w:tcPr>
            <w:tcW w:w="6240" w:type="dxa"/>
            <w:vAlign w:val="bottom"/>
            <w:gridSpan w:val="11"/>
          </w:tcPr>
          <w:p>
            <w:pPr>
              <w:spacing w:after="0"/>
              <w:rPr>
                <w:sz w:val="24"/>
                <w:szCs w:val="24"/>
                <w:color w:val="auto"/>
              </w:rPr>
            </w:pPr>
          </w:p>
        </w:tc>
        <w:tc>
          <w:tcPr>
            <w:tcW w:w="24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412"/>
        </w:trPr>
        <w:tc>
          <w:tcPr>
            <w:tcW w:w="2660" w:type="dxa"/>
            <w:vAlign w:val="bottom"/>
            <w:tcBorders>
              <w:bottom w:val="single" w:sz="8" w:color="0000EE"/>
            </w:tcBorders>
            <w:gridSpan w:val="7"/>
          </w:tcPr>
          <w:p>
            <w:pPr>
              <w:spacing w:after="0"/>
              <w:rPr>
                <w:rFonts w:ascii="Arial" w:cs="Arial" w:eastAsia="Arial" w:hAnsi="Arial"/>
                <w:sz w:val="18"/>
                <w:szCs w:val="18"/>
                <w:color w:val="0000EE"/>
                <w:w w:val="92"/>
              </w:rPr>
            </w:pPr>
            <w:hyperlink w:anchor="page57">
              <w:r>
                <w:rPr>
                  <w:rFonts w:ascii="Arial" w:cs="Arial" w:eastAsia="Arial" w:hAnsi="Arial"/>
                  <w:sz w:val="18"/>
                  <w:szCs w:val="18"/>
                  <w:color w:val="0000EE"/>
                  <w:w w:val="92"/>
                </w:rPr>
                <w:t>Section 11.01 Applicability of Article</w:t>
              </w:r>
            </w:hyperlink>
          </w:p>
        </w:tc>
        <w:tc>
          <w:tcPr>
            <w:tcW w:w="6260" w:type="dxa"/>
            <w:vAlign w:val="bottom"/>
            <w:gridSpan w:val="12"/>
          </w:tcPr>
          <w:p>
            <w:pPr>
              <w:spacing w:after="0"/>
              <w:rPr>
                <w:sz w:val="24"/>
                <w:szCs w:val="24"/>
                <w:color w:val="auto"/>
              </w:rPr>
            </w:pPr>
          </w:p>
        </w:tc>
        <w:tc>
          <w:tcPr>
            <w:tcW w:w="24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196"/>
        </w:trPr>
        <w:tc>
          <w:tcPr>
            <w:tcW w:w="8920" w:type="dxa"/>
            <w:vAlign w:val="bottom"/>
            <w:gridSpan w:val="19"/>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Section 11.02 Satisfaction of Sinking Fund Payments with Securities</w:t>
              </w:r>
            </w:hyperlink>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196"/>
        </w:trPr>
        <w:tc>
          <w:tcPr>
            <w:tcW w:w="404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88"/>
              </w:rPr>
            </w:pPr>
            <w:hyperlink w:anchor="page58">
              <w:r>
                <w:rPr>
                  <w:rFonts w:ascii="Arial" w:cs="Arial" w:eastAsia="Arial" w:hAnsi="Arial"/>
                  <w:sz w:val="18"/>
                  <w:szCs w:val="18"/>
                  <w:color w:val="0000EE"/>
                  <w:w w:val="88"/>
                </w:rPr>
                <w:t>Section 11.03 Redemption of Securities for Sinking Fund</w:t>
              </w:r>
            </w:hyperlink>
          </w:p>
        </w:tc>
        <w:tc>
          <w:tcPr>
            <w:tcW w:w="800" w:type="dxa"/>
            <w:vAlign w:val="bottom"/>
            <w:tcBorders>
              <w:top w:val="single" w:sz="8" w:color="0000EE"/>
            </w:tcBorders>
            <w:gridSpan w:val="5"/>
          </w:tcPr>
          <w:p>
            <w:pPr>
              <w:spacing w:after="0"/>
              <w:rPr>
                <w:sz w:val="17"/>
                <w:szCs w:val="17"/>
                <w:color w:val="auto"/>
              </w:rPr>
            </w:pPr>
          </w:p>
        </w:tc>
        <w:tc>
          <w:tcPr>
            <w:tcW w:w="4080" w:type="dxa"/>
            <w:vAlign w:val="bottom"/>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bl>
    <w:p>
      <w:pPr>
        <w:spacing w:after="0" w:line="200" w:lineRule="exact"/>
        <w:rPr>
          <w:sz w:val="20"/>
          <w:szCs w:val="20"/>
          <w:color w:val="auto"/>
        </w:rPr>
      </w:pPr>
    </w:p>
    <w:p>
      <w:pPr>
        <w:spacing w:after="0" w:line="2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880" w:type="dxa"/>
            <w:vAlign w:val="bottom"/>
          </w:tcPr>
          <w:p>
            <w:pPr>
              <w:jc w:val="center"/>
              <w:ind w:right="2452"/>
              <w:spacing w:after="0"/>
              <w:rPr>
                <w:sz w:val="20"/>
                <w:szCs w:val="20"/>
                <w:color w:val="auto"/>
              </w:rPr>
            </w:pPr>
            <w:r>
              <w:rPr>
                <w:rFonts w:ascii="Arial" w:cs="Arial" w:eastAsia="Arial" w:hAnsi="Arial"/>
                <w:sz w:val="18"/>
                <w:szCs w:val="18"/>
                <w:b w:val="1"/>
                <w:bCs w:val="1"/>
                <w:color w:val="auto"/>
                <w:w w:val="98"/>
              </w:rPr>
              <w:t>TOWER SEMICONDUCTOR LTD.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880" w:type="dxa"/>
            <w:vAlign w:val="bottom"/>
          </w:tcPr>
          <w:p>
            <w:pPr>
              <w:jc w:val="center"/>
              <w:ind w:right="2432"/>
              <w:spacing w:after="0"/>
              <w:rPr>
                <w:sz w:val="20"/>
                <w:szCs w:val="20"/>
                <w:color w:val="auto"/>
              </w:rPr>
            </w:pPr>
            <w:r>
              <w:rPr>
                <w:rFonts w:ascii="Arial" w:cs="Arial" w:eastAsia="Arial" w:hAnsi="Arial"/>
                <w:sz w:val="18"/>
                <w:szCs w:val="18"/>
                <w:b w:val="1"/>
                <w:bCs w:val="1"/>
                <w:color w:val="auto"/>
                <w:w w:val="88"/>
              </w:rPr>
              <w:t>Reconciliation and tie between Trust Indenture Ajct of 1939 and</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8880" w:type="dxa"/>
            <w:vAlign w:val="bottom"/>
          </w:tcPr>
          <w:p>
            <w:pPr>
              <w:jc w:val="center"/>
              <w:ind w:right="2452"/>
              <w:spacing w:after="0"/>
              <w:rPr>
                <w:sz w:val="20"/>
                <w:szCs w:val="20"/>
                <w:color w:val="auto"/>
              </w:rPr>
            </w:pPr>
            <w:r>
              <w:rPr>
                <w:rFonts w:ascii="Arial" w:cs="Arial" w:eastAsia="Arial" w:hAnsi="Arial"/>
                <w:sz w:val="18"/>
                <w:szCs w:val="18"/>
                <w:b w:val="1"/>
                <w:bCs w:val="1"/>
                <w:color w:val="auto"/>
                <w:w w:val="87"/>
              </w:rPr>
              <w:t>Indenture, dated as of_______, ____</w:t>
            </w: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9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Section 310</w:t>
            </w:r>
          </w:p>
        </w:tc>
        <w:tc>
          <w:tcPr>
            <w:tcW w:w="1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(a)(1)</w:t>
            </w:r>
          </w:p>
        </w:tc>
        <w:tc>
          <w:tcPr>
            <w:tcW w:w="8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540" w:type="dxa"/>
            <w:vAlign w:val="bottom"/>
          </w:tcPr>
          <w:p>
            <w:pPr>
              <w:ind w:left="160"/>
              <w:spacing w:after="0"/>
              <w:rPr>
                <w:sz w:val="20"/>
                <w:szCs w:val="20"/>
                <w:color w:val="auto"/>
              </w:rPr>
            </w:pPr>
            <w:r>
              <w:rPr>
                <w:rFonts w:ascii="Arial" w:cs="Arial" w:eastAsia="Arial" w:hAnsi="Arial"/>
                <w:sz w:val="18"/>
                <w:szCs w:val="18"/>
                <w:color w:val="auto"/>
              </w:rPr>
              <w:t>(a)(2)</w:t>
            </w:r>
          </w:p>
        </w:tc>
        <w:tc>
          <w:tcPr>
            <w:tcW w:w="8880" w:type="dxa"/>
            <w:vAlign w:val="bottom"/>
          </w:tcPr>
          <w:p>
            <w:pPr>
              <w:jc w:val="right"/>
              <w:spacing w:after="0"/>
              <w:rPr>
                <w:sz w:val="20"/>
                <w:szCs w:val="20"/>
                <w:color w:val="auto"/>
              </w:rPr>
            </w:pPr>
            <w:r>
              <w:rPr>
                <w:rFonts w:ascii="Arial" w:cs="Arial" w:eastAsia="Arial" w:hAnsi="Arial"/>
                <w:sz w:val="18"/>
                <w:szCs w:val="18"/>
                <w:color w:val="auto"/>
              </w:rPr>
              <w:t>7.10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(a)(3)</w:t>
            </w:r>
          </w:p>
        </w:tc>
        <w:tc>
          <w:tcPr>
            <w:tcW w:w="8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540" w:type="dxa"/>
            <w:vAlign w:val="bottom"/>
          </w:tcPr>
          <w:p>
            <w:pPr>
              <w:ind w:left="160"/>
              <w:spacing w:after="0"/>
              <w:rPr>
                <w:sz w:val="20"/>
                <w:szCs w:val="20"/>
                <w:color w:val="auto"/>
              </w:rPr>
            </w:pPr>
            <w:r>
              <w:rPr>
                <w:rFonts w:ascii="Arial" w:cs="Arial" w:eastAsia="Arial" w:hAnsi="Arial"/>
                <w:sz w:val="18"/>
                <w:szCs w:val="18"/>
                <w:color w:val="auto"/>
              </w:rPr>
              <w:t>(a)(4)</w:t>
            </w:r>
          </w:p>
        </w:tc>
        <w:tc>
          <w:tcPr>
            <w:tcW w:w="8880" w:type="dxa"/>
            <w:vAlign w:val="bottom"/>
          </w:tcPr>
          <w:p>
            <w:pPr>
              <w:jc w:val="right"/>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(a)(5)</w:t>
            </w:r>
          </w:p>
        </w:tc>
        <w:tc>
          <w:tcPr>
            <w:tcW w:w="8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540" w:type="dxa"/>
            <w:vAlign w:val="bottom"/>
          </w:tcPr>
          <w:p>
            <w:pPr>
              <w:ind w:left="160"/>
              <w:spacing w:after="0"/>
              <w:rPr>
                <w:sz w:val="20"/>
                <w:szCs w:val="20"/>
                <w:color w:val="auto"/>
              </w:rPr>
            </w:pPr>
            <w:r>
              <w:rPr>
                <w:rFonts w:ascii="Arial" w:cs="Arial" w:eastAsia="Arial" w:hAnsi="Arial"/>
                <w:sz w:val="18"/>
                <w:szCs w:val="18"/>
                <w:color w:val="auto"/>
              </w:rPr>
              <w:t>(b)</w:t>
            </w:r>
          </w:p>
        </w:tc>
        <w:tc>
          <w:tcPr>
            <w:tcW w:w="8880" w:type="dxa"/>
            <w:vAlign w:val="bottom"/>
          </w:tcPr>
          <w:p>
            <w:pPr>
              <w:jc w:val="right"/>
              <w:spacing w:after="0"/>
              <w:rPr>
                <w:sz w:val="20"/>
                <w:szCs w:val="20"/>
                <w:color w:val="auto"/>
              </w:rPr>
            </w:pPr>
            <w:r>
              <w:rPr>
                <w:rFonts w:ascii="Arial" w:cs="Arial" w:eastAsia="Arial" w:hAnsi="Arial"/>
                <w:sz w:val="18"/>
                <w:szCs w:val="18"/>
                <w:color w:val="auto"/>
              </w:rPr>
              <w:t>7.10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Section 311</w:t>
            </w:r>
          </w:p>
        </w:tc>
        <w:tc>
          <w:tcPr>
            <w:tcW w:w="1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w:t>
            </w:r>
          </w:p>
        </w:tc>
        <w:tc>
          <w:tcPr>
            <w:tcW w:w="8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540" w:type="dxa"/>
            <w:vAlign w:val="bottom"/>
          </w:tcPr>
          <w:p>
            <w:pPr>
              <w:ind w:left="160"/>
              <w:spacing w:after="0"/>
              <w:rPr>
                <w:sz w:val="20"/>
                <w:szCs w:val="20"/>
                <w:color w:val="auto"/>
              </w:rPr>
            </w:pPr>
            <w:r>
              <w:rPr>
                <w:rFonts w:ascii="Arial" w:cs="Arial" w:eastAsia="Arial" w:hAnsi="Arial"/>
                <w:sz w:val="18"/>
                <w:szCs w:val="18"/>
                <w:color w:val="auto"/>
              </w:rPr>
              <w:t>(b)</w:t>
            </w:r>
          </w:p>
        </w:tc>
        <w:tc>
          <w:tcPr>
            <w:tcW w:w="8880" w:type="dxa"/>
            <w:vAlign w:val="bottom"/>
          </w:tcPr>
          <w:p>
            <w:pPr>
              <w:jc w:val="right"/>
              <w:spacing w:after="0"/>
              <w:rPr>
                <w:sz w:val="20"/>
                <w:szCs w:val="20"/>
                <w:color w:val="auto"/>
              </w:rPr>
            </w:pPr>
            <w:r>
              <w:rPr>
                <w:rFonts w:ascii="Arial" w:cs="Arial" w:eastAsia="Arial" w:hAnsi="Arial"/>
                <w:sz w:val="18"/>
                <w:szCs w:val="18"/>
                <w:color w:val="auto"/>
              </w:rPr>
              <w:t>7.11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w:t>
            </w:r>
          </w:p>
        </w:tc>
        <w:tc>
          <w:tcPr>
            <w:tcW w:w="8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Section 312</w:t>
            </w:r>
          </w:p>
        </w:tc>
        <w:tc>
          <w:tcPr>
            <w:tcW w:w="1540" w:type="dxa"/>
            <w:vAlign w:val="bottom"/>
          </w:tcPr>
          <w:p>
            <w:pPr>
              <w:ind w:left="160"/>
              <w:spacing w:after="0"/>
              <w:rPr>
                <w:sz w:val="20"/>
                <w:szCs w:val="20"/>
                <w:color w:val="auto"/>
              </w:rPr>
            </w:pPr>
            <w:r>
              <w:rPr>
                <w:rFonts w:ascii="Arial" w:cs="Arial" w:eastAsia="Arial" w:hAnsi="Arial"/>
                <w:sz w:val="18"/>
                <w:szCs w:val="18"/>
                <w:color w:val="auto"/>
              </w:rPr>
              <w:t>(a)</w:t>
            </w:r>
          </w:p>
        </w:tc>
        <w:tc>
          <w:tcPr>
            <w:tcW w:w="8880" w:type="dxa"/>
            <w:vAlign w:val="bottom"/>
          </w:tcPr>
          <w:p>
            <w:pPr>
              <w:jc w:val="right"/>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w:t>
            </w:r>
          </w:p>
        </w:tc>
        <w:tc>
          <w:tcPr>
            <w:tcW w:w="8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540" w:type="dxa"/>
            <w:vAlign w:val="bottom"/>
          </w:tcPr>
          <w:p>
            <w:pPr>
              <w:ind w:left="160"/>
              <w:spacing w:after="0"/>
              <w:rPr>
                <w:sz w:val="20"/>
                <w:szCs w:val="20"/>
                <w:color w:val="auto"/>
              </w:rPr>
            </w:pPr>
            <w:r>
              <w:rPr>
                <w:rFonts w:ascii="Arial" w:cs="Arial" w:eastAsia="Arial" w:hAnsi="Arial"/>
                <w:sz w:val="18"/>
                <w:szCs w:val="18"/>
                <w:color w:val="auto"/>
              </w:rPr>
              <w:t>(c)</w:t>
            </w:r>
          </w:p>
        </w:tc>
        <w:tc>
          <w:tcPr>
            <w:tcW w:w="8880" w:type="dxa"/>
            <w:vAlign w:val="bottom"/>
          </w:tcPr>
          <w:p>
            <w:pPr>
              <w:jc w:val="right"/>
              <w:spacing w:after="0"/>
              <w:rPr>
                <w:sz w:val="20"/>
                <w:szCs w:val="20"/>
                <w:color w:val="auto"/>
              </w:rPr>
            </w:pPr>
            <w:r>
              <w:rPr>
                <w:rFonts w:ascii="Arial" w:cs="Arial" w:eastAsia="Arial" w:hAnsi="Arial"/>
                <w:sz w:val="18"/>
                <w:szCs w:val="18"/>
                <w:color w:val="auto"/>
              </w:rPr>
              <w:t>10.03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Section 313</w:t>
            </w:r>
          </w:p>
        </w:tc>
        <w:tc>
          <w:tcPr>
            <w:tcW w:w="1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w:t>
            </w:r>
          </w:p>
        </w:tc>
        <w:tc>
          <w:tcPr>
            <w:tcW w:w="8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540" w:type="dxa"/>
            <w:vAlign w:val="bottom"/>
          </w:tcPr>
          <w:p>
            <w:pPr>
              <w:ind w:left="160"/>
              <w:spacing w:after="0"/>
              <w:rPr>
                <w:sz w:val="20"/>
                <w:szCs w:val="20"/>
                <w:color w:val="auto"/>
              </w:rPr>
            </w:pPr>
            <w:r>
              <w:rPr>
                <w:rFonts w:ascii="Arial" w:cs="Arial" w:eastAsia="Arial" w:hAnsi="Arial"/>
                <w:sz w:val="18"/>
                <w:szCs w:val="18"/>
                <w:color w:val="auto"/>
              </w:rPr>
              <w:t>(b)(1)</w:t>
            </w:r>
          </w:p>
        </w:tc>
        <w:tc>
          <w:tcPr>
            <w:tcW w:w="8880" w:type="dxa"/>
            <w:vAlign w:val="bottom"/>
          </w:tcPr>
          <w:p>
            <w:pPr>
              <w:jc w:val="right"/>
              <w:spacing w:after="0"/>
              <w:rPr>
                <w:sz w:val="20"/>
                <w:szCs w:val="20"/>
                <w:color w:val="auto"/>
              </w:rPr>
            </w:pPr>
            <w:r>
              <w:rPr>
                <w:rFonts w:ascii="Arial" w:cs="Arial" w:eastAsia="Arial" w:hAnsi="Arial"/>
                <w:sz w:val="18"/>
                <w:szCs w:val="18"/>
                <w:color w:val="auto"/>
              </w:rPr>
              <w:t>7.06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(b)(2)</w:t>
            </w:r>
          </w:p>
        </w:tc>
        <w:tc>
          <w:tcPr>
            <w:tcW w:w="8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540" w:type="dxa"/>
            <w:vAlign w:val="bottom"/>
          </w:tcPr>
          <w:p>
            <w:pPr>
              <w:ind w:left="160"/>
              <w:spacing w:after="0"/>
              <w:rPr>
                <w:sz w:val="20"/>
                <w:szCs w:val="20"/>
                <w:color w:val="auto"/>
              </w:rPr>
            </w:pPr>
            <w:r>
              <w:rPr>
                <w:rFonts w:ascii="Arial" w:cs="Arial" w:eastAsia="Arial" w:hAnsi="Arial"/>
                <w:sz w:val="18"/>
                <w:szCs w:val="18"/>
                <w:color w:val="auto"/>
              </w:rPr>
              <w:t>(c)(1)</w:t>
            </w:r>
          </w:p>
        </w:tc>
        <w:tc>
          <w:tcPr>
            <w:tcW w:w="8880" w:type="dxa"/>
            <w:vAlign w:val="bottom"/>
          </w:tcPr>
          <w:p>
            <w:pPr>
              <w:jc w:val="right"/>
              <w:spacing w:after="0"/>
              <w:rPr>
                <w:sz w:val="20"/>
                <w:szCs w:val="20"/>
                <w:color w:val="auto"/>
              </w:rPr>
            </w:pPr>
            <w:r>
              <w:rPr>
                <w:rFonts w:ascii="Arial" w:cs="Arial" w:eastAsia="Arial" w:hAnsi="Arial"/>
                <w:sz w:val="18"/>
                <w:szCs w:val="18"/>
                <w:color w:val="auto"/>
              </w:rPr>
              <w:t>7.06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w:t>
            </w:r>
          </w:p>
        </w:tc>
        <w:tc>
          <w:tcPr>
            <w:tcW w:w="8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Section 314</w:t>
            </w:r>
          </w:p>
        </w:tc>
        <w:tc>
          <w:tcPr>
            <w:tcW w:w="1540" w:type="dxa"/>
            <w:vAlign w:val="bottom"/>
          </w:tcPr>
          <w:p>
            <w:pPr>
              <w:ind w:left="160"/>
              <w:spacing w:after="0"/>
              <w:rPr>
                <w:sz w:val="20"/>
                <w:szCs w:val="20"/>
                <w:color w:val="auto"/>
              </w:rPr>
            </w:pPr>
            <w:r>
              <w:rPr>
                <w:rFonts w:ascii="Arial" w:cs="Arial" w:eastAsia="Arial" w:hAnsi="Arial"/>
                <w:sz w:val="18"/>
                <w:szCs w:val="18"/>
                <w:color w:val="auto"/>
              </w:rPr>
              <w:t>(a)</w:t>
            </w:r>
          </w:p>
        </w:tc>
        <w:tc>
          <w:tcPr>
            <w:tcW w:w="8880" w:type="dxa"/>
            <w:vAlign w:val="bottom"/>
          </w:tcPr>
          <w:p>
            <w:pPr>
              <w:jc w:val="right"/>
              <w:spacing w:after="0"/>
              <w:rPr>
                <w:sz w:val="20"/>
                <w:szCs w:val="20"/>
                <w:color w:val="auto"/>
              </w:rPr>
            </w:pPr>
            <w:r>
              <w:rPr>
                <w:rFonts w:ascii="Arial" w:cs="Arial" w:eastAsia="Arial" w:hAnsi="Arial"/>
                <w:sz w:val="18"/>
                <w:szCs w:val="18"/>
                <w:color w:val="auto"/>
              </w:rPr>
              <w:t>4.02,10.05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w:t>
            </w:r>
          </w:p>
        </w:tc>
        <w:tc>
          <w:tcPr>
            <w:tcW w:w="8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540" w:type="dxa"/>
            <w:vAlign w:val="bottom"/>
          </w:tcPr>
          <w:p>
            <w:pPr>
              <w:ind w:left="160"/>
              <w:spacing w:after="0"/>
              <w:rPr>
                <w:sz w:val="20"/>
                <w:szCs w:val="20"/>
                <w:color w:val="auto"/>
              </w:rPr>
            </w:pPr>
            <w:r>
              <w:rPr>
                <w:rFonts w:ascii="Arial" w:cs="Arial" w:eastAsia="Arial" w:hAnsi="Arial"/>
                <w:sz w:val="18"/>
                <w:szCs w:val="18"/>
                <w:color w:val="auto"/>
              </w:rPr>
              <w:t>(c)(1)</w:t>
            </w:r>
          </w:p>
        </w:tc>
        <w:tc>
          <w:tcPr>
            <w:tcW w:w="8880" w:type="dxa"/>
            <w:vAlign w:val="bottom"/>
          </w:tcPr>
          <w:p>
            <w:pPr>
              <w:jc w:val="right"/>
              <w:spacing w:after="0"/>
              <w:rPr>
                <w:sz w:val="20"/>
                <w:szCs w:val="20"/>
                <w:color w:val="auto"/>
              </w:rPr>
            </w:pPr>
            <w:r>
              <w:rPr>
                <w:rFonts w:ascii="Arial" w:cs="Arial" w:eastAsia="Arial" w:hAnsi="Arial"/>
                <w:sz w:val="18"/>
                <w:szCs w:val="18"/>
                <w:color w:val="auto"/>
              </w:rPr>
              <w:t>10.04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(c)(2)</w:t>
            </w:r>
          </w:p>
        </w:tc>
        <w:tc>
          <w:tcPr>
            <w:tcW w:w="8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540" w:type="dxa"/>
            <w:vAlign w:val="bottom"/>
          </w:tcPr>
          <w:p>
            <w:pPr>
              <w:ind w:left="160"/>
              <w:spacing w:after="0"/>
              <w:rPr>
                <w:sz w:val="20"/>
                <w:szCs w:val="20"/>
                <w:color w:val="auto"/>
              </w:rPr>
            </w:pPr>
            <w:r>
              <w:rPr>
                <w:rFonts w:ascii="Arial" w:cs="Arial" w:eastAsia="Arial" w:hAnsi="Arial"/>
                <w:sz w:val="18"/>
                <w:szCs w:val="18"/>
                <w:color w:val="auto"/>
              </w:rPr>
              <w:t>(c)(3)</w:t>
            </w:r>
          </w:p>
        </w:tc>
        <w:tc>
          <w:tcPr>
            <w:tcW w:w="8880" w:type="dxa"/>
            <w:vAlign w:val="bottom"/>
          </w:tcPr>
          <w:p>
            <w:pPr>
              <w:jc w:val="right"/>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w:t>
            </w:r>
          </w:p>
        </w:tc>
        <w:tc>
          <w:tcPr>
            <w:tcW w:w="8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540" w:type="dxa"/>
            <w:vAlign w:val="bottom"/>
          </w:tcPr>
          <w:p>
            <w:pPr>
              <w:ind w:left="160"/>
              <w:spacing w:after="0"/>
              <w:rPr>
                <w:sz w:val="20"/>
                <w:szCs w:val="20"/>
                <w:color w:val="auto"/>
              </w:rPr>
            </w:pPr>
            <w:r>
              <w:rPr>
                <w:rFonts w:ascii="Arial" w:cs="Arial" w:eastAsia="Arial" w:hAnsi="Arial"/>
                <w:sz w:val="18"/>
                <w:szCs w:val="18"/>
                <w:color w:val="auto"/>
              </w:rPr>
              <w:t>(e)</w:t>
            </w:r>
          </w:p>
        </w:tc>
        <w:tc>
          <w:tcPr>
            <w:tcW w:w="8880" w:type="dxa"/>
            <w:vAlign w:val="bottom"/>
          </w:tcPr>
          <w:p>
            <w:pPr>
              <w:jc w:val="right"/>
              <w:spacing w:after="0"/>
              <w:rPr>
                <w:sz w:val="20"/>
                <w:szCs w:val="20"/>
                <w:color w:val="auto"/>
              </w:rPr>
            </w:pPr>
            <w:r>
              <w:rPr>
                <w:rFonts w:ascii="Arial" w:cs="Arial" w:eastAsia="Arial" w:hAnsi="Arial"/>
                <w:sz w:val="18"/>
                <w:szCs w:val="18"/>
                <w:color w:val="auto"/>
              </w:rPr>
              <w:t>10.05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w:t>
            </w:r>
          </w:p>
        </w:tc>
        <w:tc>
          <w:tcPr>
            <w:tcW w:w="8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Section 315</w:t>
            </w:r>
          </w:p>
        </w:tc>
        <w:tc>
          <w:tcPr>
            <w:tcW w:w="1540" w:type="dxa"/>
            <w:vAlign w:val="bottom"/>
          </w:tcPr>
          <w:p>
            <w:pPr>
              <w:ind w:left="160"/>
              <w:spacing w:after="0"/>
              <w:rPr>
                <w:sz w:val="20"/>
                <w:szCs w:val="20"/>
                <w:color w:val="auto"/>
              </w:rPr>
            </w:pPr>
            <w:r>
              <w:rPr>
                <w:rFonts w:ascii="Arial" w:cs="Arial" w:eastAsia="Arial" w:hAnsi="Arial"/>
                <w:sz w:val="18"/>
                <w:szCs w:val="18"/>
                <w:color w:val="auto"/>
              </w:rPr>
              <w:t>(a)</w:t>
            </w:r>
          </w:p>
        </w:tc>
        <w:tc>
          <w:tcPr>
            <w:tcW w:w="8880" w:type="dxa"/>
            <w:vAlign w:val="bottom"/>
          </w:tcPr>
          <w:p>
            <w:pPr>
              <w:jc w:val="right"/>
              <w:spacing w:after="0"/>
              <w:rPr>
                <w:sz w:val="20"/>
                <w:szCs w:val="20"/>
                <w:color w:val="auto"/>
              </w:rPr>
            </w:pPr>
            <w:r>
              <w:rPr>
                <w:rFonts w:ascii="Arial" w:cs="Arial" w:eastAsia="Arial" w:hAnsi="Arial"/>
                <w:sz w:val="18"/>
                <w:szCs w:val="18"/>
                <w:color w:val="auto"/>
              </w:rPr>
              <w:t>7.01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w:t>
            </w:r>
          </w:p>
        </w:tc>
        <w:tc>
          <w:tcPr>
            <w:tcW w:w="8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540" w:type="dxa"/>
            <w:vAlign w:val="bottom"/>
          </w:tcPr>
          <w:p>
            <w:pPr>
              <w:ind w:left="160"/>
              <w:spacing w:after="0"/>
              <w:rPr>
                <w:sz w:val="20"/>
                <w:szCs w:val="20"/>
                <w:color w:val="auto"/>
              </w:rPr>
            </w:pPr>
            <w:r>
              <w:rPr>
                <w:rFonts w:ascii="Arial" w:cs="Arial" w:eastAsia="Arial" w:hAnsi="Arial"/>
                <w:sz w:val="18"/>
                <w:szCs w:val="18"/>
                <w:color w:val="auto"/>
              </w:rPr>
              <w:t>(c)</w:t>
            </w:r>
          </w:p>
        </w:tc>
        <w:tc>
          <w:tcPr>
            <w:tcW w:w="8880" w:type="dxa"/>
            <w:vAlign w:val="bottom"/>
          </w:tcPr>
          <w:p>
            <w:pPr>
              <w:jc w:val="right"/>
              <w:spacing w:after="0"/>
              <w:rPr>
                <w:sz w:val="20"/>
                <w:szCs w:val="20"/>
                <w:color w:val="auto"/>
              </w:rPr>
            </w:pPr>
            <w:r>
              <w:rPr>
                <w:rFonts w:ascii="Arial" w:cs="Arial" w:eastAsia="Arial" w:hAnsi="Arial"/>
                <w:sz w:val="18"/>
                <w:szCs w:val="18"/>
                <w:color w:val="auto"/>
              </w:rPr>
              <w:t>7.01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w:t>
            </w:r>
          </w:p>
        </w:tc>
        <w:tc>
          <w:tcPr>
            <w:tcW w:w="8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540" w:type="dxa"/>
            <w:vAlign w:val="bottom"/>
          </w:tcPr>
          <w:p>
            <w:pPr>
              <w:ind w:left="160"/>
              <w:spacing w:after="0"/>
              <w:rPr>
                <w:sz w:val="20"/>
                <w:szCs w:val="20"/>
                <w:color w:val="auto"/>
              </w:rPr>
            </w:pPr>
            <w:r>
              <w:rPr>
                <w:rFonts w:ascii="Arial" w:cs="Arial" w:eastAsia="Arial" w:hAnsi="Arial"/>
                <w:sz w:val="18"/>
                <w:szCs w:val="18"/>
                <w:color w:val="auto"/>
              </w:rPr>
              <w:t>(e)</w:t>
            </w:r>
          </w:p>
        </w:tc>
        <w:tc>
          <w:tcPr>
            <w:tcW w:w="8880" w:type="dxa"/>
            <w:vAlign w:val="bottom"/>
          </w:tcPr>
          <w:p>
            <w:pPr>
              <w:jc w:val="right"/>
              <w:spacing w:after="0"/>
              <w:rPr>
                <w:sz w:val="20"/>
                <w:szCs w:val="20"/>
                <w:color w:val="auto"/>
              </w:rPr>
            </w:pPr>
            <w:r>
              <w:rPr>
                <w:rFonts w:ascii="Arial" w:cs="Arial" w:eastAsia="Arial" w:hAnsi="Arial"/>
                <w:sz w:val="18"/>
                <w:szCs w:val="18"/>
                <w:color w:val="auto"/>
              </w:rPr>
              <w:t>6.14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Section 316</w:t>
            </w:r>
          </w:p>
        </w:tc>
        <w:tc>
          <w:tcPr>
            <w:tcW w:w="1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w:t>
            </w:r>
          </w:p>
        </w:tc>
        <w:tc>
          <w:tcPr>
            <w:tcW w:w="8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540" w:type="dxa"/>
            <w:vAlign w:val="bottom"/>
          </w:tcPr>
          <w:p>
            <w:pPr>
              <w:ind w:left="160"/>
              <w:spacing w:after="0"/>
              <w:rPr>
                <w:sz w:val="20"/>
                <w:szCs w:val="20"/>
                <w:color w:val="auto"/>
              </w:rPr>
            </w:pPr>
            <w:r>
              <w:rPr>
                <w:rFonts w:ascii="Arial" w:cs="Arial" w:eastAsia="Arial" w:hAnsi="Arial"/>
                <w:sz w:val="18"/>
                <w:szCs w:val="18"/>
                <w:color w:val="auto"/>
              </w:rPr>
              <w:t>(a)(1)(a)</w:t>
            </w:r>
          </w:p>
        </w:tc>
        <w:tc>
          <w:tcPr>
            <w:tcW w:w="8880" w:type="dxa"/>
            <w:vAlign w:val="bottom"/>
          </w:tcPr>
          <w:p>
            <w:pPr>
              <w:jc w:val="right"/>
              <w:spacing w:after="0"/>
              <w:rPr>
                <w:sz w:val="20"/>
                <w:szCs w:val="20"/>
                <w:color w:val="auto"/>
              </w:rPr>
            </w:pPr>
            <w:r>
              <w:rPr>
                <w:rFonts w:ascii="Arial" w:cs="Arial" w:eastAsia="Arial" w:hAnsi="Arial"/>
                <w:sz w:val="18"/>
                <w:szCs w:val="18"/>
                <w:color w:val="auto"/>
              </w:rPr>
              <w:t>6.12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(a)(1)(b)</w:t>
            </w:r>
          </w:p>
        </w:tc>
        <w:tc>
          <w:tcPr>
            <w:tcW w:w="8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540" w:type="dxa"/>
            <w:vAlign w:val="bottom"/>
          </w:tcPr>
          <w:p>
            <w:pPr>
              <w:ind w:left="160"/>
              <w:spacing w:after="0"/>
              <w:rPr>
                <w:sz w:val="20"/>
                <w:szCs w:val="20"/>
                <w:color w:val="auto"/>
              </w:rPr>
            </w:pPr>
            <w:r>
              <w:rPr>
                <w:rFonts w:ascii="Arial" w:cs="Arial" w:eastAsia="Arial" w:hAnsi="Arial"/>
                <w:sz w:val="18"/>
                <w:szCs w:val="18"/>
                <w:color w:val="auto"/>
              </w:rPr>
              <w:t>(b)</w:t>
            </w:r>
          </w:p>
        </w:tc>
        <w:tc>
          <w:tcPr>
            <w:tcW w:w="8880" w:type="dxa"/>
            <w:vAlign w:val="bottom"/>
          </w:tcPr>
          <w:p>
            <w:pPr>
              <w:jc w:val="right"/>
              <w:spacing w:after="0"/>
              <w:rPr>
                <w:sz w:val="20"/>
                <w:szCs w:val="20"/>
                <w:color w:val="auto"/>
              </w:rPr>
            </w:pPr>
            <w:r>
              <w:rPr>
                <w:rFonts w:ascii="Arial" w:cs="Arial" w:eastAsia="Arial" w:hAnsi="Arial"/>
                <w:sz w:val="18"/>
                <w:szCs w:val="18"/>
                <w:color w:val="auto"/>
              </w:rPr>
              <w:t>6.08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Section 317</w:t>
            </w:r>
          </w:p>
        </w:tc>
        <w:tc>
          <w:tcPr>
            <w:tcW w:w="1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(a)(1)</w:t>
            </w:r>
          </w:p>
        </w:tc>
        <w:tc>
          <w:tcPr>
            <w:tcW w:w="8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540" w:type="dxa"/>
            <w:vAlign w:val="bottom"/>
          </w:tcPr>
          <w:p>
            <w:pPr>
              <w:ind w:left="160"/>
              <w:spacing w:after="0"/>
              <w:rPr>
                <w:sz w:val="20"/>
                <w:szCs w:val="20"/>
                <w:color w:val="auto"/>
              </w:rPr>
            </w:pPr>
            <w:r>
              <w:rPr>
                <w:rFonts w:ascii="Arial" w:cs="Arial" w:eastAsia="Arial" w:hAnsi="Arial"/>
                <w:sz w:val="18"/>
                <w:szCs w:val="18"/>
                <w:color w:val="auto"/>
              </w:rPr>
              <w:t>(a)(2)</w:t>
            </w:r>
          </w:p>
        </w:tc>
        <w:tc>
          <w:tcPr>
            <w:tcW w:w="8880" w:type="dxa"/>
            <w:vAlign w:val="bottom"/>
          </w:tcPr>
          <w:p>
            <w:pPr>
              <w:jc w:val="right"/>
              <w:spacing w:after="0"/>
              <w:rPr>
                <w:sz w:val="20"/>
                <w:szCs w:val="20"/>
                <w:color w:val="auto"/>
              </w:rPr>
            </w:pPr>
            <w:r>
              <w:rPr>
                <w:rFonts w:ascii="Arial" w:cs="Arial" w:eastAsia="Arial" w:hAnsi="Arial"/>
                <w:sz w:val="18"/>
                <w:szCs w:val="18"/>
                <w:color w:val="auto"/>
              </w:rPr>
              <w:t>6.04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w:t>
            </w:r>
          </w:p>
        </w:tc>
        <w:tc>
          <w:tcPr>
            <w:tcW w:w="8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Section 318</w:t>
            </w:r>
          </w:p>
        </w:tc>
        <w:tc>
          <w:tcPr>
            <w:tcW w:w="1540" w:type="dxa"/>
            <w:vAlign w:val="bottom"/>
          </w:tcPr>
          <w:p>
            <w:pPr>
              <w:ind w:left="160"/>
              <w:spacing w:after="0"/>
              <w:rPr>
                <w:sz w:val="20"/>
                <w:szCs w:val="20"/>
                <w:color w:val="auto"/>
              </w:rPr>
            </w:pPr>
            <w:r>
              <w:rPr>
                <w:rFonts w:ascii="Arial" w:cs="Arial" w:eastAsia="Arial" w:hAnsi="Arial"/>
                <w:sz w:val="18"/>
                <w:szCs w:val="18"/>
                <w:color w:val="auto"/>
              </w:rPr>
              <w:t>(a)</w:t>
            </w:r>
          </w:p>
        </w:tc>
        <w:tc>
          <w:tcPr>
            <w:tcW w:w="8880" w:type="dxa"/>
            <w:vAlign w:val="bottom"/>
          </w:tcPr>
          <w:p>
            <w:pPr>
              <w:jc w:val="right"/>
              <w:spacing w:after="0"/>
              <w:rPr>
                <w:sz w:val="20"/>
                <w:szCs w:val="20"/>
                <w:color w:val="auto"/>
              </w:rPr>
            </w:pPr>
            <w:r>
              <w:rPr>
                <w:rFonts w:ascii="Arial" w:cs="Arial" w:eastAsia="Arial" w:hAnsi="Arial"/>
                <w:sz w:val="18"/>
                <w:szCs w:val="18"/>
                <w:color w:val="auto"/>
              </w:rPr>
              <w:t>10.01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7" w:name="page28"/>
    <w:bookmarkEnd w:id="27"/>
    <w:p>
      <w:pPr>
        <w:ind w:left="360"/>
        <w:spacing w:after="0"/>
        <w:rPr>
          <w:sz w:val="20"/>
          <w:szCs w:val="20"/>
          <w:color w:val="auto"/>
        </w:rPr>
      </w:pPr>
      <w:r>
        <w:rPr>
          <w:rFonts w:ascii="Arial" w:cs="Arial" w:eastAsia="Arial" w:hAnsi="Arial"/>
          <w:sz w:val="15"/>
          <w:szCs w:val="15"/>
          <w:color w:val="auto"/>
        </w:rPr>
        <w:t>Indenture dated as of_______, ____ between Tower Semiconductor Ltd.., an Israeli company (“</w:t>
      </w:r>
      <w:r>
        <w:rPr>
          <w:rFonts w:ascii="Arial" w:cs="Arial" w:eastAsia="Arial" w:hAnsi="Arial"/>
          <w:sz w:val="15"/>
          <w:szCs w:val="15"/>
          <w:i w:val="1"/>
          <w:iCs w:val="1"/>
          <w:color w:val="auto"/>
        </w:rPr>
        <w:t>Company</w:t>
      </w:r>
      <w:r>
        <w:rPr>
          <w:rFonts w:ascii="Arial" w:cs="Arial" w:eastAsia="Arial" w:hAnsi="Arial"/>
          <w:sz w:val="15"/>
          <w:szCs w:val="15"/>
          <w:color w:val="auto"/>
        </w:rPr>
        <w:t>”), and _______, a _______ corporation, as trustee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Trustee</w:t>
      </w:r>
      <w:r>
        <w:rPr>
          <w:rFonts w:ascii="Arial" w:cs="Arial" w:eastAsia="Arial" w:hAnsi="Arial"/>
          <w:sz w:val="18"/>
          <w:szCs w:val="18"/>
          <w:color w:val="auto"/>
        </w:rPr>
        <w:t>”).</w:t>
      </w:r>
    </w:p>
    <w:p>
      <w:pPr>
        <w:spacing w:after="0" w:line="219" w:lineRule="exact"/>
        <w:rPr>
          <w:sz w:val="20"/>
          <w:szCs w:val="20"/>
          <w:color w:val="auto"/>
        </w:rPr>
      </w:pPr>
    </w:p>
    <w:p>
      <w:pPr>
        <w:ind w:right="720" w:firstLine="351"/>
        <w:spacing w:after="0" w:line="268" w:lineRule="auto"/>
        <w:rPr>
          <w:sz w:val="20"/>
          <w:szCs w:val="20"/>
          <w:color w:val="auto"/>
        </w:rPr>
      </w:pPr>
      <w:r>
        <w:rPr>
          <w:rFonts w:ascii="Arial" w:cs="Arial" w:eastAsia="Arial" w:hAnsi="Arial"/>
          <w:sz w:val="18"/>
          <w:szCs w:val="18"/>
          <w:color w:val="auto"/>
        </w:rPr>
        <w:t>Each party agrees as follows for the benefit of the other party and for the equal and ratable benefit of the Holders of the Securities issued under this Indenture.</w:t>
      </w:r>
    </w:p>
    <w:p>
      <w:pPr>
        <w:spacing w:after="0" w:line="24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ARTICLE 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 AND INCORPORATION BY REFERENCE</w:t>
      </w:r>
    </w:p>
    <w:p>
      <w:pPr>
        <w:spacing w:after="0" w:line="294"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Section 1.01 Definitions.</w:t>
      </w:r>
    </w:p>
    <w:p>
      <w:pPr>
        <w:spacing w:after="0" w:line="231" w:lineRule="exact"/>
        <w:rPr>
          <w:sz w:val="20"/>
          <w:szCs w:val="20"/>
          <w:color w:val="auto"/>
        </w:rPr>
      </w:pPr>
    </w:p>
    <w:p>
      <w:pPr>
        <w:ind w:right="280" w:firstLine="351"/>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Additional Amounts</w:t>
      </w:r>
      <w:r>
        <w:rPr>
          <w:rFonts w:ascii="Arial" w:cs="Arial" w:eastAsia="Arial" w:hAnsi="Arial"/>
          <w:sz w:val="16"/>
          <w:szCs w:val="16"/>
          <w:color w:val="auto"/>
        </w:rPr>
        <w:t>” means any additional amounts which are required hereby or by any Security, under circumstances specified herein or therein, to be paid by the Company in respect of certain taxes imposed on Holders specified herein or therein and which are owing to such Holders.</w:t>
      </w:r>
    </w:p>
    <w:p>
      <w:pPr>
        <w:spacing w:after="0" w:line="139"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Affiliate</w:t>
      </w:r>
      <w:r>
        <w:rPr>
          <w:rFonts w:ascii="Arial" w:cs="Arial" w:eastAsia="Arial" w:hAnsi="Arial"/>
          <w:sz w:val="16"/>
          <w:szCs w:val="16"/>
          <w:color w:val="auto"/>
        </w:rPr>
        <w:t>” of any specified person means any other person directly or indirectly controlling or controlled by or under direct or indirect common control with such specified person. For the purposes of this definition, “control” (including, with correlative meanings, the terms “controlled by” and “under common control with”), as used with respect to any person, shall mean the possession, directly or indirectly, of the power to direct or cause the direction of the management or policies of such person, whether through the ownership of voting securities or by agreement or otherwise.</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Agent</w:t>
      </w:r>
      <w:r>
        <w:rPr>
          <w:rFonts w:ascii="Arial" w:cs="Arial" w:eastAsia="Arial" w:hAnsi="Arial"/>
          <w:sz w:val="18"/>
          <w:szCs w:val="18"/>
          <w:color w:val="auto"/>
        </w:rPr>
        <w:t>” means any Registrar, Paying Agent or Service Agent.</w:t>
      </w:r>
    </w:p>
    <w:p>
      <w:pPr>
        <w:spacing w:after="0" w:line="225" w:lineRule="exact"/>
        <w:rPr>
          <w:sz w:val="20"/>
          <w:szCs w:val="20"/>
          <w:color w:val="auto"/>
        </w:rPr>
      </w:pPr>
    </w:p>
    <w:p>
      <w:pPr>
        <w:ind w:right="780" w:firstLine="351"/>
        <w:spacing w:after="0" w:line="332" w:lineRule="auto"/>
        <w:rPr>
          <w:sz w:val="20"/>
          <w:szCs w:val="20"/>
          <w:color w:val="auto"/>
        </w:rPr>
      </w:pPr>
      <w:r>
        <w:rPr>
          <w:rFonts w:ascii="Arial" w:cs="Arial" w:eastAsia="Arial" w:hAnsi="Arial"/>
          <w:sz w:val="16"/>
          <w:szCs w:val="16"/>
          <w:i w:val="1"/>
          <w:iCs w:val="1"/>
          <w:color w:val="auto"/>
        </w:rPr>
        <w:t xml:space="preserve">“Applicable Procedures” </w:t>
      </w:r>
      <w:r>
        <w:rPr>
          <w:rFonts w:ascii="Arial" w:cs="Arial" w:eastAsia="Arial" w:hAnsi="Arial"/>
          <w:sz w:val="16"/>
          <w:szCs w:val="16"/>
          <w:color w:val="auto"/>
        </w:rPr>
        <w:t>means, with respect to any transfer or transaction involving a Global Security or beneficial interest therein, the rules and</w:t>
      </w:r>
      <w:r>
        <w:rPr>
          <w:rFonts w:ascii="Arial" w:cs="Arial" w:eastAsia="Arial" w:hAnsi="Arial"/>
          <w:sz w:val="16"/>
          <w:szCs w:val="16"/>
          <w:i w:val="1"/>
          <w:iCs w:val="1"/>
          <w:color w:val="auto"/>
        </w:rPr>
        <w:t xml:space="preserve"> </w:t>
      </w:r>
      <w:r>
        <w:rPr>
          <w:rFonts w:ascii="Arial" w:cs="Arial" w:eastAsia="Arial" w:hAnsi="Arial"/>
          <w:sz w:val="16"/>
          <w:szCs w:val="16"/>
          <w:color w:val="auto"/>
        </w:rPr>
        <w:t>procedures of DTC or any successor Depositary, in each case to the extent applicable to such transaction and as in effect from time to time.</w:t>
      </w:r>
    </w:p>
    <w:p>
      <w:pPr>
        <w:spacing w:after="0" w:line="139"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Authorized Newspaper</w:t>
      </w:r>
      <w:r>
        <w:rPr>
          <w:rFonts w:ascii="Arial" w:cs="Arial" w:eastAsia="Arial" w:hAnsi="Arial"/>
          <w:sz w:val="18"/>
          <w:szCs w:val="18"/>
          <w:color w:val="auto"/>
        </w:rPr>
        <w:t>” means a newspaper in an official language of the country of publication customarily published at least once a day for at least five days in each calendar week and of general circulation in the place in connection with which the term is used. If it shall be impractical in the opinion of the Trustee to make any publication of any notice required hereby in an Authorized Newspaper, any publication or other notice in lieu thereof that is made or given by the Trustee shall constitute a sufficient publication of such notice.</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Bearer</w:t>
      </w:r>
      <w:r>
        <w:rPr>
          <w:rFonts w:ascii="Arial" w:cs="Arial" w:eastAsia="Arial" w:hAnsi="Arial"/>
          <w:sz w:val="18"/>
          <w:szCs w:val="18"/>
          <w:color w:val="auto"/>
        </w:rPr>
        <w:t>” means anyone in possession from time to time of a Bearer Security.</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Bearer Security</w:t>
      </w:r>
      <w:r>
        <w:rPr>
          <w:rFonts w:ascii="Arial" w:cs="Arial" w:eastAsia="Arial" w:hAnsi="Arial"/>
          <w:sz w:val="16"/>
          <w:szCs w:val="16"/>
          <w:color w:val="auto"/>
        </w:rPr>
        <w:t>” means any Security, including any interest coupon appertaining thereto, that does not provide for the identification of the Holder thereof.</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 of Directors</w:t>
      </w:r>
      <w:r>
        <w:rPr>
          <w:rFonts w:ascii="Arial" w:cs="Arial" w:eastAsia="Arial" w:hAnsi="Arial"/>
          <w:sz w:val="18"/>
          <w:szCs w:val="18"/>
          <w:color w:val="auto"/>
        </w:rPr>
        <w:t>” means the Board of Directors of the Company or any duly authorized committee thereof.</w:t>
      </w:r>
    </w:p>
    <w:p>
      <w:pPr>
        <w:spacing w:after="0" w:line="225" w:lineRule="exact"/>
        <w:rPr>
          <w:sz w:val="20"/>
          <w:szCs w:val="20"/>
          <w:color w:val="auto"/>
        </w:rPr>
      </w:pPr>
    </w:p>
    <w:p>
      <w:pPr>
        <w:ind w:right="180" w:firstLine="351"/>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Board Resolution</w:t>
      </w:r>
      <w:r>
        <w:rPr>
          <w:rFonts w:ascii="Arial" w:cs="Arial" w:eastAsia="Arial" w:hAnsi="Arial"/>
          <w:sz w:val="16"/>
          <w:szCs w:val="16"/>
          <w:color w:val="auto"/>
        </w:rPr>
        <w:t>” means a copy of a resolution certified by the Secretary or an Assistant Secretary of the Company to have been adopted by the Board of Directors or pursuant to authorization by the Board of Directors and to be in full force and effect on the date of the certificate and delivered to the Trustee.</w:t>
      </w:r>
    </w:p>
    <w:p>
      <w:pPr>
        <w:spacing w:after="0" w:line="139"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Business Day</w:t>
      </w:r>
      <w:r>
        <w:rPr>
          <w:rFonts w:ascii="Arial" w:cs="Arial" w:eastAsia="Arial" w:hAnsi="Arial"/>
          <w:sz w:val="18"/>
          <w:szCs w:val="18"/>
          <w:color w:val="auto"/>
        </w:rPr>
        <w:t>” means, unless otherwise provided by Board Resolution, Officers’ Certificate or supplemental indenture hereto for a particular Series, any day except a Saturday, Sunday or a legal holiday in The City of New York on which banking institutions are authorized or required by law, regulation or executive order to close.</w:t>
      </w:r>
    </w:p>
    <w:p>
      <w:pPr>
        <w:spacing w:after="0" w:line="194" w:lineRule="exact"/>
        <w:rPr>
          <w:sz w:val="20"/>
          <w:szCs w:val="20"/>
          <w:color w:val="auto"/>
        </w:rPr>
      </w:pPr>
    </w:p>
    <w:p>
      <w:pPr>
        <w:jc w:val="both"/>
        <w:ind w:right="140" w:firstLine="351"/>
        <w:spacing w:after="0" w:line="259" w:lineRule="auto"/>
        <w:rPr>
          <w:sz w:val="20"/>
          <w:szCs w:val="20"/>
          <w:color w:val="auto"/>
        </w:rPr>
      </w:pPr>
      <w:r>
        <w:rPr>
          <w:rFonts w:ascii="Arial" w:cs="Arial" w:eastAsia="Arial" w:hAnsi="Arial"/>
          <w:sz w:val="18"/>
          <w:szCs w:val="18"/>
          <w:i w:val="1"/>
          <w:iCs w:val="1"/>
          <w:color w:val="auto"/>
        </w:rPr>
        <w:t xml:space="preserve">“Capital Interests” </w:t>
      </w:r>
      <w:r>
        <w:rPr>
          <w:rFonts w:ascii="Arial" w:cs="Arial" w:eastAsia="Arial" w:hAnsi="Arial"/>
          <w:sz w:val="18"/>
          <w:szCs w:val="18"/>
          <w:color w:val="auto"/>
        </w:rPr>
        <w:t>means any and all shares, interests, participations, rights or other equivalents (however designated) of capital stock, including, without</w:t>
      </w:r>
      <w:r>
        <w:rPr>
          <w:rFonts w:ascii="Arial" w:cs="Arial" w:eastAsia="Arial" w:hAnsi="Arial"/>
          <w:sz w:val="18"/>
          <w:szCs w:val="18"/>
          <w:i w:val="1"/>
          <w:iCs w:val="1"/>
          <w:color w:val="auto"/>
        </w:rPr>
        <w:t xml:space="preserve"> </w:t>
      </w:r>
      <w:r>
        <w:rPr>
          <w:rFonts w:ascii="Arial" w:cs="Arial" w:eastAsia="Arial" w:hAnsi="Arial"/>
          <w:sz w:val="18"/>
          <w:szCs w:val="18"/>
          <w:color w:val="auto"/>
        </w:rPr>
        <w:t>limitation, with respect to partnerships, partnership interests (whether general or limited) and any other interest or participation that confers on a person the right to receive a share of the profits and losses of, or distributions of assets of, such partnership.</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347" w:right="239" w:bottom="1440" w:gutter="0" w:footer="0" w:header="0"/>
        </w:sectPr>
      </w:pPr>
    </w:p>
    <w:bookmarkStart w:id="28" w:name="page29"/>
    <w:bookmarkEnd w:id="28"/>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Company</w:t>
      </w:r>
      <w:r>
        <w:rPr>
          <w:rFonts w:ascii="Arial" w:cs="Arial" w:eastAsia="Arial" w:hAnsi="Arial"/>
          <w:sz w:val="18"/>
          <w:szCs w:val="18"/>
          <w:color w:val="auto"/>
        </w:rPr>
        <w:t>” means the party named as such above until a successor replaces it and thereafter means the successor.</w:t>
      </w:r>
    </w:p>
    <w:p>
      <w:pPr>
        <w:spacing w:after="0" w:line="225" w:lineRule="exact"/>
        <w:rPr>
          <w:sz w:val="20"/>
          <w:szCs w:val="20"/>
          <w:color w:val="auto"/>
        </w:rPr>
      </w:pPr>
    </w:p>
    <w:p>
      <w:pPr>
        <w:ind w:right="42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Company Order</w:t>
      </w:r>
      <w:r>
        <w:rPr>
          <w:rFonts w:ascii="Arial" w:cs="Arial" w:eastAsia="Arial" w:hAnsi="Arial"/>
          <w:sz w:val="18"/>
          <w:szCs w:val="18"/>
          <w:color w:val="auto"/>
        </w:rPr>
        <w:t>” means a written order signed in the name of the Company by two Officers, one of whom must be the Company’s principal executive officer, principal financial officer or principal accounting officer.</w:t>
      </w:r>
    </w:p>
    <w:p>
      <w:pPr>
        <w:spacing w:after="0" w:line="186"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Company Request</w:t>
      </w:r>
      <w:r>
        <w:rPr>
          <w:rFonts w:ascii="Arial" w:cs="Arial" w:eastAsia="Arial" w:hAnsi="Arial"/>
          <w:sz w:val="18"/>
          <w:szCs w:val="18"/>
          <w:color w:val="auto"/>
        </w:rPr>
        <w:t>” means a written request signed in the name of the Company by its Chief Executive Officer, Chief Financial Officer or a Vice President, and by its Treasurer, an Assistant Treasurer, its Secretary or an Assistant Secretary, and delivered to the Trustee.</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Corporate Trust Office”</w:t>
      </w:r>
      <w:r>
        <w:rPr>
          <w:rFonts w:ascii="Arial" w:cs="Arial" w:eastAsia="Arial" w:hAnsi="Arial"/>
          <w:sz w:val="16"/>
          <w:szCs w:val="16"/>
          <w:color w:val="auto"/>
        </w:rPr>
        <w:t xml:space="preserve"> means the office of the Trustee at which at any particular time its corporate trust business shall be principally administered.</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Default</w:t>
      </w:r>
      <w:r>
        <w:rPr>
          <w:rFonts w:ascii="Arial" w:cs="Arial" w:eastAsia="Arial" w:hAnsi="Arial"/>
          <w:sz w:val="18"/>
          <w:szCs w:val="18"/>
          <w:color w:val="auto"/>
        </w:rPr>
        <w:t>” means any event which is, or after notice or passage of time or both would be, an Event of Default.</w:t>
      </w:r>
    </w:p>
    <w:p>
      <w:pPr>
        <w:spacing w:after="0" w:line="225"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Depository</w:t>
      </w:r>
      <w:r>
        <w:rPr>
          <w:rFonts w:ascii="Arial" w:cs="Arial" w:eastAsia="Arial" w:hAnsi="Arial"/>
          <w:sz w:val="18"/>
          <w:szCs w:val="18"/>
          <w:color w:val="auto"/>
        </w:rPr>
        <w:t>” means, with respect to the Securities of any Series issuable or issued in whole or part in the form of one or more Global Securities, the person designated as Depositary for such Series by the Company, which Depository shall be a clearing agency registered under the Exchange Act; and if at any time there is more than one such person, “Depository” as used with respect to the Securities of any Series shall mean the Depository with respect to the Securities of such Series.</w:t>
      </w:r>
    </w:p>
    <w:p>
      <w:pPr>
        <w:spacing w:after="0" w:line="197"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Discount Security</w:t>
      </w:r>
      <w:r>
        <w:rPr>
          <w:rFonts w:ascii="Arial" w:cs="Arial" w:eastAsia="Arial" w:hAnsi="Arial"/>
          <w:sz w:val="18"/>
          <w:szCs w:val="18"/>
          <w:color w:val="auto"/>
        </w:rPr>
        <w:t>” means any Security that provides for an amount less than the stated principal amount thereof to be due and payable upon declaration of acceleration of the maturity thereof pursuant to Section 6.02.</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Dollars</w:t>
      </w:r>
      <w:r>
        <w:rPr>
          <w:rFonts w:ascii="Arial" w:cs="Arial" w:eastAsia="Arial" w:hAnsi="Arial"/>
          <w:sz w:val="18"/>
          <w:szCs w:val="18"/>
          <w:color w:val="auto"/>
        </w:rPr>
        <w:t>” and “</w:t>
      </w:r>
      <w:r>
        <w:rPr>
          <w:rFonts w:ascii="Arial" w:cs="Arial" w:eastAsia="Arial" w:hAnsi="Arial"/>
          <w:sz w:val="18"/>
          <w:szCs w:val="18"/>
          <w:i w:val="1"/>
          <w:iCs w:val="1"/>
          <w:color w:val="auto"/>
        </w:rPr>
        <w:t>$</w:t>
      </w:r>
      <w:r>
        <w:rPr>
          <w:rFonts w:ascii="Arial" w:cs="Arial" w:eastAsia="Arial" w:hAnsi="Arial"/>
          <w:sz w:val="18"/>
          <w:szCs w:val="18"/>
          <w:color w:val="auto"/>
        </w:rPr>
        <w:t>” means the currency of The United States of America.</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DTC</w:t>
      </w:r>
      <w:r>
        <w:rPr>
          <w:rFonts w:ascii="Arial" w:cs="Arial" w:eastAsia="Arial" w:hAnsi="Arial"/>
          <w:sz w:val="18"/>
          <w:szCs w:val="18"/>
          <w:color w:val="auto"/>
        </w:rPr>
        <w:t>” means the Depository Trust Company, a New York corporation.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 Act</w:t>
      </w:r>
      <w:r>
        <w:rPr>
          <w:rFonts w:ascii="Arial" w:cs="Arial" w:eastAsia="Arial" w:hAnsi="Arial"/>
          <w:sz w:val="18"/>
          <w:szCs w:val="18"/>
          <w:color w:val="auto"/>
        </w:rPr>
        <w:t>” means the Securities Exchange Act of 1934, as amended, and the rules and regulations promulgated thereunder.</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Foreign Currency</w:t>
      </w:r>
      <w:r>
        <w:rPr>
          <w:rFonts w:ascii="Arial" w:cs="Arial" w:eastAsia="Arial" w:hAnsi="Arial"/>
          <w:sz w:val="16"/>
          <w:szCs w:val="16"/>
          <w:color w:val="auto"/>
        </w:rPr>
        <w:t>” means any currency or currency unit issued by a government other than the government of The United States of America.</w:t>
      </w:r>
    </w:p>
    <w:p>
      <w:pPr>
        <w:spacing w:after="0" w:line="248"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Foreign Government Obligations</w:t>
      </w:r>
      <w:r>
        <w:rPr>
          <w:rFonts w:ascii="Arial" w:cs="Arial" w:eastAsia="Arial" w:hAnsi="Arial"/>
          <w:sz w:val="16"/>
          <w:szCs w:val="16"/>
          <w:color w:val="auto"/>
        </w:rPr>
        <w:t>” means, with respect to Securities of any Series that are denominated in a Foreign Currency, (i) direct obligations of the government that issued or caused to be issued such currency for the payment of which obligations its full faith and credit is pledged or (ii) obligations of a person controlled or supervised by or acting as an agency or instrumentality of such government the timely payment of which is unconditionally guaranteed as a full faith and credit obligation by such government, which, in either case under clauses (i) or (ii), are not callable or redeemable at the option of the issuer thereof.</w:t>
      </w:r>
    </w:p>
    <w:p>
      <w:pPr>
        <w:spacing w:after="0" w:line="167" w:lineRule="exact"/>
        <w:rPr>
          <w:sz w:val="20"/>
          <w:szCs w:val="20"/>
          <w:color w:val="auto"/>
        </w:rPr>
      </w:pPr>
    </w:p>
    <w:p>
      <w:pPr>
        <w:ind w:right="120" w:firstLine="351"/>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GAAP</w:t>
      </w:r>
      <w:r>
        <w:rPr>
          <w:rFonts w:ascii="Arial" w:cs="Arial" w:eastAsia="Arial" w:hAnsi="Arial"/>
          <w:sz w:val="16"/>
          <w:szCs w:val="16"/>
          <w:color w:val="auto"/>
        </w:rPr>
        <w:t>” means generally accepted accounting principles set forth in the opinions and pronouncements of the Accounting Principles Board of the American Standards Board or in such other statements by such other entity as have been approved by a significant segment of the accounting profession.</w:t>
      </w:r>
    </w:p>
    <w:p>
      <w:pPr>
        <w:spacing w:after="0" w:line="139" w:lineRule="exact"/>
        <w:rPr>
          <w:sz w:val="20"/>
          <w:szCs w:val="20"/>
          <w:color w:val="auto"/>
        </w:rPr>
      </w:pPr>
    </w:p>
    <w:p>
      <w:pPr>
        <w:ind w:right="140" w:firstLine="351"/>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Global Security</w:t>
      </w:r>
      <w:r>
        <w:rPr>
          <w:rFonts w:ascii="Arial" w:cs="Arial" w:eastAsia="Arial" w:hAnsi="Arial"/>
          <w:sz w:val="16"/>
          <w:szCs w:val="16"/>
          <w:color w:val="auto"/>
        </w:rPr>
        <w:t>” or “</w:t>
      </w:r>
      <w:r>
        <w:rPr>
          <w:rFonts w:ascii="Arial" w:cs="Arial" w:eastAsia="Arial" w:hAnsi="Arial"/>
          <w:sz w:val="16"/>
          <w:szCs w:val="16"/>
          <w:i w:val="1"/>
          <w:iCs w:val="1"/>
          <w:color w:val="auto"/>
        </w:rPr>
        <w:t>Global Securities</w:t>
      </w:r>
      <w:r>
        <w:rPr>
          <w:rFonts w:ascii="Arial" w:cs="Arial" w:eastAsia="Arial" w:hAnsi="Arial"/>
          <w:sz w:val="16"/>
          <w:szCs w:val="16"/>
          <w:color w:val="auto"/>
        </w:rPr>
        <w:t>” means a Security or Securities, as the case may be, in the form established pursuant to Section 2.02 evidencing all or part of a Series of Securities, issued to the Depository for such Series or its nominee, and registered in the name of such Depository or nominee.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347" w:right="239" w:bottom="1440" w:gutter="0" w:footer="0" w:header="0"/>
        </w:sectPr>
      </w:pPr>
    </w:p>
    <w:bookmarkStart w:id="29" w:name="page30"/>
    <w:bookmarkEnd w:id="29"/>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Holder</w:t>
      </w:r>
      <w:r>
        <w:rPr>
          <w:rFonts w:ascii="Arial" w:cs="Arial" w:eastAsia="Arial" w:hAnsi="Arial"/>
          <w:sz w:val="18"/>
          <w:szCs w:val="18"/>
          <w:color w:val="auto"/>
        </w:rPr>
        <w:t>” means a person in whose name a Security is registered or the holder of a Bearer Security.</w:t>
      </w:r>
    </w:p>
    <w:p>
      <w:pPr>
        <w:spacing w:after="0" w:line="225" w:lineRule="exact"/>
        <w:rPr>
          <w:sz w:val="20"/>
          <w:szCs w:val="20"/>
          <w:color w:val="auto"/>
        </w:rPr>
      </w:pPr>
    </w:p>
    <w:p>
      <w:pPr>
        <w:ind w:right="46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Indenture</w:t>
      </w:r>
      <w:r>
        <w:rPr>
          <w:rFonts w:ascii="Arial" w:cs="Arial" w:eastAsia="Arial" w:hAnsi="Arial"/>
          <w:sz w:val="18"/>
          <w:szCs w:val="18"/>
          <w:color w:val="auto"/>
        </w:rPr>
        <w:t>” means this Indenture as amended or supplemented from time to time and shall include the form and terms of particular Series of Securities established as contemplated hereunder.</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interest</w:t>
      </w:r>
      <w:r>
        <w:rPr>
          <w:rFonts w:ascii="Arial" w:cs="Arial" w:eastAsia="Arial" w:hAnsi="Arial"/>
          <w:sz w:val="18"/>
          <w:szCs w:val="18"/>
          <w:color w:val="auto"/>
        </w:rPr>
        <w:t>” with respect to any Discount Security which by its terms bears interest only after Maturity means interest payable after Maturity.</w:t>
      </w:r>
    </w:p>
    <w:p>
      <w:pPr>
        <w:spacing w:after="0" w:line="225" w:lineRule="exact"/>
        <w:rPr>
          <w:sz w:val="20"/>
          <w:szCs w:val="20"/>
          <w:color w:val="auto"/>
        </w:rPr>
      </w:pPr>
    </w:p>
    <w:p>
      <w:pPr>
        <w:ind w:right="540"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Maturity</w:t>
      </w:r>
      <w:r>
        <w:rPr>
          <w:rFonts w:ascii="Arial" w:cs="Arial" w:eastAsia="Arial" w:hAnsi="Arial"/>
          <w:sz w:val="18"/>
          <w:szCs w:val="18"/>
          <w:color w:val="auto"/>
        </w:rPr>
        <w:t>,” when used with respect to any Security or installment of principal thereof, means the date on which the principal of such Security or such installment of principal becomes due and payable as therein or herein provided, whether at the Stated Maturity or by declaration of acceleration, call for redemption or otherwise.</w:t>
      </w:r>
    </w:p>
    <w:p>
      <w:pPr>
        <w:spacing w:after="0" w:line="194" w:lineRule="exact"/>
        <w:rPr>
          <w:sz w:val="20"/>
          <w:szCs w:val="20"/>
          <w:color w:val="auto"/>
        </w:rPr>
      </w:pPr>
    </w:p>
    <w:p>
      <w:pPr>
        <w:ind w:right="58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Officer</w:t>
      </w:r>
      <w:r>
        <w:rPr>
          <w:rFonts w:ascii="Arial" w:cs="Arial" w:eastAsia="Arial" w:hAnsi="Arial"/>
          <w:sz w:val="18"/>
          <w:szCs w:val="18"/>
          <w:color w:val="auto"/>
        </w:rPr>
        <w:t>” means the Chief Executive Officer, Chief Financial Officer, any Vice-President, the Treasurer, the Secretary, any Assistant Treasurer or any Assistant Secretary of the Company.</w:t>
      </w:r>
    </w:p>
    <w:p>
      <w:pPr>
        <w:spacing w:after="0" w:line="186"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Officers’ Certificate</w:t>
      </w:r>
      <w:r>
        <w:rPr>
          <w:rFonts w:ascii="Arial" w:cs="Arial" w:eastAsia="Arial" w:hAnsi="Arial"/>
          <w:sz w:val="18"/>
          <w:szCs w:val="18"/>
          <w:color w:val="auto"/>
        </w:rPr>
        <w:t xml:space="preserve"> ” means a certificate signed by two Officers, one of whom must be the Company’s principal executive officer, principal financial officer or principal accounting officer.</w:t>
      </w:r>
    </w:p>
    <w:p>
      <w:pPr>
        <w:spacing w:after="0" w:line="186"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Opinion of Counsel</w:t>
      </w:r>
      <w:r>
        <w:rPr>
          <w:rFonts w:ascii="Arial" w:cs="Arial" w:eastAsia="Arial" w:hAnsi="Arial"/>
          <w:sz w:val="18"/>
          <w:szCs w:val="18"/>
          <w:color w:val="auto"/>
        </w:rPr>
        <w:t>” means a written opinion of legal counsel who is reasonably acceptable to the Trustee. The counsel may be an employee of or counsel to the Company.</w:t>
      </w:r>
    </w:p>
    <w:p>
      <w:pPr>
        <w:spacing w:after="0" w:line="186"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Person</w:t>
      </w:r>
      <w:r>
        <w:rPr>
          <w:rFonts w:ascii="Arial" w:cs="Arial" w:eastAsia="Arial" w:hAnsi="Arial"/>
          <w:sz w:val="18"/>
          <w:szCs w:val="18"/>
          <w:color w:val="auto"/>
        </w:rPr>
        <w:t>” means any individual, corporation, partnership, joint venture, association, limited liability company, joint-stock company, trust, unincorporated organization or government or any agency or political subdivision thereof.</w:t>
      </w:r>
    </w:p>
    <w:p>
      <w:pPr>
        <w:spacing w:after="0" w:line="186"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w:t>
      </w:r>
      <w:r>
        <w:rPr>
          <w:rFonts w:ascii="Arial" w:cs="Arial" w:eastAsia="Arial" w:hAnsi="Arial"/>
          <w:sz w:val="18"/>
          <w:szCs w:val="18"/>
          <w:color w:val="auto"/>
        </w:rPr>
        <w:t>” of a Security means the principal of the Security plus, when appropriate, the premium, if any, on, and any Additional Amounts in respect of, the Security.</w:t>
      </w:r>
    </w:p>
    <w:p>
      <w:pPr>
        <w:spacing w:after="0" w:line="186"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Responsible Officer</w:t>
      </w:r>
      <w:r>
        <w:rPr>
          <w:rFonts w:ascii="Arial" w:cs="Arial" w:eastAsia="Arial" w:hAnsi="Arial"/>
          <w:sz w:val="18"/>
          <w:szCs w:val="18"/>
          <w:color w:val="auto"/>
        </w:rPr>
        <w:t>” means any officer of the Trustee in its Corporate Trust Office with direct responsibility for the administration of this Indenture and also means, with respect to a particular corporate trust matter, any other officer to whom any corporate trust matter is referred because of his or her knowledge of and familiarity with a particular subject.</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w:t>
      </w:r>
      <w:r>
        <w:rPr>
          <w:rFonts w:ascii="Arial" w:cs="Arial" w:eastAsia="Arial" w:hAnsi="Arial"/>
          <w:sz w:val="18"/>
          <w:szCs w:val="18"/>
          <w:color w:val="auto"/>
        </w:rPr>
        <w:t>” means the Securities and Exchange Commission.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Securities</w:t>
      </w:r>
      <w:r>
        <w:rPr>
          <w:rFonts w:ascii="Arial" w:cs="Arial" w:eastAsia="Arial" w:hAnsi="Arial"/>
          <w:sz w:val="16"/>
          <w:szCs w:val="16"/>
          <w:color w:val="auto"/>
        </w:rPr>
        <w:t>” means the debentures, notes or other debt instruments of the Company of any Series authenticated and delivered under this Indenture.</w:t>
      </w:r>
    </w:p>
    <w:p>
      <w:pPr>
        <w:spacing w:after="0" w:line="248" w:lineRule="exact"/>
        <w:rPr>
          <w:sz w:val="20"/>
          <w:szCs w:val="20"/>
          <w:color w:val="auto"/>
        </w:rPr>
      </w:pPr>
    </w:p>
    <w:p>
      <w:pPr>
        <w:ind w:right="34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Series</w:t>
      </w:r>
      <w:r>
        <w:rPr>
          <w:rFonts w:ascii="Arial" w:cs="Arial" w:eastAsia="Arial" w:hAnsi="Arial"/>
          <w:sz w:val="18"/>
          <w:szCs w:val="18"/>
          <w:color w:val="auto"/>
        </w:rPr>
        <w:t>” or “</w:t>
      </w:r>
      <w:r>
        <w:rPr>
          <w:rFonts w:ascii="Arial" w:cs="Arial" w:eastAsia="Arial" w:hAnsi="Arial"/>
          <w:sz w:val="18"/>
          <w:szCs w:val="18"/>
          <w:i w:val="1"/>
          <w:iCs w:val="1"/>
          <w:color w:val="auto"/>
        </w:rPr>
        <w:t>Series of Securities</w:t>
      </w:r>
      <w:r>
        <w:rPr>
          <w:rFonts w:ascii="Arial" w:cs="Arial" w:eastAsia="Arial" w:hAnsi="Arial"/>
          <w:sz w:val="18"/>
          <w:szCs w:val="18"/>
          <w:color w:val="auto"/>
        </w:rPr>
        <w:t>” means each series of debentures, notes or other debt instruments of the Company created pursuant to Sections 2.01 and 2.02 hereof.</w:t>
      </w:r>
    </w:p>
    <w:p>
      <w:pPr>
        <w:spacing w:after="0" w:line="186" w:lineRule="exact"/>
        <w:rPr>
          <w:sz w:val="20"/>
          <w:szCs w:val="20"/>
          <w:color w:val="auto"/>
        </w:rPr>
      </w:pPr>
    </w:p>
    <w:p>
      <w:pPr>
        <w:ind w:right="620" w:firstLine="351"/>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Stated Maturity</w:t>
      </w:r>
      <w:r>
        <w:rPr>
          <w:rFonts w:ascii="Arial" w:cs="Arial" w:eastAsia="Arial" w:hAnsi="Arial"/>
          <w:sz w:val="16"/>
          <w:szCs w:val="16"/>
          <w:color w:val="auto"/>
        </w:rPr>
        <w:t>” means when used with respect to any Security or any installment of principal thereof or interest thereon, the date specified in such Security as the fixed date on which the principal of such Security or such installment of principal or interest is due and payable.</w:t>
      </w:r>
    </w:p>
    <w:p>
      <w:pPr>
        <w:spacing w:after="0" w:line="139"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i w:val="1"/>
          <w:iCs w:val="1"/>
          <w:color w:val="auto"/>
        </w:rPr>
        <w:t xml:space="preserve">“Subsidiary” </w:t>
      </w:r>
      <w:r>
        <w:rPr>
          <w:rFonts w:ascii="Arial" w:cs="Arial" w:eastAsia="Arial" w:hAnsi="Arial"/>
          <w:sz w:val="16"/>
          <w:szCs w:val="16"/>
          <w:color w:val="auto"/>
        </w:rPr>
        <w:t>means, with respect to any person, any corporation, association or other business entity of which more than 50% of the total voting power of</w:t>
      </w:r>
      <w:r>
        <w:rPr>
          <w:rFonts w:ascii="Arial" w:cs="Arial" w:eastAsia="Arial" w:hAnsi="Arial"/>
          <w:sz w:val="16"/>
          <w:szCs w:val="16"/>
          <w:i w:val="1"/>
          <w:iCs w:val="1"/>
          <w:color w:val="auto"/>
        </w:rPr>
        <w:t xml:space="preserve"> </w:t>
      </w:r>
      <w:r>
        <w:rPr>
          <w:rFonts w:ascii="Arial" w:cs="Arial" w:eastAsia="Arial" w:hAnsi="Arial"/>
          <w:sz w:val="16"/>
          <w:szCs w:val="16"/>
          <w:color w:val="auto"/>
        </w:rPr>
        <w:t>shares of Capital Interests entitled (without regard to the occurrence of any contingency) to vote in the election of directors, managers or trustees thereof or, in the case of a partnership, more than 50% of the partners’ Capital Interests (considering all partners’ Capital Interests as a single class), is at the time owned or controlled, directly or indirectly, by such person or one or more of the other Subsidiaries of such person or combination thereof.</w:t>
      </w:r>
    </w:p>
    <w:p>
      <w:pPr>
        <w:spacing w:after="0" w:line="167"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TIA</w:t>
      </w:r>
      <w:r>
        <w:rPr>
          <w:rFonts w:ascii="Arial" w:cs="Arial" w:eastAsia="Arial" w:hAnsi="Arial"/>
          <w:sz w:val="18"/>
          <w:szCs w:val="18"/>
          <w:color w:val="auto"/>
        </w:rPr>
        <w:t>” means the Trust Indenture Act of 1939 (15 U.S. Code Sections 77aaa-77bbbb) as in effect on the date of this Indenture and the rules and regulations promulgated thereunder; provided, however, that in the event the Trust Indenture Act of 1939 is amended after such date, “TIA” means, to the extent required by any such amendment, the Trust Indenture Act as so amended.</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347" w:right="239" w:bottom="1440" w:gutter="0" w:footer="0" w:header="0"/>
        </w:sectPr>
      </w:pPr>
    </w:p>
    <w:bookmarkStart w:id="30" w:name="page31"/>
    <w:bookmarkEnd w:id="30"/>
    <w:p>
      <w:pPr>
        <w:jc w:val="both"/>
        <w:ind w:right="60" w:firstLine="351"/>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Trustee</w:t>
      </w:r>
      <w:r>
        <w:rPr>
          <w:rFonts w:ascii="Arial" w:cs="Arial" w:eastAsia="Arial" w:hAnsi="Arial"/>
          <w:sz w:val="16"/>
          <w:szCs w:val="16"/>
          <w:color w:val="auto"/>
        </w:rPr>
        <w:t>” means the person named as the “Trustee” in the first paragraph of this instrument until a successor Trustee shall have become such pursuant to the applicable provisions of this Indenture, and thereafter “Trustee” shall mean each person who is then a Trustee hereunder, and if at any time there is more than one such person, “Trustee” as used with respect to the Securities of any Series shall mean the Trustee with respect to Securities of that Series.</w:t>
      </w:r>
    </w:p>
    <w:p>
      <w:pPr>
        <w:spacing w:after="0" w:line="161" w:lineRule="exact"/>
        <w:rPr>
          <w:sz w:val="20"/>
          <w:szCs w:val="20"/>
          <w:color w:val="auto"/>
        </w:rPr>
      </w:pPr>
    </w:p>
    <w:p>
      <w:pPr>
        <w:ind w:right="60" w:firstLine="351"/>
        <w:spacing w:after="0" w:line="312"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U.S. Government Obligations</w:t>
      </w:r>
      <w:r>
        <w:rPr>
          <w:rFonts w:ascii="Arial" w:cs="Arial" w:eastAsia="Arial" w:hAnsi="Arial"/>
          <w:sz w:val="15"/>
          <w:szCs w:val="15"/>
          <w:color w:val="auto"/>
        </w:rPr>
        <w:t>” means securities which are (i) direct obligations of The United States of America for the payment of which its full faith and credit is pledged or (ii) obligations of a person controlled or supervised by and acting as an agency or instrumentality of The United States of America the payment of which is unconditionally guaranteed as a full faith and credit obligation by The United States of America, and which are not callable or redeemable at the option of the issuer thereof, and shall also include a depository receipt issued by a bank or trust company as custodian with respect to any such U.S. Government Obligation or a specific payment of interest on or principal of any such U.S. Government Obligation held by such custodian for the account of the holder of a depository receipt, provided that (except as required by law) such custodian is not authorized to make any deduction from the amount payable to the holder of such depository receipt from any amount received by the custodian in respect of the U.S. Government Obligation evidenced by such depository receipt.</w:t>
      </w:r>
    </w:p>
    <w:p>
      <w:pPr>
        <w:spacing w:after="0" w:line="153"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Section 1.02 Other Definitions.</w:t>
      </w:r>
    </w:p>
    <w:p>
      <w:pPr>
        <w:spacing w:after="0" w:line="214"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rPr>
              <w:t>DEFINED IN</w:t>
            </w:r>
          </w:p>
        </w:tc>
      </w:tr>
      <w:tr>
        <w:trPr>
          <w:trHeight w:val="174"/>
        </w:trPr>
        <w:tc>
          <w:tcPr>
            <w:tcW w:w="4340" w:type="dxa"/>
            <w:vAlign w:val="bottom"/>
          </w:tcPr>
          <w:p>
            <w:pPr>
              <w:spacing w:after="0"/>
              <w:rPr>
                <w:sz w:val="20"/>
                <w:szCs w:val="20"/>
                <w:color w:val="auto"/>
              </w:rPr>
            </w:pPr>
            <w:r>
              <w:rPr>
                <w:rFonts w:ascii="Arial" w:cs="Arial" w:eastAsia="Arial" w:hAnsi="Arial"/>
                <w:sz w:val="14"/>
                <w:szCs w:val="14"/>
                <w:b w:val="1"/>
                <w:bCs w:val="1"/>
                <w:color w:val="auto"/>
              </w:rPr>
              <w:t>TERM</w:t>
            </w:r>
          </w:p>
        </w:tc>
        <w:tc>
          <w:tcPr>
            <w:tcW w:w="1000" w:type="dxa"/>
            <w:vAlign w:val="bottom"/>
          </w:tcPr>
          <w:p>
            <w:pPr>
              <w:spacing w:after="0"/>
              <w:rPr>
                <w:sz w:val="15"/>
                <w:szCs w:val="15"/>
                <w:color w:val="auto"/>
              </w:rPr>
            </w:pPr>
          </w:p>
        </w:tc>
        <w:tc>
          <w:tcPr>
            <w:tcW w:w="438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6"/>
              </w:rPr>
              <w:t>SECTION</w:t>
            </w:r>
          </w:p>
        </w:tc>
      </w:tr>
      <w:tr>
        <w:trPr>
          <w:trHeight w:val="95"/>
        </w:trPr>
        <w:tc>
          <w:tcPr>
            <w:tcW w:w="434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4380" w:type="dxa"/>
            <w:vAlign w:val="bottom"/>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r>
    </w:tbl>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0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"Bankruptcy Law"</w:t>
            </w:r>
          </w:p>
        </w:tc>
        <w:tc>
          <w:tcPr>
            <w:tcW w:w="4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w:t>
            </w:r>
          </w:p>
        </w:tc>
      </w:tr>
      <w:tr>
        <w:trPr>
          <w:trHeight w:val="216"/>
        </w:trPr>
        <w:tc>
          <w:tcPr>
            <w:tcW w:w="6900" w:type="dxa"/>
            <w:vAlign w:val="bottom"/>
          </w:tcPr>
          <w:p>
            <w:pPr>
              <w:ind w:left="360"/>
              <w:spacing w:after="0"/>
              <w:rPr>
                <w:sz w:val="20"/>
                <w:szCs w:val="20"/>
                <w:color w:val="auto"/>
              </w:rPr>
            </w:pPr>
            <w:r>
              <w:rPr>
                <w:rFonts w:ascii="Arial" w:cs="Arial" w:eastAsia="Arial" w:hAnsi="Arial"/>
                <w:sz w:val="18"/>
                <w:szCs w:val="18"/>
                <w:i w:val="1"/>
                <w:iCs w:val="1"/>
                <w:color w:val="auto"/>
              </w:rPr>
              <w:t>"Custodian"</w:t>
            </w:r>
          </w:p>
        </w:tc>
        <w:tc>
          <w:tcPr>
            <w:tcW w:w="4520" w:type="dxa"/>
            <w:vAlign w:val="bottom"/>
          </w:tcPr>
          <w:p>
            <w:pPr>
              <w:jc w:val="right"/>
              <w:spacing w:after="0"/>
              <w:rPr>
                <w:sz w:val="20"/>
                <w:szCs w:val="20"/>
                <w:color w:val="auto"/>
              </w:rPr>
            </w:pPr>
            <w:r>
              <w:rPr>
                <w:rFonts w:ascii="Arial" w:cs="Arial" w:eastAsia="Arial" w:hAnsi="Arial"/>
                <w:sz w:val="18"/>
                <w:szCs w:val="18"/>
                <w:color w:val="auto"/>
              </w:rPr>
              <w:t>6.01</w:t>
            </w:r>
          </w:p>
        </w:tc>
      </w:tr>
      <w:tr>
        <w:trPr>
          <w:trHeight w:val="216"/>
        </w:trPr>
        <w:tc>
          <w:tcPr>
            <w:tcW w:w="690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"Event of Default"</w:t>
            </w:r>
          </w:p>
        </w:tc>
        <w:tc>
          <w:tcPr>
            <w:tcW w:w="4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w:t>
            </w:r>
          </w:p>
        </w:tc>
      </w:tr>
      <w:tr>
        <w:trPr>
          <w:trHeight w:val="216"/>
        </w:trPr>
        <w:tc>
          <w:tcPr>
            <w:tcW w:w="6900" w:type="dxa"/>
            <w:vAlign w:val="bottom"/>
          </w:tcPr>
          <w:p>
            <w:pPr>
              <w:ind w:left="360"/>
              <w:spacing w:after="0"/>
              <w:rPr>
                <w:sz w:val="20"/>
                <w:szCs w:val="20"/>
                <w:color w:val="auto"/>
              </w:rPr>
            </w:pPr>
            <w:r>
              <w:rPr>
                <w:rFonts w:ascii="Arial" w:cs="Arial" w:eastAsia="Arial" w:hAnsi="Arial"/>
                <w:sz w:val="18"/>
                <w:szCs w:val="18"/>
                <w:i w:val="1"/>
                <w:iCs w:val="1"/>
                <w:color w:val="auto"/>
              </w:rPr>
              <w:t>"Judgment Currency"</w:t>
            </w:r>
          </w:p>
        </w:tc>
        <w:tc>
          <w:tcPr>
            <w:tcW w:w="4520" w:type="dxa"/>
            <w:vAlign w:val="bottom"/>
          </w:tcPr>
          <w:p>
            <w:pPr>
              <w:jc w:val="right"/>
              <w:spacing w:after="0"/>
              <w:rPr>
                <w:sz w:val="20"/>
                <w:szCs w:val="20"/>
                <w:color w:val="auto"/>
              </w:rPr>
            </w:pPr>
            <w:r>
              <w:rPr>
                <w:rFonts w:ascii="Arial" w:cs="Arial" w:eastAsia="Arial" w:hAnsi="Arial"/>
                <w:sz w:val="18"/>
                <w:szCs w:val="18"/>
                <w:color w:val="auto"/>
              </w:rPr>
              <w:t>10.16</w:t>
            </w:r>
          </w:p>
        </w:tc>
      </w:tr>
      <w:tr>
        <w:trPr>
          <w:trHeight w:val="216"/>
        </w:trPr>
        <w:tc>
          <w:tcPr>
            <w:tcW w:w="690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"Legal Holiday"</w:t>
            </w:r>
          </w:p>
        </w:tc>
        <w:tc>
          <w:tcPr>
            <w:tcW w:w="4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w:t>
            </w:r>
          </w:p>
        </w:tc>
      </w:tr>
      <w:tr>
        <w:trPr>
          <w:trHeight w:val="216"/>
        </w:trPr>
        <w:tc>
          <w:tcPr>
            <w:tcW w:w="6900" w:type="dxa"/>
            <w:vAlign w:val="bottom"/>
          </w:tcPr>
          <w:p>
            <w:pPr>
              <w:ind w:left="360"/>
              <w:spacing w:after="0"/>
              <w:rPr>
                <w:sz w:val="20"/>
                <w:szCs w:val="20"/>
                <w:color w:val="auto"/>
              </w:rPr>
            </w:pPr>
            <w:r>
              <w:rPr>
                <w:rFonts w:ascii="Arial" w:cs="Arial" w:eastAsia="Arial" w:hAnsi="Arial"/>
                <w:sz w:val="18"/>
                <w:szCs w:val="18"/>
                <w:i w:val="1"/>
                <w:iCs w:val="1"/>
                <w:color w:val="auto"/>
              </w:rPr>
              <w:t>"mandatory sinking fund payment"</w:t>
            </w:r>
          </w:p>
        </w:tc>
        <w:tc>
          <w:tcPr>
            <w:tcW w:w="4520" w:type="dxa"/>
            <w:vAlign w:val="bottom"/>
          </w:tcPr>
          <w:p>
            <w:pPr>
              <w:jc w:val="right"/>
              <w:spacing w:after="0"/>
              <w:rPr>
                <w:sz w:val="20"/>
                <w:szCs w:val="20"/>
                <w:color w:val="auto"/>
              </w:rPr>
            </w:pPr>
            <w:r>
              <w:rPr>
                <w:rFonts w:ascii="Arial" w:cs="Arial" w:eastAsia="Arial" w:hAnsi="Arial"/>
                <w:sz w:val="18"/>
                <w:szCs w:val="18"/>
                <w:color w:val="auto"/>
              </w:rPr>
              <w:t>11.01</w:t>
            </w:r>
          </w:p>
        </w:tc>
      </w:tr>
      <w:tr>
        <w:trPr>
          <w:trHeight w:val="216"/>
        </w:trPr>
        <w:tc>
          <w:tcPr>
            <w:tcW w:w="690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"Market Exchange Rate"</w:t>
            </w:r>
          </w:p>
        </w:tc>
        <w:tc>
          <w:tcPr>
            <w:tcW w:w="4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10.15</w:t>
            </w:r>
          </w:p>
        </w:tc>
      </w:tr>
      <w:tr>
        <w:trPr>
          <w:trHeight w:val="216"/>
        </w:trPr>
        <w:tc>
          <w:tcPr>
            <w:tcW w:w="6900" w:type="dxa"/>
            <w:vAlign w:val="bottom"/>
          </w:tcPr>
          <w:p>
            <w:pPr>
              <w:ind w:left="360"/>
              <w:spacing w:after="0"/>
              <w:rPr>
                <w:sz w:val="20"/>
                <w:szCs w:val="20"/>
                <w:color w:val="auto"/>
              </w:rPr>
            </w:pPr>
            <w:r>
              <w:rPr>
                <w:rFonts w:ascii="Arial" w:cs="Arial" w:eastAsia="Arial" w:hAnsi="Arial"/>
                <w:sz w:val="18"/>
                <w:szCs w:val="18"/>
                <w:i w:val="1"/>
                <w:iCs w:val="1"/>
                <w:color w:val="auto"/>
              </w:rPr>
              <w:t>"New York Banking Day"</w:t>
            </w:r>
          </w:p>
        </w:tc>
        <w:tc>
          <w:tcPr>
            <w:tcW w:w="4520" w:type="dxa"/>
            <w:vAlign w:val="bottom"/>
          </w:tcPr>
          <w:p>
            <w:pPr>
              <w:jc w:val="right"/>
              <w:spacing w:after="0"/>
              <w:rPr>
                <w:sz w:val="20"/>
                <w:szCs w:val="20"/>
                <w:color w:val="auto"/>
              </w:rPr>
            </w:pPr>
            <w:r>
              <w:rPr>
                <w:rFonts w:ascii="Arial" w:cs="Arial" w:eastAsia="Arial" w:hAnsi="Arial"/>
                <w:sz w:val="18"/>
                <w:szCs w:val="18"/>
                <w:color w:val="auto"/>
              </w:rPr>
              <w:t>10.16</w:t>
            </w:r>
          </w:p>
        </w:tc>
      </w:tr>
      <w:tr>
        <w:trPr>
          <w:trHeight w:val="216"/>
        </w:trPr>
        <w:tc>
          <w:tcPr>
            <w:tcW w:w="690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"optional sinking fund payment"</w:t>
            </w:r>
          </w:p>
        </w:tc>
        <w:tc>
          <w:tcPr>
            <w:tcW w:w="4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w:t>
            </w:r>
          </w:p>
        </w:tc>
      </w:tr>
      <w:tr>
        <w:trPr>
          <w:trHeight w:val="216"/>
        </w:trPr>
        <w:tc>
          <w:tcPr>
            <w:tcW w:w="6900" w:type="dxa"/>
            <w:vAlign w:val="bottom"/>
          </w:tcPr>
          <w:p>
            <w:pPr>
              <w:ind w:left="360"/>
              <w:spacing w:after="0"/>
              <w:rPr>
                <w:sz w:val="20"/>
                <w:szCs w:val="20"/>
                <w:color w:val="auto"/>
              </w:rPr>
            </w:pPr>
            <w:r>
              <w:rPr>
                <w:rFonts w:ascii="Arial" w:cs="Arial" w:eastAsia="Arial" w:hAnsi="Arial"/>
                <w:sz w:val="18"/>
                <w:szCs w:val="18"/>
                <w:i w:val="1"/>
                <w:iCs w:val="1"/>
                <w:color w:val="auto"/>
              </w:rPr>
              <w:t>"Paying Agent"</w:t>
            </w:r>
          </w:p>
        </w:tc>
        <w:tc>
          <w:tcPr>
            <w:tcW w:w="4520" w:type="dxa"/>
            <w:vAlign w:val="bottom"/>
          </w:tcPr>
          <w:p>
            <w:pPr>
              <w:jc w:val="right"/>
              <w:spacing w:after="0"/>
              <w:rPr>
                <w:sz w:val="20"/>
                <w:szCs w:val="20"/>
                <w:color w:val="auto"/>
              </w:rPr>
            </w:pPr>
            <w:r>
              <w:rPr>
                <w:rFonts w:ascii="Arial" w:cs="Arial" w:eastAsia="Arial" w:hAnsi="Arial"/>
                <w:sz w:val="18"/>
                <w:szCs w:val="18"/>
                <w:color w:val="auto"/>
              </w:rPr>
              <w:t>2.04</w:t>
            </w:r>
          </w:p>
        </w:tc>
      </w:tr>
      <w:tr>
        <w:trPr>
          <w:trHeight w:val="216"/>
        </w:trPr>
        <w:tc>
          <w:tcPr>
            <w:tcW w:w="690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"Registrar"</w:t>
            </w:r>
          </w:p>
        </w:tc>
        <w:tc>
          <w:tcPr>
            <w:tcW w:w="4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r>
      <w:tr>
        <w:trPr>
          <w:trHeight w:val="216"/>
        </w:trPr>
        <w:tc>
          <w:tcPr>
            <w:tcW w:w="6900" w:type="dxa"/>
            <w:vAlign w:val="bottom"/>
          </w:tcPr>
          <w:p>
            <w:pPr>
              <w:ind w:left="360"/>
              <w:spacing w:after="0"/>
              <w:rPr>
                <w:sz w:val="20"/>
                <w:szCs w:val="20"/>
                <w:color w:val="auto"/>
              </w:rPr>
            </w:pPr>
            <w:r>
              <w:rPr>
                <w:rFonts w:ascii="Arial" w:cs="Arial" w:eastAsia="Arial" w:hAnsi="Arial"/>
                <w:sz w:val="18"/>
                <w:szCs w:val="18"/>
                <w:i w:val="1"/>
                <w:iCs w:val="1"/>
                <w:color w:val="auto"/>
              </w:rPr>
              <w:t>"Required Currency"</w:t>
            </w:r>
          </w:p>
        </w:tc>
        <w:tc>
          <w:tcPr>
            <w:tcW w:w="4520" w:type="dxa"/>
            <w:vAlign w:val="bottom"/>
          </w:tcPr>
          <w:p>
            <w:pPr>
              <w:jc w:val="right"/>
              <w:spacing w:after="0"/>
              <w:rPr>
                <w:sz w:val="20"/>
                <w:szCs w:val="20"/>
                <w:color w:val="auto"/>
              </w:rPr>
            </w:pPr>
            <w:r>
              <w:rPr>
                <w:rFonts w:ascii="Arial" w:cs="Arial" w:eastAsia="Arial" w:hAnsi="Arial"/>
                <w:sz w:val="18"/>
                <w:szCs w:val="18"/>
                <w:color w:val="auto"/>
              </w:rPr>
              <w:t>10.16</w:t>
            </w:r>
          </w:p>
        </w:tc>
      </w:tr>
      <w:tr>
        <w:trPr>
          <w:trHeight w:val="216"/>
        </w:trPr>
        <w:tc>
          <w:tcPr>
            <w:tcW w:w="690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"Service Agent"</w:t>
            </w:r>
          </w:p>
        </w:tc>
        <w:tc>
          <w:tcPr>
            <w:tcW w:w="4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r>
      <w:tr>
        <w:trPr>
          <w:trHeight w:val="222"/>
        </w:trPr>
        <w:tc>
          <w:tcPr>
            <w:tcW w:w="6900" w:type="dxa"/>
            <w:vAlign w:val="bottom"/>
          </w:tcPr>
          <w:p>
            <w:pPr>
              <w:ind w:left="360"/>
              <w:spacing w:after="0"/>
              <w:rPr>
                <w:sz w:val="20"/>
                <w:szCs w:val="20"/>
                <w:color w:val="auto"/>
              </w:rPr>
            </w:pPr>
            <w:r>
              <w:rPr>
                <w:rFonts w:ascii="Arial" w:cs="Arial" w:eastAsia="Arial" w:hAnsi="Arial"/>
                <w:sz w:val="18"/>
                <w:szCs w:val="18"/>
                <w:i w:val="1"/>
                <w:iCs w:val="1"/>
                <w:color w:val="auto"/>
              </w:rPr>
              <w:t>"successor person"</w:t>
            </w:r>
          </w:p>
        </w:tc>
        <w:tc>
          <w:tcPr>
            <w:tcW w:w="4520" w:type="dxa"/>
            <w:vAlign w:val="bottom"/>
          </w:tcPr>
          <w:p>
            <w:pPr>
              <w:jc w:val="right"/>
              <w:spacing w:after="0"/>
              <w:rPr>
                <w:sz w:val="20"/>
                <w:szCs w:val="20"/>
                <w:color w:val="auto"/>
              </w:rPr>
            </w:pPr>
            <w:r>
              <w:rPr>
                <w:rFonts w:ascii="Arial" w:cs="Arial" w:eastAsia="Arial" w:hAnsi="Arial"/>
                <w:sz w:val="18"/>
                <w:szCs w:val="18"/>
                <w:color w:val="auto"/>
              </w:rPr>
              <w:t>5.01</w:t>
            </w:r>
          </w:p>
        </w:tc>
      </w:tr>
    </w:tbl>
    <w:p>
      <w:pPr>
        <w:spacing w:after="0" w:line="200" w:lineRule="exact"/>
        <w:rPr>
          <w:sz w:val="20"/>
          <w:szCs w:val="20"/>
          <w:color w:val="auto"/>
        </w:rPr>
      </w:pPr>
    </w:p>
    <w:p>
      <w:pPr>
        <w:spacing w:after="0" w:line="238"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Section 1.03 Incorporation by Reference of Trust Indenture Act.</w:t>
      </w:r>
    </w:p>
    <w:p>
      <w:pPr>
        <w:spacing w:after="0" w:line="231"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Whenever this Indenture refers to a provision of the TIA, the provision is incorporated by reference in and made a part of this Indenture. The following TIA terms used in this Indenture have the following meanings: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Commission</w:t>
      </w:r>
      <w:r>
        <w:rPr>
          <w:rFonts w:ascii="Arial" w:cs="Arial" w:eastAsia="Arial" w:hAnsi="Arial"/>
          <w:sz w:val="18"/>
          <w:szCs w:val="18"/>
          <w:color w:val="auto"/>
        </w:rPr>
        <w:t>” means the SEC.</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indenture securities</w:t>
      </w:r>
      <w:r>
        <w:rPr>
          <w:rFonts w:ascii="Arial" w:cs="Arial" w:eastAsia="Arial" w:hAnsi="Arial"/>
          <w:sz w:val="18"/>
          <w:szCs w:val="18"/>
          <w:color w:val="auto"/>
        </w:rPr>
        <w:t>” means the Securities.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indenture security holder</w:t>
      </w:r>
      <w:r>
        <w:rPr>
          <w:rFonts w:ascii="Arial" w:cs="Arial" w:eastAsia="Arial" w:hAnsi="Arial"/>
          <w:sz w:val="18"/>
          <w:szCs w:val="18"/>
          <w:color w:val="auto"/>
        </w:rPr>
        <w:t>” means a Holder.</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indenture to be qualified</w:t>
      </w:r>
      <w:r>
        <w:rPr>
          <w:rFonts w:ascii="Arial" w:cs="Arial" w:eastAsia="Arial" w:hAnsi="Arial"/>
          <w:sz w:val="18"/>
          <w:szCs w:val="18"/>
          <w:color w:val="auto"/>
        </w:rPr>
        <w:t>” means this Indenture.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347" w:right="239" w:bottom="1440" w:gutter="0" w:footer="0" w:header="0"/>
        </w:sectPr>
      </w:pPr>
    </w:p>
    <w:bookmarkStart w:id="31" w:name="page32"/>
    <w:bookmarkEnd w:id="31"/>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indenture trustee</w:t>
      </w:r>
      <w:r>
        <w:rPr>
          <w:rFonts w:ascii="Arial" w:cs="Arial" w:eastAsia="Arial" w:hAnsi="Arial"/>
          <w:sz w:val="18"/>
          <w:szCs w:val="18"/>
          <w:color w:val="auto"/>
        </w:rPr>
        <w:t>” or “</w:t>
      </w:r>
      <w:r>
        <w:rPr>
          <w:rFonts w:ascii="Arial" w:cs="Arial" w:eastAsia="Arial" w:hAnsi="Arial"/>
          <w:sz w:val="18"/>
          <w:szCs w:val="18"/>
          <w:i w:val="1"/>
          <w:iCs w:val="1"/>
          <w:color w:val="auto"/>
        </w:rPr>
        <w:t>institutional trustee</w:t>
      </w:r>
      <w:r>
        <w:rPr>
          <w:rFonts w:ascii="Arial" w:cs="Arial" w:eastAsia="Arial" w:hAnsi="Arial"/>
          <w:sz w:val="18"/>
          <w:szCs w:val="18"/>
          <w:color w:val="auto"/>
        </w:rPr>
        <w:t>” means the Trustee.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obligor</w:t>
      </w:r>
      <w:r>
        <w:rPr>
          <w:rFonts w:ascii="Arial" w:cs="Arial" w:eastAsia="Arial" w:hAnsi="Arial"/>
          <w:sz w:val="18"/>
          <w:szCs w:val="18"/>
          <w:color w:val="auto"/>
        </w:rPr>
        <w:t>” on the indenture securities means the Company and any successor obligor upon the Securities.</w:t>
      </w:r>
    </w:p>
    <w:p>
      <w:pPr>
        <w:spacing w:after="0" w:line="225" w:lineRule="exact"/>
        <w:rPr>
          <w:sz w:val="20"/>
          <w:szCs w:val="20"/>
          <w:color w:val="auto"/>
        </w:rPr>
      </w:pPr>
    </w:p>
    <w:p>
      <w:pPr>
        <w:ind w:right="80" w:firstLine="341"/>
        <w:spacing w:after="0" w:line="268" w:lineRule="auto"/>
        <w:rPr>
          <w:sz w:val="20"/>
          <w:szCs w:val="20"/>
          <w:color w:val="auto"/>
        </w:rPr>
      </w:pPr>
      <w:r>
        <w:rPr>
          <w:rFonts w:ascii="Arial" w:cs="Arial" w:eastAsia="Arial" w:hAnsi="Arial"/>
          <w:sz w:val="18"/>
          <w:szCs w:val="18"/>
          <w:color w:val="auto"/>
        </w:rPr>
        <w:t>All other terms used in this Indenture that are defined by the TIA, defined by TIA reference to another statute or defined by SEC rule under the TIA and not otherwise defined herein are used herein as so defined.</w:t>
      </w:r>
    </w:p>
    <w:p>
      <w:pPr>
        <w:spacing w:after="0" w:line="180"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Section 1.04 Rules of Construction.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Unless the context otherwise requires:</w:t>
      </w:r>
    </w:p>
    <w:p>
      <w:pPr>
        <w:spacing w:after="0" w:line="225" w:lineRule="exact"/>
        <w:rPr>
          <w:sz w:val="20"/>
          <w:szCs w:val="20"/>
          <w:color w:val="auto"/>
        </w:rPr>
      </w:pPr>
    </w:p>
    <w:p>
      <w:pPr>
        <w:ind w:left="600" w:hanging="241"/>
        <w:spacing w:after="0"/>
        <w:tabs>
          <w:tab w:leader="none" w:pos="6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term has the meaning assigned to it;</w:t>
      </w:r>
    </w:p>
    <w:p>
      <w:pPr>
        <w:spacing w:after="0" w:line="225" w:lineRule="exact"/>
        <w:rPr>
          <w:rFonts w:ascii="Arial" w:cs="Arial" w:eastAsia="Arial" w:hAnsi="Arial"/>
          <w:sz w:val="18"/>
          <w:szCs w:val="18"/>
          <w:color w:val="auto"/>
        </w:rPr>
      </w:pPr>
    </w:p>
    <w:p>
      <w:pPr>
        <w:ind w:left="600" w:hanging="241"/>
        <w:spacing w:after="0"/>
        <w:tabs>
          <w:tab w:leader="none" w:pos="6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 accounting term not otherwise defined has the meaning assigned to it in accordance with generally accepted accounting principles;</w:t>
      </w:r>
    </w:p>
    <w:p>
      <w:pPr>
        <w:spacing w:after="0" w:line="225" w:lineRule="exact"/>
        <w:rPr>
          <w:rFonts w:ascii="Arial" w:cs="Arial" w:eastAsia="Arial" w:hAnsi="Arial"/>
          <w:sz w:val="18"/>
          <w:szCs w:val="18"/>
          <w:color w:val="auto"/>
        </w:rPr>
      </w:pPr>
    </w:p>
    <w:p>
      <w:pPr>
        <w:ind w:right="120" w:firstLine="359"/>
        <w:spacing w:after="0" w:line="268" w:lineRule="auto"/>
        <w:tabs>
          <w:tab w:leader="none" w:pos="59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references to “generally accepted accounting principles” and “GAAP” shall mean generally accepted accounting principles in effect as of the time when and for the period as to which such accounting principles are to be applied;</w:t>
      </w:r>
    </w:p>
    <w:p>
      <w:pPr>
        <w:spacing w:after="0" w:line="185" w:lineRule="exact"/>
        <w:rPr>
          <w:rFonts w:ascii="Arial" w:cs="Arial" w:eastAsia="Arial" w:hAnsi="Arial"/>
          <w:sz w:val="18"/>
          <w:szCs w:val="18"/>
          <w:color w:val="auto"/>
        </w:rPr>
      </w:pPr>
    </w:p>
    <w:p>
      <w:pPr>
        <w:ind w:left="600" w:hanging="241"/>
        <w:spacing w:after="0"/>
        <w:tabs>
          <w:tab w:leader="none" w:pos="6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“or” is not exclusive;</w:t>
      </w:r>
    </w:p>
    <w:p>
      <w:pPr>
        <w:spacing w:after="0" w:line="225" w:lineRule="exact"/>
        <w:rPr>
          <w:rFonts w:ascii="Arial" w:cs="Arial" w:eastAsia="Arial" w:hAnsi="Arial"/>
          <w:sz w:val="18"/>
          <w:szCs w:val="18"/>
          <w:color w:val="auto"/>
        </w:rPr>
      </w:pPr>
    </w:p>
    <w:p>
      <w:pPr>
        <w:ind w:left="600" w:hanging="241"/>
        <w:spacing w:after="0"/>
        <w:tabs>
          <w:tab w:leader="none" w:pos="6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words in the singular include the plural, and in the plural include the singular; and</w:t>
      </w:r>
    </w:p>
    <w:p>
      <w:pPr>
        <w:spacing w:after="0" w:line="225" w:lineRule="exact"/>
        <w:rPr>
          <w:rFonts w:ascii="Arial" w:cs="Arial" w:eastAsia="Arial" w:hAnsi="Arial"/>
          <w:sz w:val="18"/>
          <w:szCs w:val="18"/>
          <w:color w:val="auto"/>
        </w:rPr>
      </w:pPr>
    </w:p>
    <w:p>
      <w:pPr>
        <w:ind w:left="580" w:hanging="221"/>
        <w:spacing w:after="0"/>
        <w:tabs>
          <w:tab w:leader="none" w:pos="5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provisions apply to successive events and transactions.</w:t>
      </w:r>
    </w:p>
    <w:p>
      <w:pPr>
        <w:spacing w:after="0" w:line="219"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ARTICLE II</w:t>
      </w:r>
    </w:p>
    <w:p>
      <w:pPr>
        <w:spacing w:after="0" w:line="21"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THE SECURITIES</w:t>
      </w:r>
    </w:p>
    <w:p>
      <w:pPr>
        <w:spacing w:after="0" w:line="213"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b w:val="1"/>
          <w:bCs w:val="1"/>
          <w:color w:val="auto"/>
        </w:rPr>
        <w:t xml:space="preserve">Section 2.01 Issuable in Series. </w:t>
      </w:r>
      <w:r>
        <w:rPr>
          <w:rFonts w:ascii="Arial" w:cs="Arial" w:eastAsia="Arial" w:hAnsi="Arial"/>
          <w:sz w:val="16"/>
          <w:szCs w:val="16"/>
          <w:color w:val="auto"/>
        </w:rPr>
        <w:t>The aggregate principal amount of Securities that may be authenticated and delivered under this Indenture is unlimited. The</w:t>
      </w:r>
      <w:r>
        <w:rPr>
          <w:rFonts w:ascii="Arial" w:cs="Arial" w:eastAsia="Arial" w:hAnsi="Arial"/>
          <w:sz w:val="16"/>
          <w:szCs w:val="16"/>
          <w:b w:val="1"/>
          <w:bCs w:val="1"/>
          <w:color w:val="auto"/>
        </w:rPr>
        <w:t xml:space="preserve"> </w:t>
      </w:r>
      <w:r>
        <w:rPr>
          <w:rFonts w:ascii="Arial" w:cs="Arial" w:eastAsia="Arial" w:hAnsi="Arial"/>
          <w:sz w:val="16"/>
          <w:szCs w:val="16"/>
          <w:color w:val="auto"/>
        </w:rPr>
        <w:t>Securities may be issued in one or more Series. All Securities of a Series shall be identical except as may be set forth or determined in the manner provided in a Board Resolution, supplemental indenture or Officers’ Certificate detailing the adoption of the terms thereof pursuant to authority granted under a Board Resolution. In the case of Securities of a Series to be issued from time to time, the Board Resolution, Officers’ Certificate or supplemental indenture detailing the adoption of the terms thereof pursuant to authority granted under a Board Resolution may provide for the method by which specified terms (such as interest rate, maturity date, record date or date from which interest shall accrue) are to be determined. Securities may differ between Series in respect of any matters, provided that all Series of Securities shall be equally and ratably entitled to the benefits of the Indenture.</w:t>
      </w:r>
    </w:p>
    <w:p>
      <w:pPr>
        <w:spacing w:after="0" w:line="167" w:lineRule="exact"/>
        <w:rPr>
          <w:sz w:val="20"/>
          <w:szCs w:val="20"/>
          <w:color w:val="auto"/>
        </w:rPr>
      </w:pPr>
    </w:p>
    <w:p>
      <w:pPr>
        <w:ind w:firstLine="351"/>
        <w:spacing w:after="0" w:line="258" w:lineRule="auto"/>
        <w:rPr>
          <w:sz w:val="20"/>
          <w:szCs w:val="20"/>
          <w:color w:val="auto"/>
        </w:rPr>
      </w:pPr>
      <w:r>
        <w:rPr>
          <w:rFonts w:ascii="Arial" w:cs="Arial" w:eastAsia="Arial" w:hAnsi="Arial"/>
          <w:sz w:val="18"/>
          <w:szCs w:val="18"/>
          <w:b w:val="1"/>
          <w:bCs w:val="1"/>
          <w:color w:val="auto"/>
        </w:rPr>
        <w:t xml:space="preserve">Section 2.02 Establishment of Terms of Series of Securities. </w:t>
      </w:r>
      <w:r>
        <w:rPr>
          <w:rFonts w:ascii="Arial" w:cs="Arial" w:eastAsia="Arial" w:hAnsi="Arial"/>
          <w:sz w:val="18"/>
          <w:szCs w:val="18"/>
          <w:color w:val="auto"/>
        </w:rPr>
        <w:t>At or prior to the issuance of any Securities within a Series, the following shall be established</w:t>
      </w:r>
      <w:r>
        <w:rPr>
          <w:rFonts w:ascii="Arial" w:cs="Arial" w:eastAsia="Arial" w:hAnsi="Arial"/>
          <w:sz w:val="18"/>
          <w:szCs w:val="18"/>
          <w:b w:val="1"/>
          <w:bCs w:val="1"/>
          <w:color w:val="auto"/>
        </w:rPr>
        <w:t xml:space="preserve"> </w:t>
      </w:r>
      <w:r>
        <w:rPr>
          <w:rFonts w:ascii="Arial" w:cs="Arial" w:eastAsia="Arial" w:hAnsi="Arial"/>
          <w:sz w:val="18"/>
          <w:szCs w:val="18"/>
          <w:color w:val="auto"/>
        </w:rPr>
        <w:t>(as to the Series generally, in the case of Subsection 2.02(a) and either as to such Securities within the Series or as to the Series generally in the case of Subsections 2.02(b) through 2.02(s) by or pursuant to a Board Resolution, and set forth or determined in the manner provided in a Board Resolution, supplemental indenture or an Officers’ Certificate:</w:t>
      </w:r>
    </w:p>
    <w:p>
      <w:pPr>
        <w:spacing w:after="0" w:line="196" w:lineRule="exact"/>
        <w:rPr>
          <w:sz w:val="20"/>
          <w:szCs w:val="20"/>
          <w:color w:val="auto"/>
        </w:rPr>
      </w:pPr>
    </w:p>
    <w:p>
      <w:pPr>
        <w:ind w:left="600" w:hanging="241"/>
        <w:spacing w:after="0"/>
        <w:tabs>
          <w:tab w:leader="none" w:pos="6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form and title of the Series (which shall distinguish the Securities of that particular Series from the Securities of any other Series);</w:t>
      </w:r>
    </w:p>
    <w:p>
      <w:pPr>
        <w:spacing w:after="0" w:line="225" w:lineRule="exact"/>
        <w:rPr>
          <w:rFonts w:ascii="Arial" w:cs="Arial" w:eastAsia="Arial" w:hAnsi="Arial"/>
          <w:sz w:val="18"/>
          <w:szCs w:val="18"/>
          <w:color w:val="auto"/>
        </w:rPr>
      </w:pPr>
    </w:p>
    <w:p>
      <w:pPr>
        <w:ind w:left="600" w:hanging="241"/>
        <w:spacing w:after="0"/>
        <w:tabs>
          <w:tab w:leader="none" w:pos="6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price or prices (expressed as a percentage of the principal amount thereof) at which the Securities of the Series will be issued;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00"/>
          </w:cols>
          <w:pgMar w:left="240" w:top="347" w:right="259" w:bottom="1440" w:gutter="0" w:footer="0" w:header="0"/>
        </w:sectPr>
      </w:pPr>
    </w:p>
    <w:bookmarkStart w:id="32" w:name="page33"/>
    <w:bookmarkEnd w:id="32"/>
    <w:p>
      <w:pPr>
        <w:ind w:left="-20" w:right="200" w:firstLine="359"/>
        <w:spacing w:after="0" w:line="259" w:lineRule="auto"/>
        <w:tabs>
          <w:tab w:leader="none" w:pos="57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limit upon the aggregate principal amount of the Securities of the Series which may be authenticated and delivered under this Indenture (except for Securities authenticated and delivered upon registration of transfer of, or in exchange for, or in lieu of, other Securities of the Series pursuant to Section 2.07, 2.08, 2.11, 3.06 or 9.06);</w:t>
      </w:r>
    </w:p>
    <w:p>
      <w:pPr>
        <w:spacing w:after="0" w:line="194" w:lineRule="exact"/>
        <w:rPr>
          <w:rFonts w:ascii="Arial" w:cs="Arial" w:eastAsia="Arial" w:hAnsi="Arial"/>
          <w:sz w:val="18"/>
          <w:szCs w:val="18"/>
          <w:color w:val="auto"/>
        </w:rPr>
      </w:pPr>
    </w:p>
    <w:p>
      <w:pPr>
        <w:ind w:left="580" w:hanging="241"/>
        <w:spacing w:after="0"/>
        <w:tabs>
          <w:tab w:leader="none" w:pos="5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date or dates on which the principal of the Securities of the Series is payable;</w:t>
      </w:r>
    </w:p>
    <w:p>
      <w:pPr>
        <w:spacing w:after="0" w:line="225" w:lineRule="exact"/>
        <w:rPr>
          <w:rFonts w:ascii="Arial" w:cs="Arial" w:eastAsia="Arial" w:hAnsi="Arial"/>
          <w:sz w:val="18"/>
          <w:szCs w:val="18"/>
          <w:color w:val="auto"/>
        </w:rPr>
      </w:pPr>
    </w:p>
    <w:p>
      <w:pPr>
        <w:ind w:left="-20" w:right="140" w:firstLine="359"/>
        <w:spacing w:after="0" w:line="256" w:lineRule="auto"/>
        <w:tabs>
          <w:tab w:leader="none" w:pos="57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rate or rates (which may be fixed or variable) per annum or, if applicable, the method used to determine such rate or rates (including, but not limited to, any commodity, commodity index, stock exchange index or financial index) at which the Securities of the Series shall bear interest, if any, the date or dates from which such interest, if any, shall accrue, the date or dates on which such interest, if any, shall commence and be payable and any regular record date for the interest payable on any interest payment date;</w:t>
      </w:r>
    </w:p>
    <w:p>
      <w:pPr>
        <w:spacing w:after="0" w:line="197" w:lineRule="exact"/>
        <w:rPr>
          <w:rFonts w:ascii="Arial" w:cs="Arial" w:eastAsia="Arial" w:hAnsi="Arial"/>
          <w:sz w:val="18"/>
          <w:szCs w:val="18"/>
          <w:color w:val="auto"/>
        </w:rPr>
      </w:pPr>
    </w:p>
    <w:p>
      <w:pPr>
        <w:ind w:left="-20" w:right="160" w:firstLine="359"/>
        <w:spacing w:after="0" w:line="259" w:lineRule="auto"/>
        <w:tabs>
          <w:tab w:leader="none" w:pos="55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place or places where the principal of and interest, if any, on the Securities of the Series shall be payable, where the Securities of such Series may be surrendered for registration of transfer or exchange and where notices and demands to or upon the Company in respect of the Securities of such Series and this Indenture may be served, and the method of such payment, if by wire transfer, mail or other means;</w:t>
      </w:r>
    </w:p>
    <w:p>
      <w:pPr>
        <w:spacing w:after="0" w:line="194" w:lineRule="exact"/>
        <w:rPr>
          <w:rFonts w:ascii="Arial" w:cs="Arial" w:eastAsia="Arial" w:hAnsi="Arial"/>
          <w:sz w:val="18"/>
          <w:szCs w:val="18"/>
          <w:color w:val="auto"/>
        </w:rPr>
      </w:pPr>
    </w:p>
    <w:p>
      <w:pPr>
        <w:ind w:left="-20" w:right="40" w:firstLine="359"/>
        <w:spacing w:after="0" w:line="268" w:lineRule="auto"/>
        <w:tabs>
          <w:tab w:leader="none" w:pos="5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if applicable, the period or periods within which, the price or prices at which and the terms and conditions upon which the Securities of the Series may be redeemed, in whole or in part, at the option of the Company;</w:t>
      </w:r>
    </w:p>
    <w:p>
      <w:pPr>
        <w:spacing w:after="0" w:line="185" w:lineRule="exact"/>
        <w:rPr>
          <w:rFonts w:ascii="Arial" w:cs="Arial" w:eastAsia="Arial" w:hAnsi="Arial"/>
          <w:sz w:val="18"/>
          <w:szCs w:val="18"/>
          <w:color w:val="auto"/>
        </w:rPr>
      </w:pPr>
    </w:p>
    <w:p>
      <w:pPr>
        <w:jc w:val="both"/>
        <w:ind w:left="-20" w:right="240" w:firstLine="359"/>
        <w:spacing w:after="0" w:line="259" w:lineRule="auto"/>
        <w:tabs>
          <w:tab w:leader="none" w:pos="5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obligation, if any, of the Company to redeem or purchase the Securities of the Series pursuant to any sinking fund or analogous provisions or at the option of a Holder thereof and the period or periods within which, the price or prices at which and the terms and conditions upon which Securities of the Series shall be redeemed or purchased, in whole or in part, pursuant to such obligation;</w:t>
      </w:r>
    </w:p>
    <w:p>
      <w:pPr>
        <w:spacing w:after="0" w:line="194" w:lineRule="exact"/>
        <w:rPr>
          <w:rFonts w:ascii="Arial" w:cs="Arial" w:eastAsia="Arial" w:hAnsi="Arial"/>
          <w:sz w:val="18"/>
          <w:szCs w:val="18"/>
          <w:color w:val="auto"/>
        </w:rPr>
      </w:pPr>
    </w:p>
    <w:p>
      <w:pPr>
        <w:ind w:left="-20" w:right="260" w:firstLine="359"/>
        <w:spacing w:after="0" w:line="268" w:lineRule="auto"/>
        <w:tabs>
          <w:tab w:leader="none" w:pos="541"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dates, if any, on which and the price or prices at which the Securities of the Series will be repurchased by the Company at the option of the Holders thereof and other detailed terms and provisions of such repurchase obligations;</w:t>
      </w:r>
    </w:p>
    <w:p>
      <w:pPr>
        <w:spacing w:after="0" w:line="185" w:lineRule="exact"/>
        <w:rPr>
          <w:rFonts w:ascii="Arial" w:cs="Arial" w:eastAsia="Arial" w:hAnsi="Arial"/>
          <w:sz w:val="18"/>
          <w:szCs w:val="18"/>
          <w:color w:val="auto"/>
        </w:rPr>
      </w:pPr>
    </w:p>
    <w:p>
      <w:pPr>
        <w:ind w:left="540" w:hanging="201"/>
        <w:spacing w:after="0"/>
        <w:tabs>
          <w:tab w:leader="none" w:pos="5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if other than denominations of $1,000 and any integral multiple thereof, the denominations in which the Securities of the Series shall be issuable;</w:t>
      </w:r>
    </w:p>
    <w:p>
      <w:pPr>
        <w:spacing w:after="0" w:line="248" w:lineRule="exact"/>
        <w:rPr>
          <w:rFonts w:ascii="Arial" w:cs="Arial" w:eastAsia="Arial" w:hAnsi="Arial"/>
          <w:sz w:val="16"/>
          <w:szCs w:val="16"/>
          <w:color w:val="auto"/>
        </w:rPr>
      </w:pPr>
    </w:p>
    <w:p>
      <w:pPr>
        <w:ind w:left="-20" w:right="380" w:firstLine="359"/>
        <w:spacing w:after="0" w:line="268" w:lineRule="auto"/>
        <w:tabs>
          <w:tab w:leader="none" w:pos="5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if other than the principal amount thereof, the portion of the principal amount of the Securities of the Series that shall be payable upon declaration of acceleration of the maturity thereof pursuant to Section 6.02;</w:t>
      </w:r>
    </w:p>
    <w:p>
      <w:pPr>
        <w:spacing w:after="0" w:line="185" w:lineRule="exact"/>
        <w:rPr>
          <w:rFonts w:ascii="Arial" w:cs="Arial" w:eastAsia="Arial" w:hAnsi="Arial"/>
          <w:sz w:val="18"/>
          <w:szCs w:val="18"/>
          <w:color w:val="auto"/>
        </w:rPr>
      </w:pPr>
    </w:p>
    <w:p>
      <w:pPr>
        <w:ind w:left="-20" w:right="500" w:firstLine="359"/>
        <w:spacing w:after="0" w:line="268" w:lineRule="auto"/>
        <w:tabs>
          <w:tab w:leader="none" w:pos="541"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currency of denomination of the Securities of the Series, which may be Dollars or any Foreign Currency, and the agency or organization, if any, responsible for overseeing such composite currency;</w:t>
      </w:r>
    </w:p>
    <w:p>
      <w:pPr>
        <w:spacing w:after="0" w:line="185" w:lineRule="exact"/>
        <w:rPr>
          <w:rFonts w:ascii="Arial" w:cs="Arial" w:eastAsia="Arial" w:hAnsi="Arial"/>
          <w:sz w:val="18"/>
          <w:szCs w:val="18"/>
          <w:color w:val="auto"/>
        </w:rPr>
      </w:pPr>
    </w:p>
    <w:p>
      <w:pPr>
        <w:ind w:left="640" w:hanging="301"/>
        <w:spacing w:after="0"/>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provisions, if any, relating to any security provided for the Securities of the Series;</w:t>
      </w:r>
    </w:p>
    <w:p>
      <w:pPr>
        <w:spacing w:after="0" w:line="225" w:lineRule="exact"/>
        <w:rPr>
          <w:rFonts w:ascii="Arial" w:cs="Arial" w:eastAsia="Arial" w:hAnsi="Arial"/>
          <w:sz w:val="18"/>
          <w:szCs w:val="18"/>
          <w:color w:val="auto"/>
        </w:rPr>
      </w:pPr>
    </w:p>
    <w:p>
      <w:pPr>
        <w:ind w:left="-20" w:right="100" w:firstLine="359"/>
        <w:spacing w:after="0" w:line="268" w:lineRule="auto"/>
        <w:tabs>
          <w:tab w:leader="none" w:pos="5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addition to or change in the Events of Default which applies to any Securities of the Series and any change in the right of the Trustee or the requisite Holders of such Securities to declare the principal amount thereof due and payable pursuant to Section 6.02;</w:t>
      </w:r>
    </w:p>
    <w:p>
      <w:pPr>
        <w:spacing w:after="0" w:line="185" w:lineRule="exact"/>
        <w:rPr>
          <w:rFonts w:ascii="Arial" w:cs="Arial" w:eastAsia="Arial" w:hAnsi="Arial"/>
          <w:sz w:val="18"/>
          <w:szCs w:val="18"/>
          <w:color w:val="auto"/>
        </w:rPr>
      </w:pPr>
    </w:p>
    <w:p>
      <w:pPr>
        <w:ind w:left="580" w:hanging="241"/>
        <w:spacing w:after="0"/>
        <w:tabs>
          <w:tab w:leader="none" w:pos="5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addition to or change in the covenants set forth in Articles IV or V which applies to Securities of the Series;</w:t>
      </w:r>
    </w:p>
    <w:p>
      <w:pPr>
        <w:spacing w:after="0" w:line="225" w:lineRule="exact"/>
        <w:rPr>
          <w:rFonts w:ascii="Arial" w:cs="Arial" w:eastAsia="Arial" w:hAnsi="Arial"/>
          <w:sz w:val="18"/>
          <w:szCs w:val="18"/>
          <w:color w:val="auto"/>
        </w:rPr>
      </w:pPr>
    </w:p>
    <w:p>
      <w:pPr>
        <w:ind w:left="-20" w:firstLine="359"/>
        <w:spacing w:after="0" w:line="306" w:lineRule="auto"/>
        <w:tabs>
          <w:tab w:leader="none" w:pos="5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provisions, if any, relating to conversion of any Securities of such Series, including, if applicable, the securities into which the Securities are convertible, the conversion price, the conversion period, provisions as to whether conversion will be mandatory, at the option of the Holders or at the option of the Company, the events requiring an adjustment of the conversion price and provisions affecting conversion if such Series of Securities are redeemed;</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120650</wp:posOffset>
            </wp:positionV>
            <wp:extent cx="72504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00"/>
          </w:cols>
          <w:pgMar w:left="260" w:top="347" w:right="239" w:bottom="1440" w:gutter="0" w:footer="0" w:header="0"/>
        </w:sectPr>
      </w:pPr>
    </w:p>
    <w:bookmarkStart w:id="33" w:name="page34"/>
    <w:bookmarkEnd w:id="33"/>
    <w:p>
      <w:pPr>
        <w:ind w:right="260" w:firstLine="359"/>
        <w:spacing w:after="0" w:line="268" w:lineRule="auto"/>
        <w:tabs>
          <w:tab w:leader="none" w:pos="6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whether the Securities of such Series will be senior debt securities or subordinated debt securities and, if applicable, a description of the subordination terms thereof;</w:t>
      </w:r>
    </w:p>
    <w:p>
      <w:pPr>
        <w:spacing w:after="0" w:line="185" w:lineRule="exact"/>
        <w:rPr>
          <w:rFonts w:ascii="Arial" w:cs="Arial" w:eastAsia="Arial" w:hAnsi="Arial"/>
          <w:sz w:val="18"/>
          <w:szCs w:val="18"/>
          <w:color w:val="auto"/>
        </w:rPr>
      </w:pPr>
    </w:p>
    <w:p>
      <w:pPr>
        <w:ind w:right="280" w:firstLine="359"/>
        <w:spacing w:after="0" w:line="268" w:lineRule="auto"/>
        <w:tabs>
          <w:tab w:leader="none" w:pos="57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depositaries, interest rate calculation agents, exchange rate calculation agents or other agents with respect to Securities of such Series if other than those appointed herein; and</w:t>
      </w:r>
    </w:p>
    <w:p>
      <w:pPr>
        <w:spacing w:after="0" w:line="185" w:lineRule="exact"/>
        <w:rPr>
          <w:rFonts w:ascii="Arial" w:cs="Arial" w:eastAsia="Arial" w:hAnsi="Arial"/>
          <w:sz w:val="18"/>
          <w:szCs w:val="18"/>
          <w:color w:val="auto"/>
        </w:rPr>
      </w:pPr>
    </w:p>
    <w:p>
      <w:pPr>
        <w:ind w:left="580" w:hanging="221"/>
        <w:spacing w:after="0"/>
        <w:tabs>
          <w:tab w:leader="none" w:pos="5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any other terms of the Securities of the Series (which may modify or delete any provision of this Indenture insofar as it applies to such Series).</w:t>
      </w:r>
    </w:p>
    <w:p>
      <w:pPr>
        <w:spacing w:after="0" w:line="248" w:lineRule="exact"/>
        <w:rPr>
          <w:sz w:val="20"/>
          <w:szCs w:val="20"/>
          <w:color w:val="auto"/>
        </w:rPr>
      </w:pPr>
    </w:p>
    <w:p>
      <w:pPr>
        <w:ind w:right="80" w:firstLine="341"/>
        <w:spacing w:after="0" w:line="256" w:lineRule="auto"/>
        <w:rPr>
          <w:sz w:val="20"/>
          <w:szCs w:val="20"/>
          <w:color w:val="auto"/>
        </w:rPr>
      </w:pPr>
      <w:r>
        <w:rPr>
          <w:rFonts w:ascii="Arial" w:cs="Arial" w:eastAsia="Arial" w:hAnsi="Arial"/>
          <w:sz w:val="18"/>
          <w:szCs w:val="18"/>
          <w:color w:val="auto"/>
        </w:rPr>
        <w:t>All Securities of any one Series need not be issued at the same time and may be issued from time to time, consistent with the terms of this Indenture, if so provided by or pursuant to the Board Resolution, supplemental indenture hereto or Officers’ Certificate referred to above, and, unless otherwise provided in such Board Resolution, a Series may be reopened, without the consent of the Holders, for increases in the aggregate principal amount of such Series and issuances of additional Securities of such Series.</w:t>
      </w:r>
    </w:p>
    <w:p>
      <w:pPr>
        <w:spacing w:after="0" w:line="191" w:lineRule="exact"/>
        <w:rPr>
          <w:sz w:val="20"/>
          <w:szCs w:val="20"/>
          <w:color w:val="auto"/>
        </w:rPr>
      </w:pPr>
    </w:p>
    <w:p>
      <w:pPr>
        <w:ind w:firstLine="351"/>
        <w:spacing w:after="0" w:line="285" w:lineRule="auto"/>
        <w:rPr>
          <w:sz w:val="20"/>
          <w:szCs w:val="20"/>
          <w:color w:val="auto"/>
        </w:rPr>
      </w:pPr>
      <w:r>
        <w:rPr>
          <w:rFonts w:ascii="Arial" w:cs="Arial" w:eastAsia="Arial" w:hAnsi="Arial"/>
          <w:sz w:val="16"/>
          <w:szCs w:val="16"/>
          <w:b w:val="1"/>
          <w:bCs w:val="1"/>
          <w:color w:val="auto"/>
        </w:rPr>
        <w:t xml:space="preserve">Section 2.03 Execution and Authentication. </w:t>
      </w:r>
      <w:r>
        <w:rPr>
          <w:rFonts w:ascii="Arial" w:cs="Arial" w:eastAsia="Arial" w:hAnsi="Arial"/>
          <w:sz w:val="16"/>
          <w:szCs w:val="16"/>
          <w:color w:val="auto"/>
        </w:rPr>
        <w:t>Two Officers shall sign the Securities for the Company by manual or facsimile signature. If an Officer whose</w:t>
      </w:r>
      <w:r>
        <w:rPr>
          <w:rFonts w:ascii="Arial" w:cs="Arial" w:eastAsia="Arial" w:hAnsi="Arial"/>
          <w:sz w:val="16"/>
          <w:szCs w:val="16"/>
          <w:b w:val="1"/>
          <w:bCs w:val="1"/>
          <w:color w:val="auto"/>
        </w:rPr>
        <w:t xml:space="preserve"> </w:t>
      </w:r>
      <w:r>
        <w:rPr>
          <w:rFonts w:ascii="Arial" w:cs="Arial" w:eastAsia="Arial" w:hAnsi="Arial"/>
          <w:sz w:val="16"/>
          <w:szCs w:val="16"/>
          <w:color w:val="auto"/>
        </w:rPr>
        <w:t>signature is on a Security no longer holds that office at the time the Security is authenticated, the Security shall nevertheless be valid. A Security shall not be valid until authenticated by the manual signature of the Trustee or an authenticating agent. The signature shall be conclusive evidence that the Security has been authenticated under this Indenture. The Trustee shall at any time, and from time to time, authenticate Securities for original issue in the principal amount provided in the Board Resolution, supplemental indenture hereto or Officers’ Certificate, upon receipt by the Trustee of a Company Order. Such Company Order may authorize authentication and delivery pursuant to oral or electronic instructions from the Company or its duly authorized agent or agents, which oral instructions shall be promptly confirmed in writing. Each Security shall be dated the date of its authentication unless otherwise provided by a Board Resolution, a supplemental indenture hereto or an Officers’ Certificate. The aggregate principal amount of Securities of any Series outstanding at any time may not exceed any limit upon the maximum principal amount for such Series set forth in the Board Resolution, supplemental indenture hereto or Officers’ Certificate delivered pursuant to Section 2.02, except as provided in Section 2.02 or 2.08. Prior to the issuance of Securities of any Series, the Trustee shall have received and (subject to Section 7.02) shall be fully protected in relying on: (a) the Board Resolution, supplemental indenture hereto or Officers’ Certificate establishing the form of the Securities of that Series or of Securities within that Series and the terms of the Securities of that Series or of Securities within that Series, (b) an Officers’ Certificate complying with Section 10.04 and (c) an Opinion of Counsel complying with Section 10.04. The Trustee shall have the right to decline to authenticate and deliver any Securities of such Series: (a) if the Trustee, being advised by counsel, determines that such action may not be taken lawfully; or (b) if the Trustee’s by its board of directors or trustees, executive committee or a trust committee of directors and/or vice-presidents shall determine in good faith that such action would expose the Trustee to personal liability to Holders of any then outstanding Series of Securities. The Trustee may appoint an authenticating agent acceptable to the Company to authenticate Securities. An authenticating agent may authenticate Securities whenever the Trustee may do so. Each reference in this Indenture to authentication by the Trustee includes authentication by such agent. An authenticating agent has the same rights as an Agent to deal with the Company or an Affiliate of the Company.</w:t>
      </w:r>
    </w:p>
    <w:p>
      <w:pPr>
        <w:spacing w:after="0" w:line="170" w:lineRule="exact"/>
        <w:rPr>
          <w:sz w:val="20"/>
          <w:szCs w:val="20"/>
          <w:color w:val="auto"/>
        </w:rPr>
      </w:pPr>
    </w:p>
    <w:p>
      <w:pPr>
        <w:ind w:right="20" w:firstLine="351"/>
        <w:spacing w:after="0" w:line="285" w:lineRule="auto"/>
        <w:rPr>
          <w:sz w:val="20"/>
          <w:szCs w:val="20"/>
          <w:color w:val="auto"/>
        </w:rPr>
      </w:pPr>
      <w:r>
        <w:rPr>
          <w:rFonts w:ascii="Arial" w:cs="Arial" w:eastAsia="Arial" w:hAnsi="Arial"/>
          <w:sz w:val="16"/>
          <w:szCs w:val="16"/>
          <w:b w:val="1"/>
          <w:bCs w:val="1"/>
          <w:color w:val="auto"/>
        </w:rPr>
        <w:t xml:space="preserve">Section 2.04 Registrar and Paying Agent. </w:t>
      </w:r>
      <w:r>
        <w:rPr>
          <w:rFonts w:ascii="Arial" w:cs="Arial" w:eastAsia="Arial" w:hAnsi="Arial"/>
          <w:sz w:val="16"/>
          <w:szCs w:val="16"/>
          <w:color w:val="auto"/>
        </w:rPr>
        <w:t>The Company shall maintain, with respect to each Series of Securities, at the place or places specified with</w:t>
      </w:r>
      <w:r>
        <w:rPr>
          <w:rFonts w:ascii="Arial" w:cs="Arial" w:eastAsia="Arial" w:hAnsi="Arial"/>
          <w:sz w:val="16"/>
          <w:szCs w:val="16"/>
          <w:b w:val="1"/>
          <w:bCs w:val="1"/>
          <w:color w:val="auto"/>
        </w:rPr>
        <w:t xml:space="preserve"> </w:t>
      </w:r>
      <w:r>
        <w:rPr>
          <w:rFonts w:ascii="Arial" w:cs="Arial" w:eastAsia="Arial" w:hAnsi="Arial"/>
          <w:sz w:val="16"/>
          <w:szCs w:val="16"/>
          <w:color w:val="auto"/>
        </w:rPr>
        <w:t>respect to such Series pursuant to Section 2.02, an office or agency where Securities of such Series may be presented or surrendered for payment (“Paying Agent”), where Securities of such Series may be surrendered for registration of transfer or exchange (“Registrar”) and where notices and demands to or upon the Company in respect of the Securities of such Series and this Indenture may be served (“Service Agent”). The Registrar shall keep a register with respect to each Series of Securities and to their transfer and exchange. The Company will give prompt written notice to the Trustee of the name and address, and any change in the name or address, of each Registrar, Paying Agent or Service Agent. If at any time the Company shall fail to maintain any such required Registrar, Paying Agent or Service Agent or shall fail to furnish the Trustee with the name and address thereof, such presentations, surrenders, notices and demands may be made or served at the Corporate Trust Office of the Trustee, and the Company hereby appoints the Trustee as its agent to receive all such presentations, surrenders, notices and demands. The Company may also from time to time designate one or more co-registrars, additional paying agents or additional service agents and may from time to time rescind such designations; provided, however, that no such designation or rescission shall in any manner relieve the Company of its obligations to maintain a Registrar, Paying Agent and Service Agent in each place so specified pursuant to Section 2.02 for Securities of any Series for such purposes. The Company will give prompt written notice to the Trustee of any such designation or rescission and of any change in the name or address of any such co-registrar, additional paying agent or additional service agent. The term “Registrar” includes any co-registrar; the term “Paying Agent” includes any additional paying agent; and the term “Service Agent” includes any additional service agent. The Company hereby appoints the Trustee the initial Registrar, Paying Agent and Service Agent for each Series unless another Registrar, Paying Agent or Service Agent, as the case may be, is appointed prior to the time Securities of that Series are first issued.</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00"/>
          </w:cols>
          <w:pgMar w:left="240" w:top="347" w:right="259" w:bottom="1440" w:gutter="0" w:footer="0" w:header="0"/>
        </w:sectPr>
      </w:pPr>
    </w:p>
    <w:bookmarkStart w:id="34" w:name="page35"/>
    <w:bookmarkEnd w:id="34"/>
    <w:p>
      <w:pPr>
        <w:ind w:right="20" w:firstLine="351"/>
        <w:spacing w:after="0" w:line="291" w:lineRule="auto"/>
        <w:rPr>
          <w:sz w:val="20"/>
          <w:szCs w:val="20"/>
          <w:color w:val="auto"/>
        </w:rPr>
      </w:pPr>
      <w:r>
        <w:rPr>
          <w:rFonts w:ascii="Arial" w:cs="Arial" w:eastAsia="Arial" w:hAnsi="Arial"/>
          <w:sz w:val="16"/>
          <w:szCs w:val="16"/>
          <w:b w:val="1"/>
          <w:bCs w:val="1"/>
          <w:color w:val="auto"/>
        </w:rPr>
        <w:t xml:space="preserve">Section 2.05 Paying Agent to Hold Money in Trust. </w:t>
      </w:r>
      <w:r>
        <w:rPr>
          <w:rFonts w:ascii="Arial" w:cs="Arial" w:eastAsia="Arial" w:hAnsi="Arial"/>
          <w:sz w:val="16"/>
          <w:szCs w:val="16"/>
          <w:color w:val="auto"/>
        </w:rPr>
        <w:t>The Company shall require each Paying Agent other than the Trustee to agree in writing that the</w:t>
      </w:r>
      <w:r>
        <w:rPr>
          <w:rFonts w:ascii="Arial" w:cs="Arial" w:eastAsia="Arial" w:hAnsi="Arial"/>
          <w:sz w:val="16"/>
          <w:szCs w:val="16"/>
          <w:b w:val="1"/>
          <w:bCs w:val="1"/>
          <w:color w:val="auto"/>
        </w:rPr>
        <w:t xml:space="preserve"> </w:t>
      </w:r>
      <w:r>
        <w:rPr>
          <w:rFonts w:ascii="Arial" w:cs="Arial" w:eastAsia="Arial" w:hAnsi="Arial"/>
          <w:sz w:val="16"/>
          <w:szCs w:val="16"/>
          <w:color w:val="auto"/>
        </w:rPr>
        <w:t>Paying Agent will hold in trust, for the benefit of Holders of any Series of Securities, or the Trustee, all money held by the Paying Agent for the payment of principal of or interest on the Series of Securities, and will notify the Trustee of any default by the Company in making any such payment. While any such default continues, the Trustee may require a Paying Agent to pay all money held by it to the Trustee. The Company at any time may require a Paying Agent to pay all money held by it to the Trustee. Upon payment over to the Trustee, the Paying Agent (if other than the Company or a Subsidiary of the Company) shall have no further liability for the money. If the Company or a Subsidiary of the Company acts as Paying Agent, it shall segregate and hold in a separate trust fund for the benefit of Holders of any Series of Securities all money held by it as Paying Agent.</w:t>
      </w:r>
    </w:p>
    <w:p>
      <w:pPr>
        <w:spacing w:after="0" w:line="167" w:lineRule="exact"/>
        <w:rPr>
          <w:sz w:val="20"/>
          <w:szCs w:val="20"/>
          <w:color w:val="auto"/>
        </w:rPr>
      </w:pPr>
    </w:p>
    <w:p>
      <w:pPr>
        <w:ind w:right="60" w:firstLine="351"/>
        <w:spacing w:after="0" w:line="301" w:lineRule="auto"/>
        <w:rPr>
          <w:sz w:val="20"/>
          <w:szCs w:val="20"/>
          <w:color w:val="auto"/>
        </w:rPr>
      </w:pPr>
      <w:r>
        <w:rPr>
          <w:rFonts w:ascii="Arial" w:cs="Arial" w:eastAsia="Arial" w:hAnsi="Arial"/>
          <w:sz w:val="16"/>
          <w:szCs w:val="16"/>
          <w:b w:val="1"/>
          <w:bCs w:val="1"/>
          <w:color w:val="auto"/>
        </w:rPr>
        <w:t xml:space="preserve">Section 2.06 Holder Lists. </w:t>
      </w:r>
      <w:r>
        <w:rPr>
          <w:rFonts w:ascii="Arial" w:cs="Arial" w:eastAsia="Arial" w:hAnsi="Arial"/>
          <w:sz w:val="16"/>
          <w:szCs w:val="16"/>
          <w:color w:val="auto"/>
        </w:rPr>
        <w:t>The Trustee shall preserve in as current a form as is reasonably practicable the most recent list available to it of the names and</w:t>
      </w:r>
      <w:r>
        <w:rPr>
          <w:rFonts w:ascii="Arial" w:cs="Arial" w:eastAsia="Arial" w:hAnsi="Arial"/>
          <w:sz w:val="16"/>
          <w:szCs w:val="16"/>
          <w:b w:val="1"/>
          <w:bCs w:val="1"/>
          <w:color w:val="auto"/>
        </w:rPr>
        <w:t xml:space="preserve"> </w:t>
      </w:r>
      <w:r>
        <w:rPr>
          <w:rFonts w:ascii="Arial" w:cs="Arial" w:eastAsia="Arial" w:hAnsi="Arial"/>
          <w:sz w:val="16"/>
          <w:szCs w:val="16"/>
          <w:color w:val="auto"/>
        </w:rPr>
        <w:t>addresses of Holders of each Series of Securities and shall otherwise comply with TIA Section 312(a). If the Trustee is not the Registrar, the Company shall furnish to the Trustee at least ten (10) days before each interest payment date and at such other times as the Trustee may request in writing a list, in such form and as of such date as the Trustee may reasonably require, of the names and addresses of Holders of each Series of Securities.</w:t>
      </w:r>
    </w:p>
    <w:p>
      <w:pPr>
        <w:spacing w:after="0" w:line="157" w:lineRule="exact"/>
        <w:rPr>
          <w:sz w:val="20"/>
          <w:szCs w:val="20"/>
          <w:color w:val="auto"/>
        </w:rPr>
      </w:pPr>
    </w:p>
    <w:p>
      <w:pPr>
        <w:ind w:right="40" w:firstLine="351"/>
        <w:spacing w:after="0" w:line="288" w:lineRule="auto"/>
        <w:rPr>
          <w:sz w:val="20"/>
          <w:szCs w:val="20"/>
          <w:color w:val="auto"/>
        </w:rPr>
      </w:pPr>
      <w:r>
        <w:rPr>
          <w:rFonts w:ascii="Arial" w:cs="Arial" w:eastAsia="Arial" w:hAnsi="Arial"/>
          <w:sz w:val="16"/>
          <w:szCs w:val="16"/>
          <w:b w:val="1"/>
          <w:bCs w:val="1"/>
          <w:color w:val="auto"/>
        </w:rPr>
        <w:t xml:space="preserve">Section 2.07 Transfer and Exchange. </w:t>
      </w:r>
      <w:r>
        <w:rPr>
          <w:rFonts w:ascii="Arial" w:cs="Arial" w:eastAsia="Arial" w:hAnsi="Arial"/>
          <w:sz w:val="16"/>
          <w:szCs w:val="16"/>
          <w:color w:val="auto"/>
        </w:rPr>
        <w:t>Where Securities of a Series are presented to the Registrar or a co-registrar with a request to register a transfer or to</w:t>
      </w:r>
      <w:r>
        <w:rPr>
          <w:rFonts w:ascii="Arial" w:cs="Arial" w:eastAsia="Arial" w:hAnsi="Arial"/>
          <w:sz w:val="16"/>
          <w:szCs w:val="16"/>
          <w:b w:val="1"/>
          <w:bCs w:val="1"/>
          <w:color w:val="auto"/>
        </w:rPr>
        <w:t xml:space="preserve"> </w:t>
      </w:r>
      <w:r>
        <w:rPr>
          <w:rFonts w:ascii="Arial" w:cs="Arial" w:eastAsia="Arial" w:hAnsi="Arial"/>
          <w:sz w:val="16"/>
          <w:szCs w:val="16"/>
          <w:color w:val="auto"/>
        </w:rPr>
        <w:t>exchange them for an equal principal amount of Securities of the same Series, the Registrar shall register the transfer or make the exchange if its requirements for such transactions are met. To permit registrations of transfers and exchanges, the Trustee shall authenticate Securities at the Registrar’s request. No service charge shall be made for any registration of transfer or exchange (except as otherwise expressly permitted herein), but the Company may require payment of a sum sufficient to cover any transfer tax or similar governmental charge payable in connection therewith (other than any such transfer tax or similar governmental charge payable upon exchanges pursuant to Sections 2.11, 3.06 or 9.06). Neither the Company nor the Registrar shall be required (a) to issue, register the transfer of, or exchange Securities of any Series for the period beginning at the opening of business fifteen days immediately preceding the mailing of a notice of redemption of Securities of that Series selected for redemption and ending at the close of business on the day of such mailing, or (b) to register the transfer of or exchange Securities of any Series selected, called or being called for redemption as a whole or the portion being redeemed of any such Securities selected, called or being called for redemption in part.</w:t>
      </w:r>
    </w:p>
    <w:p>
      <w:pPr>
        <w:spacing w:after="0" w:line="169"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Section 2.08 Mutilated, Destroyed, Lost and Stolen Securities.</w:t>
      </w:r>
    </w:p>
    <w:p>
      <w:pPr>
        <w:spacing w:after="0" w:line="231" w:lineRule="exact"/>
        <w:rPr>
          <w:sz w:val="20"/>
          <w:szCs w:val="20"/>
          <w:color w:val="auto"/>
        </w:rPr>
      </w:pPr>
    </w:p>
    <w:p>
      <w:pPr>
        <w:ind w:firstLine="359"/>
        <w:spacing w:after="0" w:line="289" w:lineRule="auto"/>
        <w:tabs>
          <w:tab w:leader="none" w:pos="590" w:val="left"/>
        </w:tabs>
        <w:numPr>
          <w:ilvl w:val="0"/>
          <w:numId w:val="50"/>
        </w:numPr>
        <w:rPr>
          <w:rFonts w:ascii="Arial" w:cs="Arial" w:eastAsia="Arial" w:hAnsi="Arial"/>
          <w:sz w:val="16"/>
          <w:szCs w:val="16"/>
          <w:color w:val="auto"/>
        </w:rPr>
      </w:pPr>
      <w:r>
        <w:rPr>
          <w:rFonts w:ascii="Arial" w:cs="Arial" w:eastAsia="Arial" w:hAnsi="Arial"/>
          <w:sz w:val="16"/>
          <w:szCs w:val="16"/>
          <w:color w:val="auto"/>
        </w:rPr>
        <w:t>If any mutilated Security is surrendered to the Trustee, the Company shall execute and the Trustee shall authenticate and make available for delivery in exchange therefor a new Security of the same Series and of like tenor and principal amount and bearing a number not contemporaneously outstanding. If there shall be delivered to the Company and the Trustee (i) evidence to their satisfaction of the destruction, loss or theft of any Security and (ii) such security or indemnity as may be required by them to save each of them and any agent of either of them harmless, then, in the absence of notice to the Company or the Trustee that such Security has been acquired by a protected purchaser, the Company shall execute and upon its request the Trustee shall authenticate and make available for delivery, in lieu of any such destroyed, lost or stolen Security, a new Security of the same Series and of like tenor and principal amount and bearing a number not contemporaneously outstanding. In case any such mutilated, destroyed, lost or stolen Security has become or is about to become due and payable, the Company in its discretion may, instead of issuing a new Security, pay such Security.</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5" w:name="page36"/>
    <w:bookmarkEnd w:id="35"/>
    <w:p>
      <w:pPr>
        <w:ind w:firstLine="359"/>
        <w:spacing w:after="0" w:line="314" w:lineRule="auto"/>
        <w:tabs>
          <w:tab w:leader="none" w:pos="600" w:val="left"/>
        </w:tabs>
        <w:numPr>
          <w:ilvl w:val="0"/>
          <w:numId w:val="51"/>
        </w:numPr>
        <w:rPr>
          <w:rFonts w:ascii="Arial" w:cs="Arial" w:eastAsia="Arial" w:hAnsi="Arial"/>
          <w:sz w:val="15"/>
          <w:szCs w:val="15"/>
          <w:color w:val="auto"/>
        </w:rPr>
      </w:pPr>
      <w:r>
        <w:rPr>
          <w:rFonts w:ascii="Arial" w:cs="Arial" w:eastAsia="Arial" w:hAnsi="Arial"/>
          <w:sz w:val="15"/>
          <w:szCs w:val="15"/>
          <w:color w:val="auto"/>
        </w:rPr>
        <w:t>Upon the issuance of any new Security under this Section, the Company may require the payment of a sum sufficient to cover any tax or other governmental charge that may be imposed in relation thereto and any other expenses (including the fees and expenses of the Trustee) connected therewith. Every new Security of any Series issued pursuant to this Section in lieu of any destroyed, lost or stolen Security shall constitute an original additional contractual obligation of the Company, whether or not the destroyed, lost or stolen Security shall be at any time enforceable by anyone, and shall be entitled to all the benefits of this Indenture equally and proportionately with any and all other Securities of that Series duly issued hereunder. The provisions of this Section are exclusive and shall preclude (to the extent lawful) all other rights and remedies with respect to the replacement or payment of mutilated, destroyed, lost or stolen Securities.</w:t>
      </w:r>
    </w:p>
    <w:p>
      <w:pPr>
        <w:spacing w:after="0" w:line="153"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b w:val="1"/>
          <w:bCs w:val="1"/>
          <w:color w:val="auto"/>
        </w:rPr>
        <w:t xml:space="preserve">Section 2.09 Outstanding Securities. </w:t>
      </w:r>
      <w:r>
        <w:rPr>
          <w:rFonts w:ascii="Arial" w:cs="Arial" w:eastAsia="Arial" w:hAnsi="Arial"/>
          <w:sz w:val="16"/>
          <w:szCs w:val="16"/>
          <w:color w:val="auto"/>
        </w:rPr>
        <w:t>The Securities outstanding at any time are all the Securities authenticated by the Trustee except for those canceled by</w:t>
      </w:r>
      <w:r>
        <w:rPr>
          <w:rFonts w:ascii="Arial" w:cs="Arial" w:eastAsia="Arial" w:hAnsi="Arial"/>
          <w:sz w:val="16"/>
          <w:szCs w:val="16"/>
          <w:b w:val="1"/>
          <w:bCs w:val="1"/>
          <w:color w:val="auto"/>
        </w:rPr>
        <w:t xml:space="preserve"> </w:t>
      </w:r>
      <w:r>
        <w:rPr>
          <w:rFonts w:ascii="Arial" w:cs="Arial" w:eastAsia="Arial" w:hAnsi="Arial"/>
          <w:sz w:val="16"/>
          <w:szCs w:val="16"/>
          <w:color w:val="auto"/>
        </w:rPr>
        <w:t>it, those delivered to it for cancellation, those reductions in the interest on a Global Security effected by the Trustee in accordance with the provisions hereof and those described in this Section as not outstanding. If a Security is replaced pursuant to Section 2.08, it ceases to be outstanding until the Trustee receives proof satisfactory to it that the replaced Security is held by a protected purchaser. If the Paying Agent (other than the Company, a Subsidiary of the Company or an Affiliate of the Company) holds on the Maturity of Securities of a Series money sufficient to pay such Securities payable on that date, then on and after that date such Securities of the Series cease to be outstanding and interest on them ceases to accrue. A Security does not cease to be outstanding because the Company or an Affiliate of the Company holds the Security. In determining whether the Holders of the requisite principal amount of outstanding Securities have given any request, demand, authorization, direction, notice, consent or waiver hereunder, the principal amount of a Discount Security that shall be deemed to be outstanding for such purposes shall be the amount of the principal thereof that would be due and payable as of the date of such determination upon a declaration of acceleration of the Maturity thereof pursuant to Section 6.02.</w:t>
      </w:r>
    </w:p>
    <w:p>
      <w:pPr>
        <w:spacing w:after="0" w:line="169" w:lineRule="exact"/>
        <w:rPr>
          <w:sz w:val="20"/>
          <w:szCs w:val="20"/>
          <w:color w:val="auto"/>
        </w:rPr>
      </w:pPr>
    </w:p>
    <w:p>
      <w:pPr>
        <w:ind w:right="200" w:firstLine="351"/>
        <w:spacing w:after="0" w:line="258" w:lineRule="auto"/>
        <w:rPr>
          <w:sz w:val="20"/>
          <w:szCs w:val="20"/>
          <w:color w:val="auto"/>
        </w:rPr>
      </w:pPr>
      <w:r>
        <w:rPr>
          <w:rFonts w:ascii="Arial" w:cs="Arial" w:eastAsia="Arial" w:hAnsi="Arial"/>
          <w:sz w:val="18"/>
          <w:szCs w:val="18"/>
          <w:b w:val="1"/>
          <w:bCs w:val="1"/>
          <w:color w:val="auto"/>
        </w:rPr>
        <w:t xml:space="preserve">Section 2.10 Treasury Securities. </w:t>
      </w:r>
      <w:r>
        <w:rPr>
          <w:rFonts w:ascii="Arial" w:cs="Arial" w:eastAsia="Arial" w:hAnsi="Arial"/>
          <w:sz w:val="18"/>
          <w:szCs w:val="18"/>
          <w:color w:val="auto"/>
        </w:rPr>
        <w:t>In determining whether the Holders of the required principal amount of Securities of a Series have concurred in any</w:t>
      </w:r>
      <w:r>
        <w:rPr>
          <w:rFonts w:ascii="Arial" w:cs="Arial" w:eastAsia="Arial" w:hAnsi="Arial"/>
          <w:sz w:val="18"/>
          <w:szCs w:val="18"/>
          <w:b w:val="1"/>
          <w:bCs w:val="1"/>
          <w:color w:val="auto"/>
        </w:rPr>
        <w:t xml:space="preserve"> </w:t>
      </w:r>
      <w:r>
        <w:rPr>
          <w:rFonts w:ascii="Arial" w:cs="Arial" w:eastAsia="Arial" w:hAnsi="Arial"/>
          <w:sz w:val="18"/>
          <w:szCs w:val="18"/>
          <w:color w:val="auto"/>
        </w:rPr>
        <w:t>request, demand, authorization, direction, notice, consent or waiver, Securities of a Series owned by the Company shall be disregarded, except that for the purposes of determining whether the Trustee shall be protected in relying on any such request, demand, authorization, direction, notice, consent or waiver, only Securities of a Series that the Trustee knows are so owned shall be so disregarded.</w:t>
      </w:r>
    </w:p>
    <w:p>
      <w:pPr>
        <w:spacing w:after="0" w:line="190"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b w:val="1"/>
          <w:bCs w:val="1"/>
          <w:color w:val="auto"/>
        </w:rPr>
        <w:t xml:space="preserve">Section 2.11 Temporary Securities. </w:t>
      </w:r>
      <w:r>
        <w:rPr>
          <w:rFonts w:ascii="Arial" w:cs="Arial" w:eastAsia="Arial" w:hAnsi="Arial"/>
          <w:sz w:val="18"/>
          <w:szCs w:val="18"/>
          <w:color w:val="auto"/>
        </w:rPr>
        <w:t>Until definitive Securities are ready for delivery, the Company may prepare and the Trustee shall authenticate</w:t>
      </w:r>
      <w:r>
        <w:rPr>
          <w:rFonts w:ascii="Arial" w:cs="Arial" w:eastAsia="Arial" w:hAnsi="Arial"/>
          <w:sz w:val="18"/>
          <w:szCs w:val="18"/>
          <w:b w:val="1"/>
          <w:bCs w:val="1"/>
          <w:color w:val="auto"/>
        </w:rPr>
        <w:t xml:space="preserve"> </w:t>
      </w:r>
      <w:r>
        <w:rPr>
          <w:rFonts w:ascii="Arial" w:cs="Arial" w:eastAsia="Arial" w:hAnsi="Arial"/>
          <w:sz w:val="18"/>
          <w:szCs w:val="18"/>
          <w:color w:val="auto"/>
        </w:rPr>
        <w:t>temporary Securities upon a Company Order. Temporary Securities shall be substantially in the form of definitive Securities but may have variations that the Company considers appropriate for temporary Securities. Without unreasonable delay, the Company shall prepare and the Trustee upon request shall authenticate definitive Securities of the same Series and date of maturity in exchange for temporary Securities. Until so exchanged, temporary securities shall have the same rights under this Indenture as the definitive Securities.</w:t>
      </w:r>
    </w:p>
    <w:p>
      <w:pPr>
        <w:spacing w:after="0" w:line="193" w:lineRule="exact"/>
        <w:rPr>
          <w:sz w:val="20"/>
          <w:szCs w:val="20"/>
          <w:color w:val="auto"/>
        </w:rPr>
      </w:pPr>
    </w:p>
    <w:p>
      <w:pPr>
        <w:ind w:firstLine="351"/>
        <w:spacing w:after="0" w:line="296" w:lineRule="auto"/>
        <w:rPr>
          <w:sz w:val="20"/>
          <w:szCs w:val="20"/>
          <w:color w:val="auto"/>
        </w:rPr>
      </w:pPr>
      <w:r>
        <w:rPr>
          <w:rFonts w:ascii="Arial" w:cs="Arial" w:eastAsia="Arial" w:hAnsi="Arial"/>
          <w:sz w:val="16"/>
          <w:szCs w:val="16"/>
          <w:b w:val="1"/>
          <w:bCs w:val="1"/>
          <w:color w:val="auto"/>
        </w:rPr>
        <w:t xml:space="preserve">Section 2.12 Cancellation. </w:t>
      </w:r>
      <w:r>
        <w:rPr>
          <w:rFonts w:ascii="Arial" w:cs="Arial" w:eastAsia="Arial" w:hAnsi="Arial"/>
          <w:sz w:val="16"/>
          <w:szCs w:val="16"/>
          <w:color w:val="auto"/>
        </w:rPr>
        <w:t>The Company at any time may deliver Securities to the Trustee for cancellation. The Registrar and the Paying Agent shall</w:t>
      </w:r>
      <w:r>
        <w:rPr>
          <w:rFonts w:ascii="Arial" w:cs="Arial" w:eastAsia="Arial" w:hAnsi="Arial"/>
          <w:sz w:val="16"/>
          <w:szCs w:val="16"/>
          <w:b w:val="1"/>
          <w:bCs w:val="1"/>
          <w:color w:val="auto"/>
        </w:rPr>
        <w:t xml:space="preserve"> </w:t>
      </w:r>
      <w:r>
        <w:rPr>
          <w:rFonts w:ascii="Arial" w:cs="Arial" w:eastAsia="Arial" w:hAnsi="Arial"/>
          <w:sz w:val="16"/>
          <w:szCs w:val="16"/>
          <w:color w:val="auto"/>
        </w:rPr>
        <w:t>forward to the Trustee any Securities surrendered to them for registration of transfer, exchange or payment. The Trustee shall cancel all Securities surrendered for registration of transfer, exchange, payment, replacement or cancellation in accordance with its customary procedures and deliver such canceled Securities to the Company, unless the Company otherwise directs; provided that the Trustee shall not be required to destroy Securities. The Company may not issue new Securities to replace Securities that it has paid or delivered to the Trustee for cancellation.</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00"/>
          </w:cols>
          <w:pgMar w:left="240" w:top="347" w:right="259" w:bottom="1440" w:gutter="0" w:footer="0" w:header="0"/>
        </w:sectPr>
      </w:pPr>
    </w:p>
    <w:bookmarkStart w:id="36" w:name="page37"/>
    <w:bookmarkEnd w:id="36"/>
    <w:p>
      <w:pPr>
        <w:ind w:right="20" w:firstLine="351"/>
        <w:spacing w:after="0" w:line="256" w:lineRule="auto"/>
        <w:rPr>
          <w:sz w:val="20"/>
          <w:szCs w:val="20"/>
          <w:color w:val="auto"/>
        </w:rPr>
      </w:pPr>
      <w:r>
        <w:rPr>
          <w:rFonts w:ascii="Arial" w:cs="Arial" w:eastAsia="Arial" w:hAnsi="Arial"/>
          <w:sz w:val="18"/>
          <w:szCs w:val="18"/>
          <w:b w:val="1"/>
          <w:bCs w:val="1"/>
          <w:color w:val="auto"/>
        </w:rPr>
        <w:t xml:space="preserve">Section 2.13 Defaulted Interest. </w:t>
      </w:r>
      <w:r>
        <w:rPr>
          <w:rFonts w:ascii="Arial" w:cs="Arial" w:eastAsia="Arial" w:hAnsi="Arial"/>
          <w:sz w:val="18"/>
          <w:szCs w:val="18"/>
          <w:color w:val="auto"/>
        </w:rPr>
        <w:t>If the Company defaults in a payment of interest on a Series of Securities, it shall pay the defaulted interest, plus, to the</w:t>
      </w:r>
      <w:r>
        <w:rPr>
          <w:rFonts w:ascii="Arial" w:cs="Arial" w:eastAsia="Arial" w:hAnsi="Arial"/>
          <w:sz w:val="18"/>
          <w:szCs w:val="18"/>
          <w:b w:val="1"/>
          <w:bCs w:val="1"/>
          <w:color w:val="auto"/>
        </w:rPr>
        <w:t xml:space="preserve"> </w:t>
      </w:r>
      <w:r>
        <w:rPr>
          <w:rFonts w:ascii="Arial" w:cs="Arial" w:eastAsia="Arial" w:hAnsi="Arial"/>
          <w:sz w:val="18"/>
          <w:szCs w:val="18"/>
          <w:color w:val="auto"/>
        </w:rPr>
        <w:t>extent permitted by law, any interest payable on the defaulted interest, to the persons who are Holders of the Series on a subsequent special record date. The Company shall fix the record date and payment date. At least ten (10) days before the record date, the Company shall mail to the Trustee and to each Holder of the Series a notice that states the record date, the payment date and the amount of interest to be paid. The Company may pay defaulted interest in any other lawful manner.</w:t>
      </w:r>
    </w:p>
    <w:p>
      <w:pPr>
        <w:spacing w:after="0" w:line="193"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Section 2.14 Global Securities</w:t>
      </w:r>
    </w:p>
    <w:p>
      <w:pPr>
        <w:spacing w:after="0" w:line="231" w:lineRule="exact"/>
        <w:rPr>
          <w:sz w:val="20"/>
          <w:szCs w:val="20"/>
          <w:color w:val="auto"/>
        </w:rPr>
      </w:pPr>
    </w:p>
    <w:p>
      <w:pPr>
        <w:ind w:right="320" w:firstLine="359"/>
        <w:spacing w:after="0" w:line="332" w:lineRule="auto"/>
        <w:tabs>
          <w:tab w:leader="none" w:pos="59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Terms of Securities. A Board Resolution, a supplemental indenture hereto or an Officers’ Certificate shall establish whether the Securities of a Series shall be issued in whole or in part in the form of one or more Global Securities and the Depository for such Global Security or Securities.</w:t>
      </w:r>
    </w:p>
    <w:p>
      <w:pPr>
        <w:spacing w:after="0" w:line="139" w:lineRule="exact"/>
        <w:rPr>
          <w:rFonts w:ascii="Arial" w:cs="Arial" w:eastAsia="Arial" w:hAnsi="Arial"/>
          <w:sz w:val="16"/>
          <w:szCs w:val="16"/>
          <w:color w:val="auto"/>
        </w:rPr>
      </w:pPr>
    </w:p>
    <w:p>
      <w:pPr>
        <w:ind w:right="40" w:firstLine="359"/>
        <w:spacing w:after="0" w:line="288" w:lineRule="auto"/>
        <w:tabs>
          <w:tab w:leader="none" w:pos="6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Transfer and Exchange. Notwithstanding any provisions to the contrary contained in Section 2.07 of the Indenture and in addition thereto, any Global Security shall be exchangeable pursuant to Section 2.07 of the Indenture for Securities registered in the names of Holders other than the Depository for such Security or its nominee only if (i) such Depository notifies the Company that it is unwilling or unable to continue as Depository for such Global Security or if at any time such Depository ceases to be a clearing agency registered under the Exchange Act, and, in either case, the Company fails to appoint a successor Depository registered as a clearing agency under the Exchange Act within 90 days of such event, (ii) the Company executes and delivers to the Trustee an Officers’ Certificate to the effect that such Global Security shall be so exchangeable or (iii) an Event of Default with respect to the Securities represented by such Global Security shall have happened and be continuing. Any Global Security that is exchangeable pursuant to the preceding sentence shall be exchangeable for Securities registered in such names as the Depository shall direct in writing in an aggregate principal amount equal to the principal amount of the Global Security with like tenor and terms.</w:t>
      </w:r>
    </w:p>
    <w:p>
      <w:pPr>
        <w:spacing w:after="0" w:line="173" w:lineRule="exact"/>
        <w:rPr>
          <w:rFonts w:ascii="Arial" w:cs="Arial" w:eastAsia="Arial" w:hAnsi="Arial"/>
          <w:sz w:val="16"/>
          <w:szCs w:val="16"/>
          <w:color w:val="auto"/>
        </w:rPr>
      </w:pPr>
    </w:p>
    <w:p>
      <w:pPr>
        <w:ind w:right="240" w:firstLine="359"/>
        <w:spacing w:after="0" w:line="259" w:lineRule="auto"/>
        <w:tabs>
          <w:tab w:leader="none" w:pos="59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Except as provided in this Section 2.14(c), a Global Security may not be transferred except as a whole by the Depository with respect to such Global Security to a nominee of such Depository, by a nominee of such Depository to such Depository or another nominee of such Depository or by the Depository or any such nominee to a successor Depository or a nominee of such a successor Depository.</w:t>
      </w:r>
    </w:p>
    <w:p>
      <w:pPr>
        <w:spacing w:after="0" w:line="194" w:lineRule="exact"/>
        <w:rPr>
          <w:rFonts w:ascii="Arial" w:cs="Arial" w:eastAsia="Arial" w:hAnsi="Arial"/>
          <w:sz w:val="18"/>
          <w:szCs w:val="18"/>
          <w:color w:val="auto"/>
        </w:rPr>
      </w:pPr>
    </w:p>
    <w:p>
      <w:pPr>
        <w:ind w:left="600" w:hanging="241"/>
        <w:spacing w:after="0"/>
        <w:tabs>
          <w:tab w:leader="none" w:pos="6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Legend. Any Global Security issued hereunder shall bear a legend in substantially the following form:</w:t>
      </w:r>
    </w:p>
    <w:p>
      <w:pPr>
        <w:spacing w:after="0" w:line="225" w:lineRule="exact"/>
        <w:rPr>
          <w:rFonts w:ascii="Arial" w:cs="Arial" w:eastAsia="Arial" w:hAnsi="Arial"/>
          <w:sz w:val="18"/>
          <w:szCs w:val="18"/>
          <w:color w:val="auto"/>
        </w:rPr>
      </w:pPr>
    </w:p>
    <w:p>
      <w:pPr>
        <w:ind w:firstLine="359"/>
        <w:spacing w:after="0" w:line="255" w:lineRule="auto"/>
        <w:tabs>
          <w:tab w:leader="none" w:pos="59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“This Security is a Global Security within the meaning of the Indenture hereinafter referred to and is registered in the name of the Depository or a nominee of the Depository. This Security is exchangeable for Securities registered in the name of a person other than the Depository or its nominee only in the limited circumstances described in the Indenture, and may not be transferred except as a whole by the Depository to a nominee of the Depository, by a nominee of the Depository to the Depository or another nominee of the Depository or by the Depository or any such nominee to a successor Depository or a nominee of such a successor Depository.”</w:t>
      </w:r>
    </w:p>
    <w:p>
      <w:pPr>
        <w:spacing w:after="0" w:line="196" w:lineRule="exact"/>
        <w:rPr>
          <w:rFonts w:ascii="Arial" w:cs="Arial" w:eastAsia="Arial" w:hAnsi="Arial"/>
          <w:sz w:val="18"/>
          <w:szCs w:val="18"/>
          <w:color w:val="auto"/>
        </w:rPr>
      </w:pPr>
    </w:p>
    <w:p>
      <w:pPr>
        <w:ind w:right="20" w:firstLine="359"/>
        <w:spacing w:after="0" w:line="268" w:lineRule="auto"/>
        <w:tabs>
          <w:tab w:leader="none" w:pos="57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Acts of Holders. The Depository, as a Holder, may appoint agents and otherwise authorize participants to give or take any request, demand, authorization, direction, notice, consent, waiver or other action which a Holder is entitled to give or take under the Indenture.</w:t>
      </w:r>
    </w:p>
    <w:p>
      <w:pPr>
        <w:spacing w:after="0" w:line="185" w:lineRule="exact"/>
        <w:rPr>
          <w:rFonts w:ascii="Arial" w:cs="Arial" w:eastAsia="Arial" w:hAnsi="Arial"/>
          <w:sz w:val="18"/>
          <w:szCs w:val="18"/>
          <w:color w:val="auto"/>
        </w:rPr>
      </w:pPr>
    </w:p>
    <w:p>
      <w:pPr>
        <w:ind w:right="140" w:firstLine="359"/>
        <w:spacing w:after="0" w:line="268" w:lineRule="auto"/>
        <w:tabs>
          <w:tab w:leader="none" w:pos="6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Payments. Notwithstanding the other provisions of this Indenture, unless otherwise specified as contemplated by Section 2.02, payment of the principal of and interest, if any, on any Global Security shall be made to the Holder thereof.</w:t>
      </w:r>
    </w:p>
    <w:p>
      <w:pPr>
        <w:spacing w:after="0" w:line="185" w:lineRule="exact"/>
        <w:rPr>
          <w:rFonts w:ascii="Arial" w:cs="Arial" w:eastAsia="Arial" w:hAnsi="Arial"/>
          <w:sz w:val="18"/>
          <w:szCs w:val="18"/>
          <w:color w:val="auto"/>
        </w:rPr>
      </w:pPr>
    </w:p>
    <w:p>
      <w:pPr>
        <w:jc w:val="both"/>
        <w:ind w:right="140" w:firstLine="359"/>
        <w:spacing w:after="0" w:line="256" w:lineRule="auto"/>
        <w:tabs>
          <w:tab w:leader="none" w:pos="6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Consents, Declaration and Directions. Except as provided in Section 2.14(g), the Company, the Trustee and any Agent shall treat a person as the Holder of such principal amount of outstanding Securities of such Series represented by a Global Security as shall be specified in a written statement of the Depository with respect to such Global Security, for purposes of obtaining any consents, declarations, waivers or directions required to be given by the Holders pursuant to this Indenture.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7" w:name="page38"/>
    <w:bookmarkEnd w:id="37"/>
    <w:p>
      <w:pPr>
        <w:jc w:val="both"/>
        <w:ind w:right="80" w:firstLine="359"/>
        <w:spacing w:after="0" w:line="323" w:lineRule="auto"/>
        <w:tabs>
          <w:tab w:leader="none" w:pos="561" w:val="left"/>
        </w:tabs>
        <w:numPr>
          <w:ilvl w:val="0"/>
          <w:numId w:val="53"/>
        </w:numPr>
        <w:rPr>
          <w:rFonts w:ascii="Arial" w:cs="Arial" w:eastAsia="Arial" w:hAnsi="Arial"/>
          <w:sz w:val="15"/>
          <w:szCs w:val="15"/>
          <w:color w:val="auto"/>
        </w:rPr>
      </w:pPr>
      <w:r>
        <w:rPr>
          <w:rFonts w:ascii="Arial" w:cs="Arial" w:eastAsia="Arial" w:hAnsi="Arial"/>
          <w:sz w:val="15"/>
          <w:szCs w:val="15"/>
          <w:color w:val="auto"/>
        </w:rPr>
        <w:t>The Depository or its nominee, as registered owner of a Global Security, shall be the Holder of such Global Security for all purposes under the Indenture and the Securities, and owners of beneficial interests in a Global Security shall hold such interests pursuant to the Applicable Procedures. Accordingly, any such owner’s beneficial interest in a Global Security will be shown only on, and the transfer of such interest shall be effected only through, records maintained by the Depositary or its nominee and such owners of beneficial interests in a Global Security will not be considered the owners or holders thereof.</w:t>
      </w:r>
    </w:p>
    <w:p>
      <w:pPr>
        <w:spacing w:after="0" w:line="146" w:lineRule="exact"/>
        <w:rPr>
          <w:sz w:val="20"/>
          <w:szCs w:val="20"/>
          <w:color w:val="auto"/>
        </w:rPr>
      </w:pPr>
    </w:p>
    <w:p>
      <w:pPr>
        <w:ind w:right="20" w:firstLine="351"/>
        <w:spacing w:after="0" w:line="296" w:lineRule="auto"/>
        <w:rPr>
          <w:sz w:val="20"/>
          <w:szCs w:val="20"/>
          <w:color w:val="auto"/>
        </w:rPr>
      </w:pPr>
      <w:r>
        <w:rPr>
          <w:rFonts w:ascii="Arial" w:cs="Arial" w:eastAsia="Arial" w:hAnsi="Arial"/>
          <w:sz w:val="16"/>
          <w:szCs w:val="16"/>
          <w:b w:val="1"/>
          <w:bCs w:val="1"/>
          <w:color w:val="auto"/>
        </w:rPr>
        <w:t xml:space="preserve">Section 2.15 CUSIP Numbers. </w:t>
      </w:r>
      <w:r>
        <w:rPr>
          <w:rFonts w:ascii="Arial" w:cs="Arial" w:eastAsia="Arial" w:hAnsi="Arial"/>
          <w:sz w:val="16"/>
          <w:szCs w:val="16"/>
          <w:color w:val="auto"/>
        </w:rPr>
        <w:t>The Company in issuing the Securities may use “CUSIP” numbers (if then generally in use), and, if so, the Trustee shall use</w:t>
      </w:r>
      <w:r>
        <w:rPr>
          <w:rFonts w:ascii="Arial" w:cs="Arial" w:eastAsia="Arial" w:hAnsi="Arial"/>
          <w:sz w:val="16"/>
          <w:szCs w:val="16"/>
          <w:b w:val="1"/>
          <w:bCs w:val="1"/>
          <w:color w:val="auto"/>
        </w:rPr>
        <w:t xml:space="preserve"> </w:t>
      </w:r>
      <w:r>
        <w:rPr>
          <w:rFonts w:ascii="Arial" w:cs="Arial" w:eastAsia="Arial" w:hAnsi="Arial"/>
          <w:sz w:val="16"/>
          <w:szCs w:val="16"/>
          <w:color w:val="auto"/>
        </w:rPr>
        <w:t>“CUSIP” numbers in notices of redemption as a convenience to Holders; provided that any such notice may state that no representation is made as to the correctness of such numbers either as printed on the Securities or as contained in any notice of a redemption and that reliance may be placed only on the other elements of identification printed on the Securities, and any such redemption shall not be affected by any defect in or omission of such numbers. The Company shall promptly notify the Trustee of any change in “CUSIP” numbers of which the Company becomes aware.</w:t>
      </w:r>
    </w:p>
    <w:p>
      <w:pPr>
        <w:spacing w:after="0" w:line="229"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ARTICLE III</w:t>
      </w:r>
    </w:p>
    <w:p>
      <w:pPr>
        <w:spacing w:after="0" w:line="21"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REDEMPTION</w:t>
      </w:r>
    </w:p>
    <w:p>
      <w:pPr>
        <w:spacing w:after="0" w:line="294"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b w:val="1"/>
          <w:bCs w:val="1"/>
          <w:color w:val="auto"/>
        </w:rPr>
        <w:t xml:space="preserve">Section 3.01 Notice to Trustee. </w:t>
      </w:r>
      <w:r>
        <w:rPr>
          <w:rFonts w:ascii="Arial" w:cs="Arial" w:eastAsia="Arial" w:hAnsi="Arial"/>
          <w:sz w:val="18"/>
          <w:szCs w:val="18"/>
          <w:color w:val="auto"/>
        </w:rPr>
        <w:t>The Company may, with respect to any Series of Securities, reserve the right to redeem and pay the Series of Securities or</w:t>
      </w:r>
      <w:r>
        <w:rPr>
          <w:rFonts w:ascii="Arial" w:cs="Arial" w:eastAsia="Arial" w:hAnsi="Arial"/>
          <w:sz w:val="18"/>
          <w:szCs w:val="18"/>
          <w:b w:val="1"/>
          <w:bCs w:val="1"/>
          <w:color w:val="auto"/>
        </w:rPr>
        <w:t xml:space="preserve"> </w:t>
      </w:r>
      <w:r>
        <w:rPr>
          <w:rFonts w:ascii="Arial" w:cs="Arial" w:eastAsia="Arial" w:hAnsi="Arial"/>
          <w:sz w:val="18"/>
          <w:szCs w:val="18"/>
          <w:color w:val="auto"/>
        </w:rPr>
        <w:t>may covenant to redeem and pay the Series of Securities or any part thereof prior to the Stated Maturity thereof at such time and on such terms as provided for in such Securities. If a Series of Securities is redeemable and the Company wants or is obligated to redeem prior to the Stated Maturity thereof all or part of the Series of Securities pursuant to the terms of such Securities, it shall notify the Trustee of the redemption date and the principal amount of Series of Securities to be redeemed.</w:t>
      </w:r>
    </w:p>
    <w:p>
      <w:pPr>
        <w:spacing w:after="0" w:line="193"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b w:val="1"/>
          <w:bCs w:val="1"/>
          <w:color w:val="auto"/>
        </w:rPr>
        <w:t xml:space="preserve">Section 3.02 Selection of Securities to be Redeemed. </w:t>
      </w:r>
      <w:r>
        <w:rPr>
          <w:rFonts w:ascii="Arial" w:cs="Arial" w:eastAsia="Arial" w:hAnsi="Arial"/>
          <w:sz w:val="16"/>
          <w:szCs w:val="16"/>
          <w:color w:val="auto"/>
        </w:rPr>
        <w:t>Unless otherwise indicated for a particular Series by a Board Resolution, a supplemental indenture or</w:t>
      </w:r>
      <w:r>
        <w:rPr>
          <w:rFonts w:ascii="Arial" w:cs="Arial" w:eastAsia="Arial" w:hAnsi="Arial"/>
          <w:sz w:val="16"/>
          <w:szCs w:val="16"/>
          <w:b w:val="1"/>
          <w:bCs w:val="1"/>
          <w:color w:val="auto"/>
        </w:rPr>
        <w:t xml:space="preserve"> </w:t>
      </w:r>
      <w:r>
        <w:rPr>
          <w:rFonts w:ascii="Arial" w:cs="Arial" w:eastAsia="Arial" w:hAnsi="Arial"/>
          <w:sz w:val="16"/>
          <w:szCs w:val="16"/>
          <w:color w:val="auto"/>
        </w:rPr>
        <w:t>an Officers’ Certificate, if less than all the Securities of a Series are to be redeemed, the Trustee shall select the Securities of the Series to be redeemed in any manner that the Trustee deems fair and appropriate. The Trustee shall make the selection from Securities of the Series outstanding not previously called for redemption. The Trustee may select for redemption portions of the principal of Securities of the Series that have denominations larger than $1,000. Securities of the Series and portions of them it selects shall be in amounts of $1,000 or whole multiples of $1,000 or, with respect to Securities of any Series issuable in other denominations pursuant to Section 2.02(j), the minimum principal denomination for each Series and integral multiples thereof. Provisions of this Indenture that apply to Securities of a Series called for redemption also apply to portions of Securities of that Series called for redemption.</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Section 3.03 Notice of Redemption.</w:t>
      </w:r>
    </w:p>
    <w:p>
      <w:pPr>
        <w:spacing w:after="0" w:line="231" w:lineRule="exact"/>
        <w:rPr>
          <w:sz w:val="20"/>
          <w:szCs w:val="20"/>
          <w:color w:val="auto"/>
        </w:rPr>
      </w:pPr>
    </w:p>
    <w:p>
      <w:pPr>
        <w:ind w:right="120" w:firstLine="359"/>
        <w:spacing w:after="0" w:line="256" w:lineRule="auto"/>
        <w:tabs>
          <w:tab w:leader="none" w:pos="590" w:val="left"/>
        </w:tabs>
        <w:numPr>
          <w:ilvl w:val="0"/>
          <w:numId w:val="54"/>
        </w:numPr>
        <w:rPr>
          <w:rFonts w:ascii="Arial" w:cs="Arial" w:eastAsia="Arial" w:hAnsi="Arial"/>
          <w:sz w:val="18"/>
          <w:szCs w:val="18"/>
          <w:color w:val="auto"/>
        </w:rPr>
      </w:pPr>
      <w:r>
        <w:rPr>
          <w:rFonts w:ascii="Arial" w:cs="Arial" w:eastAsia="Arial" w:hAnsi="Arial"/>
          <w:sz w:val="18"/>
          <w:szCs w:val="18"/>
          <w:color w:val="auto"/>
        </w:rPr>
        <w:t>Unless otherwise indicated for a particular Series by Board Resolution, a supplemental indenture hereto or an Officers’ Certificate, at least 30 days but not more than 60 days before a redemption date, the Company shall mail a notice of redemption by first-class mail to each Holder whose Securities are to be redeemed and, if any Bearer Securities are outstanding, publish on one occasion a notice in an Authorized Newspaper. The notice shall identify the Securities of the Series to be redeemed and shall state:</w:t>
      </w:r>
    </w:p>
    <w:p>
      <w:pPr>
        <w:spacing w:after="0" w:line="197" w:lineRule="exact"/>
        <w:rPr>
          <w:rFonts w:ascii="Arial" w:cs="Arial" w:eastAsia="Arial" w:hAnsi="Arial"/>
          <w:sz w:val="18"/>
          <w:szCs w:val="18"/>
          <w:color w:val="auto"/>
        </w:rPr>
      </w:pPr>
    </w:p>
    <w:p>
      <w:pPr>
        <w:ind w:left="1140" w:hanging="200"/>
        <w:spacing w:after="0"/>
        <w:tabs>
          <w:tab w:leader="none" w:pos="1140" w:val="left"/>
        </w:tabs>
        <w:numPr>
          <w:ilvl w:val="1"/>
          <w:numId w:val="54"/>
        </w:numPr>
        <w:rPr>
          <w:rFonts w:ascii="Arial" w:cs="Arial" w:eastAsia="Arial" w:hAnsi="Arial"/>
          <w:sz w:val="18"/>
          <w:szCs w:val="18"/>
          <w:color w:val="auto"/>
        </w:rPr>
      </w:pPr>
      <w:r>
        <w:rPr>
          <w:rFonts w:ascii="Arial" w:cs="Arial" w:eastAsia="Arial" w:hAnsi="Arial"/>
          <w:sz w:val="18"/>
          <w:szCs w:val="18"/>
          <w:color w:val="auto"/>
        </w:rPr>
        <w:t>the redemption date;</w:t>
      </w:r>
    </w:p>
    <w:p>
      <w:pPr>
        <w:spacing w:after="0" w:line="252" w:lineRule="exact"/>
        <w:rPr>
          <w:rFonts w:ascii="Arial" w:cs="Arial" w:eastAsia="Arial" w:hAnsi="Arial"/>
          <w:sz w:val="18"/>
          <w:szCs w:val="18"/>
          <w:color w:val="auto"/>
        </w:rPr>
      </w:pPr>
    </w:p>
    <w:p>
      <w:pPr>
        <w:ind w:left="1200" w:hanging="260"/>
        <w:spacing w:after="0"/>
        <w:tabs>
          <w:tab w:leader="none" w:pos="1200" w:val="left"/>
        </w:tabs>
        <w:numPr>
          <w:ilvl w:val="1"/>
          <w:numId w:val="54"/>
        </w:numPr>
        <w:rPr>
          <w:rFonts w:ascii="Arial" w:cs="Arial" w:eastAsia="Arial" w:hAnsi="Arial"/>
          <w:sz w:val="18"/>
          <w:szCs w:val="18"/>
          <w:color w:val="auto"/>
        </w:rPr>
      </w:pPr>
      <w:r>
        <w:rPr>
          <w:rFonts w:ascii="Arial" w:cs="Arial" w:eastAsia="Arial" w:hAnsi="Arial"/>
          <w:sz w:val="18"/>
          <w:szCs w:val="18"/>
          <w:color w:val="auto"/>
        </w:rPr>
        <w:t>the redemption price;</w:t>
      </w:r>
    </w:p>
    <w:p>
      <w:pPr>
        <w:spacing w:after="0" w:line="252" w:lineRule="exact"/>
        <w:rPr>
          <w:rFonts w:ascii="Arial" w:cs="Arial" w:eastAsia="Arial" w:hAnsi="Arial"/>
          <w:sz w:val="18"/>
          <w:szCs w:val="18"/>
          <w:color w:val="auto"/>
        </w:rPr>
      </w:pPr>
    </w:p>
    <w:p>
      <w:pPr>
        <w:ind w:left="1240" w:hanging="300"/>
        <w:spacing w:after="0"/>
        <w:tabs>
          <w:tab w:leader="none" w:pos="1240" w:val="left"/>
        </w:tabs>
        <w:numPr>
          <w:ilvl w:val="1"/>
          <w:numId w:val="54"/>
        </w:numPr>
        <w:rPr>
          <w:rFonts w:ascii="Arial" w:cs="Arial" w:eastAsia="Arial" w:hAnsi="Arial"/>
          <w:sz w:val="18"/>
          <w:szCs w:val="18"/>
          <w:color w:val="auto"/>
        </w:rPr>
      </w:pPr>
      <w:r>
        <w:rPr>
          <w:rFonts w:ascii="Arial" w:cs="Arial" w:eastAsia="Arial" w:hAnsi="Arial"/>
          <w:sz w:val="18"/>
          <w:szCs w:val="18"/>
          <w:color w:val="auto"/>
        </w:rPr>
        <w:t>the name and address of the Paying Agent;</w:t>
      </w: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380"/>
          </w:cols>
          <w:pgMar w:left="240" w:top="347" w:right="279" w:bottom="1440" w:gutter="0" w:footer="0" w:header="0"/>
        </w:sectPr>
      </w:pPr>
    </w:p>
    <w:bookmarkStart w:id="38" w:name="page39"/>
    <w:bookmarkEnd w:id="38"/>
    <w:p>
      <w:pPr>
        <w:ind w:left="1240" w:hanging="300"/>
        <w:spacing w:after="0"/>
        <w:tabs>
          <w:tab w:leader="none" w:pos="12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that Securities of the Series called for redemption must be surrendered to the Paying Agent to collect the redemption price;</w:t>
      </w:r>
    </w:p>
    <w:p>
      <w:pPr>
        <w:spacing w:after="0" w:line="252" w:lineRule="exact"/>
        <w:rPr>
          <w:rFonts w:ascii="Arial" w:cs="Arial" w:eastAsia="Arial" w:hAnsi="Arial"/>
          <w:sz w:val="18"/>
          <w:szCs w:val="18"/>
          <w:color w:val="auto"/>
        </w:rPr>
      </w:pPr>
    </w:p>
    <w:p>
      <w:pPr>
        <w:ind w:left="1180" w:hanging="240"/>
        <w:spacing w:after="0"/>
        <w:tabs>
          <w:tab w:leader="none" w:pos="11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that interest on Securities of the Series called for redemption ceases to accrue on and after the redemption date;</w:t>
      </w:r>
    </w:p>
    <w:p>
      <w:pPr>
        <w:spacing w:after="0" w:line="252" w:lineRule="exact"/>
        <w:rPr>
          <w:rFonts w:ascii="Arial" w:cs="Arial" w:eastAsia="Arial" w:hAnsi="Arial"/>
          <w:sz w:val="18"/>
          <w:szCs w:val="18"/>
          <w:color w:val="auto"/>
        </w:rPr>
      </w:pPr>
    </w:p>
    <w:p>
      <w:pPr>
        <w:ind w:left="1240" w:hanging="300"/>
        <w:spacing w:after="0"/>
        <w:tabs>
          <w:tab w:leader="none" w:pos="12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CUSIP number, if any; and</w:t>
      </w:r>
    </w:p>
    <w:p>
      <w:pPr>
        <w:spacing w:after="0" w:line="252" w:lineRule="exact"/>
        <w:rPr>
          <w:rFonts w:ascii="Arial" w:cs="Arial" w:eastAsia="Arial" w:hAnsi="Arial"/>
          <w:sz w:val="18"/>
          <w:szCs w:val="18"/>
          <w:color w:val="auto"/>
        </w:rPr>
      </w:pPr>
    </w:p>
    <w:p>
      <w:pPr>
        <w:ind w:left="1280" w:hanging="340"/>
        <w:spacing w:after="0"/>
        <w:tabs>
          <w:tab w:leader="none" w:pos="12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other information as may be required by the terms of the particular Series or the Securities of a Series being redeemed.</w:t>
      </w:r>
    </w:p>
    <w:p>
      <w:pPr>
        <w:spacing w:after="0" w:line="200" w:lineRule="exact"/>
        <w:rPr>
          <w:sz w:val="20"/>
          <w:szCs w:val="20"/>
          <w:color w:val="auto"/>
        </w:rPr>
      </w:pPr>
    </w:p>
    <w:p>
      <w:pPr>
        <w:spacing w:after="0" w:line="26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the Company’s request, the Trustee shall give the notice of redemption in the Company’s name and at its expense.</w:t>
      </w:r>
    </w:p>
    <w:p>
      <w:pPr>
        <w:spacing w:after="0" w:line="219" w:lineRule="exact"/>
        <w:rPr>
          <w:sz w:val="20"/>
          <w:szCs w:val="20"/>
          <w:color w:val="auto"/>
        </w:rPr>
      </w:pPr>
    </w:p>
    <w:p>
      <w:pPr>
        <w:ind w:firstLine="351"/>
        <w:spacing w:after="0" w:line="296" w:lineRule="auto"/>
        <w:rPr>
          <w:sz w:val="20"/>
          <w:szCs w:val="20"/>
          <w:color w:val="auto"/>
        </w:rPr>
      </w:pPr>
      <w:r>
        <w:rPr>
          <w:rFonts w:ascii="Arial" w:cs="Arial" w:eastAsia="Arial" w:hAnsi="Arial"/>
          <w:sz w:val="16"/>
          <w:szCs w:val="16"/>
          <w:b w:val="1"/>
          <w:bCs w:val="1"/>
          <w:color w:val="auto"/>
        </w:rPr>
        <w:t xml:space="preserve">Section 3.04 Effect of Notice of Redemption. </w:t>
      </w:r>
      <w:r>
        <w:rPr>
          <w:rFonts w:ascii="Arial" w:cs="Arial" w:eastAsia="Arial" w:hAnsi="Arial"/>
          <w:sz w:val="16"/>
          <w:szCs w:val="16"/>
          <w:color w:val="auto"/>
        </w:rPr>
        <w:t>Once notice of redemption is mailed or published as provided in Section 3.03, Securities of a Series called for</w:t>
      </w:r>
      <w:r>
        <w:rPr>
          <w:rFonts w:ascii="Arial" w:cs="Arial" w:eastAsia="Arial" w:hAnsi="Arial"/>
          <w:sz w:val="16"/>
          <w:szCs w:val="16"/>
          <w:b w:val="1"/>
          <w:bCs w:val="1"/>
          <w:color w:val="auto"/>
        </w:rPr>
        <w:t xml:space="preserve"> </w:t>
      </w:r>
      <w:r>
        <w:rPr>
          <w:rFonts w:ascii="Arial" w:cs="Arial" w:eastAsia="Arial" w:hAnsi="Arial"/>
          <w:sz w:val="16"/>
          <w:szCs w:val="16"/>
          <w:color w:val="auto"/>
        </w:rPr>
        <w:t>redemption become due and payable on the redemption date and at the redemption price. A notice of redemption may not be conditional. Upon surrender to the Paying Agent, such Securities shall be paid at the redemption price plus accrued interest to the redemption date; provided that installments of interest whose Stated Maturity is on or prior to the redemption date shall be payable to the Holders of such Securities (or one or more predecessor Securities) registered at the close of business on the relevant record date therefor according to their terms and the terms of this Indenture.</w:t>
      </w:r>
    </w:p>
    <w:p>
      <w:pPr>
        <w:spacing w:after="0" w:line="162" w:lineRule="exact"/>
        <w:rPr>
          <w:sz w:val="20"/>
          <w:szCs w:val="20"/>
          <w:color w:val="auto"/>
        </w:rPr>
      </w:pPr>
    </w:p>
    <w:p>
      <w:pPr>
        <w:ind w:right="420" w:firstLine="351"/>
        <w:spacing w:after="0" w:line="339" w:lineRule="auto"/>
        <w:rPr>
          <w:sz w:val="20"/>
          <w:szCs w:val="20"/>
          <w:color w:val="auto"/>
        </w:rPr>
      </w:pPr>
      <w:r>
        <w:rPr>
          <w:rFonts w:ascii="Arial" w:cs="Arial" w:eastAsia="Arial" w:hAnsi="Arial"/>
          <w:sz w:val="16"/>
          <w:szCs w:val="16"/>
          <w:b w:val="1"/>
          <w:bCs w:val="1"/>
          <w:color w:val="auto"/>
        </w:rPr>
        <w:t xml:space="preserve">Section 3.05 Deposit of Redemption Price. </w:t>
      </w:r>
      <w:r>
        <w:rPr>
          <w:rFonts w:ascii="Arial" w:cs="Arial" w:eastAsia="Arial" w:hAnsi="Arial"/>
          <w:sz w:val="16"/>
          <w:szCs w:val="16"/>
          <w:color w:val="auto"/>
        </w:rPr>
        <w:t>On or before 10:00 a.m., New York City time, on the redemption date, the Company shall deposit with the</w:t>
      </w:r>
      <w:r>
        <w:rPr>
          <w:rFonts w:ascii="Arial" w:cs="Arial" w:eastAsia="Arial" w:hAnsi="Arial"/>
          <w:sz w:val="16"/>
          <w:szCs w:val="16"/>
          <w:b w:val="1"/>
          <w:bCs w:val="1"/>
          <w:color w:val="auto"/>
        </w:rPr>
        <w:t xml:space="preserve"> </w:t>
      </w:r>
      <w:r>
        <w:rPr>
          <w:rFonts w:ascii="Arial" w:cs="Arial" w:eastAsia="Arial" w:hAnsi="Arial"/>
          <w:sz w:val="16"/>
          <w:szCs w:val="16"/>
          <w:color w:val="auto"/>
        </w:rPr>
        <w:t>Paying Agent money sufficient to pay the redemption price of and accrued interest, if any, on all Securities to be redeemed on that date.</w:t>
      </w:r>
    </w:p>
    <w:p>
      <w:pPr>
        <w:spacing w:after="0" w:line="128" w:lineRule="exact"/>
        <w:rPr>
          <w:sz w:val="20"/>
          <w:szCs w:val="20"/>
          <w:color w:val="auto"/>
        </w:rPr>
      </w:pPr>
    </w:p>
    <w:p>
      <w:pPr>
        <w:ind w:right="560" w:firstLine="351"/>
        <w:spacing w:after="0" w:line="339" w:lineRule="auto"/>
        <w:rPr>
          <w:sz w:val="20"/>
          <w:szCs w:val="20"/>
          <w:color w:val="auto"/>
        </w:rPr>
      </w:pPr>
      <w:r>
        <w:rPr>
          <w:rFonts w:ascii="Arial" w:cs="Arial" w:eastAsia="Arial" w:hAnsi="Arial"/>
          <w:sz w:val="16"/>
          <w:szCs w:val="16"/>
          <w:b w:val="1"/>
          <w:bCs w:val="1"/>
          <w:color w:val="auto"/>
        </w:rPr>
        <w:t xml:space="preserve">Section 3.06 Securities Redeemed in Part. </w:t>
      </w:r>
      <w:r>
        <w:rPr>
          <w:rFonts w:ascii="Arial" w:cs="Arial" w:eastAsia="Arial" w:hAnsi="Arial"/>
          <w:sz w:val="16"/>
          <w:szCs w:val="16"/>
          <w:color w:val="auto"/>
        </w:rPr>
        <w:t>Upon surrender of a Security that is redeemed in part, the Trustee shall authenticate for the Holder a new</w:t>
      </w:r>
      <w:r>
        <w:rPr>
          <w:rFonts w:ascii="Arial" w:cs="Arial" w:eastAsia="Arial" w:hAnsi="Arial"/>
          <w:sz w:val="16"/>
          <w:szCs w:val="16"/>
          <w:b w:val="1"/>
          <w:bCs w:val="1"/>
          <w:color w:val="auto"/>
        </w:rPr>
        <w:t xml:space="preserve"> </w:t>
      </w:r>
      <w:r>
        <w:rPr>
          <w:rFonts w:ascii="Arial" w:cs="Arial" w:eastAsia="Arial" w:hAnsi="Arial"/>
          <w:sz w:val="16"/>
          <w:szCs w:val="16"/>
          <w:color w:val="auto"/>
        </w:rPr>
        <w:t>Security of the same Series and the same maturity equal in principal amount to the unredeemed portion of the Security surrendered.</w:t>
      </w:r>
    </w:p>
    <w:p>
      <w:pPr>
        <w:spacing w:after="0" w:line="196"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ARTICLE IV</w:t>
      </w:r>
    </w:p>
    <w:p>
      <w:pPr>
        <w:spacing w:after="0" w:line="21"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COVENANTS</w:t>
      </w:r>
    </w:p>
    <w:p>
      <w:pPr>
        <w:spacing w:after="0" w:line="294" w:lineRule="exact"/>
        <w:rPr>
          <w:sz w:val="20"/>
          <w:szCs w:val="20"/>
          <w:color w:val="auto"/>
        </w:rPr>
      </w:pPr>
    </w:p>
    <w:p>
      <w:pPr>
        <w:ind w:right="140" w:firstLine="351"/>
        <w:spacing w:after="0" w:line="378" w:lineRule="auto"/>
        <w:rPr>
          <w:sz w:val="20"/>
          <w:szCs w:val="20"/>
          <w:color w:val="auto"/>
        </w:rPr>
      </w:pPr>
      <w:r>
        <w:rPr>
          <w:rFonts w:ascii="Arial" w:cs="Arial" w:eastAsia="Arial" w:hAnsi="Arial"/>
          <w:sz w:val="15"/>
          <w:szCs w:val="15"/>
          <w:b w:val="1"/>
          <w:bCs w:val="1"/>
          <w:color w:val="auto"/>
        </w:rPr>
        <w:t xml:space="preserve">Section 4.01 Payment of Principal and Interest. </w:t>
      </w:r>
      <w:r>
        <w:rPr>
          <w:rFonts w:ascii="Arial" w:cs="Arial" w:eastAsia="Arial" w:hAnsi="Arial"/>
          <w:sz w:val="15"/>
          <w:szCs w:val="15"/>
          <w:color w:val="auto"/>
        </w:rPr>
        <w:t>The Company covenants and agrees for the benefit of the Holders of each Series of Securities that it will</w:t>
      </w:r>
      <w:r>
        <w:rPr>
          <w:rFonts w:ascii="Arial" w:cs="Arial" w:eastAsia="Arial" w:hAnsi="Arial"/>
          <w:sz w:val="15"/>
          <w:szCs w:val="15"/>
          <w:b w:val="1"/>
          <w:bCs w:val="1"/>
          <w:color w:val="auto"/>
        </w:rPr>
        <w:t xml:space="preserve"> </w:t>
      </w:r>
      <w:r>
        <w:rPr>
          <w:rFonts w:ascii="Arial" w:cs="Arial" w:eastAsia="Arial" w:hAnsi="Arial"/>
          <w:sz w:val="15"/>
          <w:szCs w:val="15"/>
          <w:color w:val="auto"/>
        </w:rPr>
        <w:t>duly and punctually pay the principal of and interest, if any, on the Securities of that Series in accordance with the terms of such Securities and this Indenture.</w:t>
      </w:r>
    </w:p>
    <w:p>
      <w:pPr>
        <w:spacing w:after="0" w:line="105"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b w:val="1"/>
          <w:bCs w:val="1"/>
          <w:color w:val="auto"/>
        </w:rPr>
        <w:t xml:space="preserve">Section 4.02 SEC Reports. </w:t>
      </w:r>
      <w:r>
        <w:rPr>
          <w:rFonts w:ascii="Arial" w:cs="Arial" w:eastAsia="Arial" w:hAnsi="Arial"/>
          <w:sz w:val="18"/>
          <w:szCs w:val="18"/>
          <w:color w:val="auto"/>
        </w:rPr>
        <w:t>The Company shall, so long as any of the Securities are outstanding, electronically file with the Commission the annual,</w:t>
      </w:r>
      <w:r>
        <w:rPr>
          <w:rFonts w:ascii="Arial" w:cs="Arial" w:eastAsia="Arial" w:hAnsi="Arial"/>
          <w:sz w:val="18"/>
          <w:szCs w:val="18"/>
          <w:b w:val="1"/>
          <w:bCs w:val="1"/>
          <w:color w:val="auto"/>
        </w:rPr>
        <w:t xml:space="preserve"> </w:t>
      </w:r>
      <w:r>
        <w:rPr>
          <w:rFonts w:ascii="Arial" w:cs="Arial" w:eastAsia="Arial" w:hAnsi="Arial"/>
          <w:sz w:val="18"/>
          <w:szCs w:val="18"/>
          <w:color w:val="auto"/>
        </w:rPr>
        <w:t>quarterly and other periodic reports that the Company is required to file (or would be otherwise required to file) with the Commission pursuant to Sections 13 and 15(d) of the Exchange Act. The Company also shall comply with the other provisions of TIA Section 314(a). Delivery of any reports, information and documents to the Trustee is for informational purposes only and the Trustee’s receipt of such shall not constitute constructive notice of any information contained therein or determinable from information contained therein, including the Company’s compliance with any of its covenants hereunder (as to which the Trustee is entitled to rely exclusively on an Officers’ Certificate).</w:t>
      </w:r>
    </w:p>
    <w:p>
      <w:pPr>
        <w:spacing w:after="0" w:line="193" w:lineRule="exact"/>
        <w:rPr>
          <w:sz w:val="20"/>
          <w:szCs w:val="20"/>
          <w:color w:val="auto"/>
        </w:rPr>
      </w:pPr>
    </w:p>
    <w:p>
      <w:pPr>
        <w:ind w:right="60" w:firstLine="351"/>
        <w:spacing w:after="0" w:line="254" w:lineRule="auto"/>
        <w:rPr>
          <w:sz w:val="20"/>
          <w:szCs w:val="20"/>
          <w:color w:val="auto"/>
        </w:rPr>
      </w:pPr>
      <w:r>
        <w:rPr>
          <w:rFonts w:ascii="Arial" w:cs="Arial" w:eastAsia="Arial" w:hAnsi="Arial"/>
          <w:sz w:val="18"/>
          <w:szCs w:val="18"/>
          <w:b w:val="1"/>
          <w:bCs w:val="1"/>
          <w:color w:val="auto"/>
        </w:rPr>
        <w:t xml:space="preserve">Section 4.03 Compliance Certificate. </w:t>
      </w:r>
      <w:r>
        <w:rPr>
          <w:rFonts w:ascii="Arial" w:cs="Arial" w:eastAsia="Arial" w:hAnsi="Arial"/>
          <w:sz w:val="18"/>
          <w:szCs w:val="18"/>
          <w:color w:val="auto"/>
        </w:rPr>
        <w:t>The Company shall, so long as any of the Securities are outstanding, deliver to the Trustee, within 120 days after the</w:t>
      </w:r>
      <w:r>
        <w:rPr>
          <w:rFonts w:ascii="Arial" w:cs="Arial" w:eastAsia="Arial" w:hAnsi="Arial"/>
          <w:sz w:val="18"/>
          <w:szCs w:val="18"/>
          <w:b w:val="1"/>
          <w:bCs w:val="1"/>
          <w:color w:val="auto"/>
        </w:rPr>
        <w:t xml:space="preserve"> </w:t>
      </w:r>
      <w:r>
        <w:rPr>
          <w:rFonts w:ascii="Arial" w:cs="Arial" w:eastAsia="Arial" w:hAnsi="Arial"/>
          <w:sz w:val="18"/>
          <w:szCs w:val="18"/>
          <w:color w:val="auto"/>
        </w:rPr>
        <w:t>end of each fiscal year of the Company, an Officers’ Certificate stating whether or not to the knowledge of the signers thereof the Company is in default in the performance and observance of any of the terms, provisions and conditions hereof (without regard to any period of grace or requirement of notice provided hereunder), and if a Default or Event of Default shall have occurred, specifying all such Defaults or Events of Default and the nature and status thereof of which they may have knowledge. The Company shall, so long as any of the Securities are outstanding, deliver to the Trustee, within thirty (30) days after becoming aware of any Default or Event of Default, an Officers’ Certificate specifying such Default or Event of Default and what action the Company is taking or proposes to take with respect thereto.</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9" w:name="page40"/>
    <w:bookmarkEnd w:id="39"/>
    <w:p>
      <w:pPr>
        <w:ind w:right="180" w:firstLine="351"/>
        <w:spacing w:after="0" w:line="296" w:lineRule="auto"/>
        <w:rPr>
          <w:sz w:val="20"/>
          <w:szCs w:val="20"/>
          <w:color w:val="auto"/>
        </w:rPr>
      </w:pPr>
      <w:r>
        <w:rPr>
          <w:rFonts w:ascii="Arial" w:cs="Arial" w:eastAsia="Arial" w:hAnsi="Arial"/>
          <w:sz w:val="16"/>
          <w:szCs w:val="16"/>
          <w:b w:val="1"/>
          <w:bCs w:val="1"/>
          <w:color w:val="auto"/>
        </w:rPr>
        <w:t xml:space="preserve">Section 4.04 Stay, Extension and Usury Laws. </w:t>
      </w:r>
      <w:r>
        <w:rPr>
          <w:rFonts w:ascii="Arial" w:cs="Arial" w:eastAsia="Arial" w:hAnsi="Arial"/>
          <w:sz w:val="16"/>
          <w:szCs w:val="16"/>
          <w:color w:val="auto"/>
        </w:rPr>
        <w:t>The Company covenants (to the extent that it may lawfully do so) that it will not at any time insist upon,</w:t>
      </w:r>
      <w:r>
        <w:rPr>
          <w:rFonts w:ascii="Arial" w:cs="Arial" w:eastAsia="Arial" w:hAnsi="Arial"/>
          <w:sz w:val="16"/>
          <w:szCs w:val="16"/>
          <w:b w:val="1"/>
          <w:bCs w:val="1"/>
          <w:color w:val="auto"/>
        </w:rPr>
        <w:t xml:space="preserve"> </w:t>
      </w:r>
      <w:r>
        <w:rPr>
          <w:rFonts w:ascii="Arial" w:cs="Arial" w:eastAsia="Arial" w:hAnsi="Arial"/>
          <w:sz w:val="16"/>
          <w:szCs w:val="16"/>
          <w:color w:val="auto"/>
        </w:rPr>
        <w:t>plead or in any manner whatsoever claim or take the benefit or advantage of, any stay, extension or usury law wherever enacted, now or at any time hereafter in force, which may affect the covenants or the performance of this Indenture or the Securities and the Company (to the extent it may lawfully do so) hereby expressly waives all benefit or advantage of any such law and covenants that it will not, by resort to any such law, hinder, delay or impede the execution of any power herein granted to the Trustee, but will suffer and permit the execution of every such power as though no such law has been enacted.</w:t>
      </w:r>
    </w:p>
    <w:p>
      <w:pPr>
        <w:spacing w:after="0" w:line="229"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ARTICLE V</w:t>
      </w:r>
    </w:p>
    <w:p>
      <w:pPr>
        <w:spacing w:after="0" w:line="21"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SUCCESSORS</w:t>
      </w:r>
    </w:p>
    <w:p>
      <w:pPr>
        <w:spacing w:after="0" w:line="294" w:lineRule="exact"/>
        <w:rPr>
          <w:sz w:val="20"/>
          <w:szCs w:val="20"/>
          <w:color w:val="auto"/>
        </w:rPr>
      </w:pPr>
    </w:p>
    <w:p>
      <w:pPr>
        <w:ind w:right="760" w:firstLine="351"/>
        <w:spacing w:after="0" w:line="275" w:lineRule="auto"/>
        <w:rPr>
          <w:sz w:val="20"/>
          <w:szCs w:val="20"/>
          <w:color w:val="auto"/>
        </w:rPr>
      </w:pPr>
      <w:r>
        <w:rPr>
          <w:rFonts w:ascii="Arial" w:cs="Arial" w:eastAsia="Arial" w:hAnsi="Arial"/>
          <w:sz w:val="18"/>
          <w:szCs w:val="18"/>
          <w:b w:val="1"/>
          <w:bCs w:val="1"/>
          <w:color w:val="auto"/>
        </w:rPr>
        <w:t xml:space="preserve">Section 5.01 When Company May Merge, Etc. </w:t>
      </w:r>
      <w:r>
        <w:rPr>
          <w:rFonts w:ascii="Arial" w:cs="Arial" w:eastAsia="Arial" w:hAnsi="Arial"/>
          <w:sz w:val="18"/>
          <w:szCs w:val="18"/>
          <w:color w:val="auto"/>
        </w:rPr>
        <w:t>The Company shall not consolidate with or merge with or into, or convey, transfer or lease all or</w:t>
      </w:r>
      <w:r>
        <w:rPr>
          <w:rFonts w:ascii="Arial" w:cs="Arial" w:eastAsia="Arial" w:hAnsi="Arial"/>
          <w:sz w:val="18"/>
          <w:szCs w:val="18"/>
          <w:b w:val="1"/>
          <w:bCs w:val="1"/>
          <w:color w:val="auto"/>
        </w:rPr>
        <w:t xml:space="preserve"> </w:t>
      </w:r>
      <w:r>
        <w:rPr>
          <w:rFonts w:ascii="Arial" w:cs="Arial" w:eastAsia="Arial" w:hAnsi="Arial"/>
          <w:sz w:val="18"/>
          <w:szCs w:val="18"/>
          <w:color w:val="auto"/>
        </w:rPr>
        <w:t>substantially all of its properties and assets to, any person (a “successor person”) unless:</w:t>
      </w:r>
    </w:p>
    <w:p>
      <w:pPr>
        <w:spacing w:after="0" w:line="180" w:lineRule="exact"/>
        <w:rPr>
          <w:sz w:val="20"/>
          <w:szCs w:val="20"/>
          <w:color w:val="auto"/>
        </w:rPr>
      </w:pPr>
    </w:p>
    <w:p>
      <w:pPr>
        <w:ind w:firstLine="359"/>
        <w:spacing w:after="0" w:line="332" w:lineRule="auto"/>
        <w:tabs>
          <w:tab w:leader="none" w:pos="59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Company is the surviving corporation or the successor person (if other than the Company) is organized and validly existing under the laws of Israel or any U.S. domestic jurisdiction and expressly assumes the Company’s obligations on the Securities and under this Indenture; and</w:t>
      </w:r>
    </w:p>
    <w:p>
      <w:pPr>
        <w:spacing w:after="0" w:line="139" w:lineRule="exact"/>
        <w:rPr>
          <w:rFonts w:ascii="Arial" w:cs="Arial" w:eastAsia="Arial" w:hAnsi="Arial"/>
          <w:sz w:val="16"/>
          <w:szCs w:val="16"/>
          <w:color w:val="auto"/>
        </w:rPr>
      </w:pPr>
    </w:p>
    <w:p>
      <w:pPr>
        <w:ind w:left="600" w:hanging="241"/>
        <w:spacing w:after="0"/>
        <w:tabs>
          <w:tab w:leader="none" w:pos="6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immediately after giving effect to the transaction, no Default or Event of Default shall have occurred and be continuing.</w:t>
      </w:r>
    </w:p>
    <w:p>
      <w:pPr>
        <w:spacing w:after="0" w:line="225" w:lineRule="exact"/>
        <w:rPr>
          <w:sz w:val="20"/>
          <w:szCs w:val="20"/>
          <w:color w:val="auto"/>
        </w:rPr>
      </w:pPr>
    </w:p>
    <w:p>
      <w:pPr>
        <w:ind w:right="500" w:firstLine="348"/>
        <w:spacing w:after="0" w:line="332" w:lineRule="auto"/>
        <w:rPr>
          <w:sz w:val="20"/>
          <w:szCs w:val="20"/>
          <w:color w:val="auto"/>
        </w:rPr>
      </w:pPr>
      <w:r>
        <w:rPr>
          <w:rFonts w:ascii="Arial" w:cs="Arial" w:eastAsia="Arial" w:hAnsi="Arial"/>
          <w:sz w:val="16"/>
          <w:szCs w:val="16"/>
          <w:color w:val="auto"/>
        </w:rPr>
        <w:t>The Company shall deliver to the Trustee prior to the consummation of the proposed transaction an Officers’ Certificate to the foregoing effect and an Opinion of Counsel stating that the proposed transaction and any supplemental indenture comply with this Indenture.</w:t>
      </w:r>
    </w:p>
    <w:p>
      <w:pPr>
        <w:spacing w:after="0" w:line="133" w:lineRule="exact"/>
        <w:rPr>
          <w:sz w:val="20"/>
          <w:szCs w:val="20"/>
          <w:color w:val="auto"/>
        </w:rPr>
      </w:pPr>
    </w:p>
    <w:p>
      <w:pPr>
        <w:ind w:firstLine="351"/>
        <w:spacing w:after="0" w:line="293" w:lineRule="auto"/>
        <w:rPr>
          <w:sz w:val="20"/>
          <w:szCs w:val="20"/>
          <w:color w:val="auto"/>
        </w:rPr>
      </w:pPr>
      <w:r>
        <w:rPr>
          <w:rFonts w:ascii="Arial" w:cs="Arial" w:eastAsia="Arial" w:hAnsi="Arial"/>
          <w:sz w:val="16"/>
          <w:szCs w:val="16"/>
          <w:b w:val="1"/>
          <w:bCs w:val="1"/>
          <w:color w:val="auto"/>
        </w:rPr>
        <w:t xml:space="preserve">Section 5.02 Successor Corporation Substituted. </w:t>
      </w:r>
      <w:r>
        <w:rPr>
          <w:rFonts w:ascii="Arial" w:cs="Arial" w:eastAsia="Arial" w:hAnsi="Arial"/>
          <w:sz w:val="16"/>
          <w:szCs w:val="16"/>
          <w:color w:val="auto"/>
        </w:rPr>
        <w:t>Upon any consolidation or merger, or any sale, lease, conveyance or other disposition of all or</w:t>
      </w:r>
      <w:r>
        <w:rPr>
          <w:rFonts w:ascii="Arial" w:cs="Arial" w:eastAsia="Arial" w:hAnsi="Arial"/>
          <w:sz w:val="16"/>
          <w:szCs w:val="16"/>
          <w:b w:val="1"/>
          <w:bCs w:val="1"/>
          <w:color w:val="auto"/>
        </w:rPr>
        <w:t xml:space="preserve"> </w:t>
      </w:r>
      <w:r>
        <w:rPr>
          <w:rFonts w:ascii="Arial" w:cs="Arial" w:eastAsia="Arial" w:hAnsi="Arial"/>
          <w:sz w:val="16"/>
          <w:szCs w:val="16"/>
          <w:color w:val="auto"/>
        </w:rPr>
        <w:t>substantially all of the assets of the Company in accordance with Section 5.01, the successor corporation formed by such consolidation or into or with which the Company is merged or to which such sale, lease, conveyance or other disposition is made shall succeed to, and be substituted for, and may exercise every right and power of, the Company under this Indenture with the same effect as if such successor person has been named as the Company herein; provided, however, that the predecessor Company in the case of a sale, conveyance or other disposition (other than a lease) shall be released from all obligations and covenants under this Indenture and the Securities.</w:t>
      </w:r>
    </w:p>
    <w:p>
      <w:pPr>
        <w:spacing w:after="0" w:line="23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ARTICLE VI</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DEFAULTS AND REMEDIES</w:t>
      </w:r>
    </w:p>
    <w:p>
      <w:pPr>
        <w:spacing w:after="0" w:line="294"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Section 6.01 Events of Default.</w:t>
      </w:r>
    </w:p>
    <w:p>
      <w:pPr>
        <w:spacing w:after="0" w:line="231" w:lineRule="exact"/>
        <w:rPr>
          <w:sz w:val="20"/>
          <w:szCs w:val="20"/>
          <w:color w:val="auto"/>
        </w:rPr>
      </w:pPr>
    </w:p>
    <w:p>
      <w:pPr>
        <w:ind w:right="220" w:firstLine="351"/>
        <w:spacing w:after="0" w:line="332" w:lineRule="auto"/>
        <w:rPr>
          <w:sz w:val="20"/>
          <w:szCs w:val="20"/>
          <w:color w:val="auto"/>
        </w:rPr>
      </w:pPr>
      <w:r>
        <w:rPr>
          <w:rFonts w:ascii="Arial" w:cs="Arial" w:eastAsia="Arial" w:hAnsi="Arial"/>
          <w:sz w:val="16"/>
          <w:szCs w:val="16"/>
          <w:i w:val="1"/>
          <w:iCs w:val="1"/>
          <w:color w:val="auto"/>
        </w:rPr>
        <w:t xml:space="preserve">“Event of Default,” </w:t>
      </w:r>
      <w:r>
        <w:rPr>
          <w:rFonts w:ascii="Arial" w:cs="Arial" w:eastAsia="Arial" w:hAnsi="Arial"/>
          <w:sz w:val="16"/>
          <w:szCs w:val="16"/>
          <w:color w:val="auto"/>
        </w:rPr>
        <w:t>wherever used herein with respect to Securities of any Series, means any one of the following events, unless in the establishing Board</w:t>
      </w:r>
      <w:r>
        <w:rPr>
          <w:rFonts w:ascii="Arial" w:cs="Arial" w:eastAsia="Arial" w:hAnsi="Arial"/>
          <w:sz w:val="16"/>
          <w:szCs w:val="16"/>
          <w:i w:val="1"/>
          <w:iCs w:val="1"/>
          <w:color w:val="auto"/>
        </w:rPr>
        <w:t xml:space="preserve"> </w:t>
      </w:r>
      <w:r>
        <w:rPr>
          <w:rFonts w:ascii="Arial" w:cs="Arial" w:eastAsia="Arial" w:hAnsi="Arial"/>
          <w:sz w:val="16"/>
          <w:szCs w:val="16"/>
          <w:color w:val="auto"/>
        </w:rPr>
        <w:t>Resolution, supplemental indenture or Officers’ Certificate, it is provided that such Series shall not have the benefit of said Event of Default:</w:t>
      </w:r>
    </w:p>
    <w:p>
      <w:pPr>
        <w:spacing w:after="0" w:line="139" w:lineRule="exact"/>
        <w:rPr>
          <w:sz w:val="20"/>
          <w:szCs w:val="20"/>
          <w:color w:val="auto"/>
        </w:rPr>
      </w:pPr>
    </w:p>
    <w:p>
      <w:pPr>
        <w:jc w:val="both"/>
        <w:ind w:right="60" w:firstLine="359"/>
        <w:spacing w:after="0" w:line="259" w:lineRule="auto"/>
        <w:tabs>
          <w:tab w:leader="none" w:pos="590" w:val="left"/>
        </w:tabs>
        <w:numPr>
          <w:ilvl w:val="0"/>
          <w:numId w:val="57"/>
        </w:numPr>
        <w:rPr>
          <w:rFonts w:ascii="Arial" w:cs="Arial" w:eastAsia="Arial" w:hAnsi="Arial"/>
          <w:sz w:val="18"/>
          <w:szCs w:val="18"/>
          <w:color w:val="auto"/>
        </w:rPr>
      </w:pPr>
      <w:r>
        <w:rPr>
          <w:rFonts w:ascii="Arial" w:cs="Arial" w:eastAsia="Arial" w:hAnsi="Arial"/>
          <w:sz w:val="18"/>
          <w:szCs w:val="18"/>
          <w:color w:val="auto"/>
        </w:rPr>
        <w:t>default in the payment of any interest on any Security of that Series when it becomes due and payable, and continuance of such default for a period of 30 days (unless the entire amount of such payment is deposited by the Company with the Trustee or with a Paying Agent prior to the expiration of such period of 30 days); or</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0" w:name="page41"/>
    <w:bookmarkEnd w:id="40"/>
    <w:p>
      <w:pPr>
        <w:ind w:left="600" w:hanging="241"/>
        <w:spacing w:after="0"/>
        <w:tabs>
          <w:tab w:leader="none" w:pos="6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default in the payment of principal of any Security of that Series at its Maturity; or</w:t>
      </w:r>
    </w:p>
    <w:p>
      <w:pPr>
        <w:spacing w:after="0" w:line="225" w:lineRule="exact"/>
        <w:rPr>
          <w:rFonts w:ascii="Arial" w:cs="Arial" w:eastAsia="Arial" w:hAnsi="Arial"/>
          <w:sz w:val="18"/>
          <w:szCs w:val="18"/>
          <w:color w:val="auto"/>
        </w:rPr>
      </w:pPr>
    </w:p>
    <w:p>
      <w:pPr>
        <w:ind w:firstLine="359"/>
        <w:spacing w:after="0" w:line="254" w:lineRule="auto"/>
        <w:tabs>
          <w:tab w:leader="none" w:pos="590" w:val="left"/>
        </w:tabs>
        <w:numPr>
          <w:ilvl w:val="0"/>
          <w:numId w:val="58"/>
        </w:numPr>
        <w:rPr>
          <w:rFonts w:ascii="Arial" w:cs="Arial" w:eastAsia="Arial" w:hAnsi="Arial"/>
          <w:sz w:val="18"/>
          <w:szCs w:val="18"/>
          <w:color w:val="auto"/>
        </w:rPr>
      </w:pPr>
      <w:r>
        <w:rPr>
          <w:rFonts w:ascii="Arial" w:cs="Arial" w:eastAsia="Arial" w:hAnsi="Arial"/>
          <w:sz w:val="18"/>
          <w:szCs w:val="18"/>
          <w:color w:val="auto"/>
        </w:rPr>
        <w:t>default in the performance or breach of any covenant or warranty of the Company in this Indenture (other than a covenant or warranty for which the consequences of nonperformance or breach are addressed elsewhere in this Section 6.01 and other than a covenant or warranty that has been included in this Indenture solely for the benefit of Series of Securities other than that Series), which default continues uncured for a period of 90 days after there has been given, by registered or certified mail, to the Company by the Trustee or to the Company and the Trustee by the Holders of not less than a majority in principal amount of the outstanding Securities of that Series a written notice specifying such default or breach and requiring it to be remedied and stating that such notice is a “Notice of Default” hereunder; or</w:t>
      </w:r>
    </w:p>
    <w:p>
      <w:pPr>
        <w:spacing w:after="0" w:line="198" w:lineRule="exact"/>
        <w:rPr>
          <w:rFonts w:ascii="Arial" w:cs="Arial" w:eastAsia="Arial" w:hAnsi="Arial"/>
          <w:sz w:val="18"/>
          <w:szCs w:val="18"/>
          <w:color w:val="auto"/>
        </w:rPr>
      </w:pPr>
    </w:p>
    <w:p>
      <w:pPr>
        <w:ind w:left="600" w:hanging="241"/>
        <w:spacing w:after="0"/>
        <w:tabs>
          <w:tab w:leader="none" w:pos="6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Company pursuant to or within the meaning of any Bankruptcy Law:</w:t>
      </w:r>
    </w:p>
    <w:p>
      <w:pPr>
        <w:spacing w:after="0" w:line="225" w:lineRule="exact"/>
        <w:rPr>
          <w:rFonts w:ascii="Arial" w:cs="Arial" w:eastAsia="Arial" w:hAnsi="Arial"/>
          <w:sz w:val="18"/>
          <w:szCs w:val="18"/>
          <w:color w:val="auto"/>
        </w:rPr>
      </w:pPr>
    </w:p>
    <w:p>
      <w:pPr>
        <w:ind w:left="1140" w:hanging="200"/>
        <w:spacing w:after="0"/>
        <w:tabs>
          <w:tab w:leader="none" w:pos="1140" w:val="left"/>
        </w:tabs>
        <w:numPr>
          <w:ilvl w:val="1"/>
          <w:numId w:val="58"/>
        </w:numPr>
        <w:rPr>
          <w:rFonts w:ascii="Arial" w:cs="Arial" w:eastAsia="Arial" w:hAnsi="Arial"/>
          <w:sz w:val="18"/>
          <w:szCs w:val="18"/>
          <w:color w:val="auto"/>
        </w:rPr>
      </w:pPr>
      <w:r>
        <w:rPr>
          <w:rFonts w:ascii="Arial" w:cs="Arial" w:eastAsia="Arial" w:hAnsi="Arial"/>
          <w:sz w:val="18"/>
          <w:szCs w:val="18"/>
          <w:color w:val="auto"/>
        </w:rPr>
        <w:t>commences a voluntary case or proceeding;</w:t>
      </w:r>
    </w:p>
    <w:p>
      <w:pPr>
        <w:spacing w:after="0" w:line="252" w:lineRule="exact"/>
        <w:rPr>
          <w:rFonts w:ascii="Arial" w:cs="Arial" w:eastAsia="Arial" w:hAnsi="Arial"/>
          <w:sz w:val="18"/>
          <w:szCs w:val="18"/>
          <w:color w:val="auto"/>
        </w:rPr>
      </w:pPr>
    </w:p>
    <w:p>
      <w:pPr>
        <w:ind w:left="1200" w:hanging="260"/>
        <w:spacing w:after="0"/>
        <w:tabs>
          <w:tab w:leader="none" w:pos="1200" w:val="left"/>
        </w:tabs>
        <w:numPr>
          <w:ilvl w:val="1"/>
          <w:numId w:val="58"/>
        </w:numPr>
        <w:rPr>
          <w:rFonts w:ascii="Arial" w:cs="Arial" w:eastAsia="Arial" w:hAnsi="Arial"/>
          <w:sz w:val="18"/>
          <w:szCs w:val="18"/>
          <w:color w:val="auto"/>
        </w:rPr>
      </w:pPr>
      <w:r>
        <w:rPr>
          <w:rFonts w:ascii="Arial" w:cs="Arial" w:eastAsia="Arial" w:hAnsi="Arial"/>
          <w:sz w:val="18"/>
          <w:szCs w:val="18"/>
          <w:color w:val="auto"/>
        </w:rPr>
        <w:t>consents to the entry of an order for relief against it in an involuntary case,</w:t>
      </w:r>
    </w:p>
    <w:p>
      <w:pPr>
        <w:spacing w:after="0" w:line="252" w:lineRule="exact"/>
        <w:rPr>
          <w:rFonts w:ascii="Arial" w:cs="Arial" w:eastAsia="Arial" w:hAnsi="Arial"/>
          <w:sz w:val="18"/>
          <w:szCs w:val="18"/>
          <w:color w:val="auto"/>
        </w:rPr>
      </w:pPr>
    </w:p>
    <w:p>
      <w:pPr>
        <w:ind w:left="1240" w:hanging="300"/>
        <w:spacing w:after="0"/>
        <w:tabs>
          <w:tab w:leader="none" w:pos="1240" w:val="left"/>
        </w:tabs>
        <w:numPr>
          <w:ilvl w:val="1"/>
          <w:numId w:val="58"/>
        </w:numPr>
        <w:rPr>
          <w:rFonts w:ascii="Arial" w:cs="Arial" w:eastAsia="Arial" w:hAnsi="Arial"/>
          <w:sz w:val="18"/>
          <w:szCs w:val="18"/>
          <w:color w:val="auto"/>
        </w:rPr>
      </w:pPr>
      <w:r>
        <w:rPr>
          <w:rFonts w:ascii="Arial" w:cs="Arial" w:eastAsia="Arial" w:hAnsi="Arial"/>
          <w:sz w:val="18"/>
          <w:szCs w:val="18"/>
          <w:color w:val="auto"/>
        </w:rPr>
        <w:t>consents to the appointment of a Custodian of it or for all or substantially all of its property,</w:t>
      </w:r>
    </w:p>
    <w:p>
      <w:pPr>
        <w:spacing w:after="0" w:line="252" w:lineRule="exact"/>
        <w:rPr>
          <w:rFonts w:ascii="Arial" w:cs="Arial" w:eastAsia="Arial" w:hAnsi="Arial"/>
          <w:sz w:val="18"/>
          <w:szCs w:val="18"/>
          <w:color w:val="auto"/>
        </w:rPr>
      </w:pPr>
    </w:p>
    <w:p>
      <w:pPr>
        <w:ind w:left="1240" w:hanging="300"/>
        <w:spacing w:after="0"/>
        <w:tabs>
          <w:tab w:leader="none" w:pos="1240" w:val="left"/>
        </w:tabs>
        <w:numPr>
          <w:ilvl w:val="1"/>
          <w:numId w:val="58"/>
        </w:numPr>
        <w:rPr>
          <w:rFonts w:ascii="Arial" w:cs="Arial" w:eastAsia="Arial" w:hAnsi="Arial"/>
          <w:sz w:val="18"/>
          <w:szCs w:val="18"/>
          <w:color w:val="auto"/>
        </w:rPr>
      </w:pPr>
      <w:r>
        <w:rPr>
          <w:rFonts w:ascii="Arial" w:cs="Arial" w:eastAsia="Arial" w:hAnsi="Arial"/>
          <w:sz w:val="18"/>
          <w:szCs w:val="18"/>
          <w:color w:val="auto"/>
        </w:rPr>
        <w:t>makes a general assignment for the benefit of its creditors, or</w:t>
      </w:r>
    </w:p>
    <w:p>
      <w:pPr>
        <w:spacing w:after="0" w:line="252" w:lineRule="exact"/>
        <w:rPr>
          <w:rFonts w:ascii="Arial" w:cs="Arial" w:eastAsia="Arial" w:hAnsi="Arial"/>
          <w:sz w:val="18"/>
          <w:szCs w:val="18"/>
          <w:color w:val="auto"/>
        </w:rPr>
      </w:pPr>
    </w:p>
    <w:p>
      <w:pPr>
        <w:ind w:left="1180" w:hanging="240"/>
        <w:spacing w:after="0"/>
        <w:tabs>
          <w:tab w:leader="none" w:pos="1180" w:val="left"/>
        </w:tabs>
        <w:numPr>
          <w:ilvl w:val="1"/>
          <w:numId w:val="58"/>
        </w:numPr>
        <w:rPr>
          <w:rFonts w:ascii="Arial" w:cs="Arial" w:eastAsia="Arial" w:hAnsi="Arial"/>
          <w:sz w:val="18"/>
          <w:szCs w:val="18"/>
          <w:color w:val="auto"/>
        </w:rPr>
      </w:pPr>
      <w:r>
        <w:rPr>
          <w:rFonts w:ascii="Arial" w:cs="Arial" w:eastAsia="Arial" w:hAnsi="Arial"/>
          <w:sz w:val="18"/>
          <w:szCs w:val="18"/>
          <w:color w:val="auto"/>
        </w:rPr>
        <w:t>makes an admission by writing that it is generally unable to pay its debts as the same become due; or</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600" w:hanging="241"/>
        <w:spacing w:after="0"/>
        <w:tabs>
          <w:tab w:leader="none" w:pos="6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 court of competent jurisdiction enters an order or decree under any Bankruptcy Law that:</w:t>
      </w:r>
    </w:p>
    <w:p>
      <w:pPr>
        <w:spacing w:after="0" w:line="225" w:lineRule="exact"/>
        <w:rPr>
          <w:rFonts w:ascii="Arial" w:cs="Arial" w:eastAsia="Arial" w:hAnsi="Arial"/>
          <w:sz w:val="18"/>
          <w:szCs w:val="18"/>
          <w:color w:val="auto"/>
        </w:rPr>
      </w:pPr>
    </w:p>
    <w:p>
      <w:pPr>
        <w:ind w:left="1140" w:hanging="200"/>
        <w:spacing w:after="0"/>
        <w:tabs>
          <w:tab w:leader="none" w:pos="1140" w:val="left"/>
        </w:tabs>
        <w:numPr>
          <w:ilvl w:val="1"/>
          <w:numId w:val="58"/>
        </w:numPr>
        <w:rPr>
          <w:rFonts w:ascii="Arial" w:cs="Arial" w:eastAsia="Arial" w:hAnsi="Arial"/>
          <w:sz w:val="18"/>
          <w:szCs w:val="18"/>
          <w:color w:val="auto"/>
        </w:rPr>
      </w:pPr>
      <w:r>
        <w:rPr>
          <w:rFonts w:ascii="Arial" w:cs="Arial" w:eastAsia="Arial" w:hAnsi="Arial"/>
          <w:sz w:val="18"/>
          <w:szCs w:val="18"/>
          <w:color w:val="auto"/>
        </w:rPr>
        <w:t>is for relief against the Company in an involuntary case,</w:t>
      </w:r>
    </w:p>
    <w:p>
      <w:pPr>
        <w:spacing w:after="0" w:line="252" w:lineRule="exact"/>
        <w:rPr>
          <w:rFonts w:ascii="Arial" w:cs="Arial" w:eastAsia="Arial" w:hAnsi="Arial"/>
          <w:sz w:val="18"/>
          <w:szCs w:val="18"/>
          <w:color w:val="auto"/>
        </w:rPr>
      </w:pPr>
    </w:p>
    <w:p>
      <w:pPr>
        <w:ind w:left="1200" w:hanging="260"/>
        <w:spacing w:after="0"/>
        <w:tabs>
          <w:tab w:leader="none" w:pos="1200" w:val="left"/>
        </w:tabs>
        <w:numPr>
          <w:ilvl w:val="1"/>
          <w:numId w:val="58"/>
        </w:numPr>
        <w:rPr>
          <w:rFonts w:ascii="Arial" w:cs="Arial" w:eastAsia="Arial" w:hAnsi="Arial"/>
          <w:sz w:val="18"/>
          <w:szCs w:val="18"/>
          <w:color w:val="auto"/>
        </w:rPr>
      </w:pPr>
      <w:r>
        <w:rPr>
          <w:rFonts w:ascii="Arial" w:cs="Arial" w:eastAsia="Arial" w:hAnsi="Arial"/>
          <w:sz w:val="18"/>
          <w:szCs w:val="18"/>
          <w:color w:val="auto"/>
        </w:rPr>
        <w:t>appoints a Custodian of the Company or for all or substantially all of its property, or</w:t>
      </w:r>
    </w:p>
    <w:p>
      <w:pPr>
        <w:spacing w:after="0" w:line="252" w:lineRule="exact"/>
        <w:rPr>
          <w:rFonts w:ascii="Arial" w:cs="Arial" w:eastAsia="Arial" w:hAnsi="Arial"/>
          <w:sz w:val="18"/>
          <w:szCs w:val="18"/>
          <w:color w:val="auto"/>
        </w:rPr>
      </w:pPr>
    </w:p>
    <w:p>
      <w:pPr>
        <w:ind w:left="1240" w:hanging="300"/>
        <w:spacing w:after="0"/>
        <w:tabs>
          <w:tab w:leader="none" w:pos="1240" w:val="left"/>
        </w:tabs>
        <w:numPr>
          <w:ilvl w:val="1"/>
          <w:numId w:val="58"/>
        </w:numPr>
        <w:rPr>
          <w:rFonts w:ascii="Arial" w:cs="Arial" w:eastAsia="Arial" w:hAnsi="Arial"/>
          <w:sz w:val="18"/>
          <w:szCs w:val="18"/>
          <w:color w:val="auto"/>
        </w:rPr>
      </w:pPr>
      <w:r>
        <w:rPr>
          <w:rFonts w:ascii="Arial" w:cs="Arial" w:eastAsia="Arial" w:hAnsi="Arial"/>
          <w:sz w:val="18"/>
          <w:szCs w:val="18"/>
          <w:color w:val="auto"/>
        </w:rPr>
        <w:t>orders the liquidation of the Company, and the order or decree remains unstayed and in effect for 90 days; or</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right="20" w:firstLine="359"/>
        <w:spacing w:after="0" w:line="268" w:lineRule="auto"/>
        <w:tabs>
          <w:tab w:leader="none" w:pos="57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any other Event of Default provided with respect to Securities of that Series, which is specified in a Board Resolution, a supplemental indenture hereto or an Officers’ Certificate, in accordance with Section 2.02(n).</w:t>
      </w:r>
    </w:p>
    <w:p>
      <w:pPr>
        <w:spacing w:after="0" w:line="186"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The term “</w:t>
      </w:r>
      <w:r>
        <w:rPr>
          <w:rFonts w:ascii="Arial" w:cs="Arial" w:eastAsia="Arial" w:hAnsi="Arial"/>
          <w:sz w:val="18"/>
          <w:szCs w:val="18"/>
          <w:i w:val="1"/>
          <w:iCs w:val="1"/>
          <w:color w:val="auto"/>
        </w:rPr>
        <w:t>Bankruptcy Law</w:t>
      </w:r>
      <w:r>
        <w:rPr>
          <w:rFonts w:ascii="Arial" w:cs="Arial" w:eastAsia="Arial" w:hAnsi="Arial"/>
          <w:sz w:val="18"/>
          <w:szCs w:val="18"/>
          <w:color w:val="auto"/>
        </w:rPr>
        <w:t xml:space="preserve">” means Title 11 of the U.S. Code or any similar federal or state law for the relief of debtors. The term ” </w:t>
      </w:r>
      <w:r>
        <w:rPr>
          <w:rFonts w:ascii="Arial" w:cs="Arial" w:eastAsia="Arial" w:hAnsi="Arial"/>
          <w:sz w:val="18"/>
          <w:szCs w:val="18"/>
          <w:i w:val="1"/>
          <w:iCs w:val="1"/>
          <w:color w:val="auto"/>
        </w:rPr>
        <w:t>Custodian</w:t>
      </w:r>
      <w:r>
        <w:rPr>
          <w:rFonts w:ascii="Arial" w:cs="Arial" w:eastAsia="Arial" w:hAnsi="Arial"/>
          <w:sz w:val="18"/>
          <w:szCs w:val="18"/>
          <w:color w:val="auto"/>
        </w:rPr>
        <w:t xml:space="preserve"> ” means any receiver, trustee, assignee, liquidator or similar official under any Bankruptcy Law.</w:t>
      </w:r>
    </w:p>
    <w:p>
      <w:pPr>
        <w:spacing w:after="0" w:line="180" w:lineRule="exact"/>
        <w:rPr>
          <w:sz w:val="20"/>
          <w:szCs w:val="20"/>
          <w:color w:val="auto"/>
        </w:rPr>
      </w:pPr>
    </w:p>
    <w:p>
      <w:pPr>
        <w:ind w:right="80" w:firstLine="351"/>
        <w:spacing w:after="0" w:line="286" w:lineRule="auto"/>
        <w:rPr>
          <w:sz w:val="20"/>
          <w:szCs w:val="20"/>
          <w:color w:val="auto"/>
        </w:rPr>
      </w:pPr>
      <w:r>
        <w:rPr>
          <w:rFonts w:ascii="Arial" w:cs="Arial" w:eastAsia="Arial" w:hAnsi="Arial"/>
          <w:sz w:val="16"/>
          <w:szCs w:val="16"/>
          <w:b w:val="1"/>
          <w:bCs w:val="1"/>
          <w:color w:val="auto"/>
        </w:rPr>
        <w:t xml:space="preserve">Section 6.02 Acceleration of Maturity; Rescission and Annulment. </w:t>
      </w:r>
      <w:r>
        <w:rPr>
          <w:rFonts w:ascii="Arial" w:cs="Arial" w:eastAsia="Arial" w:hAnsi="Arial"/>
          <w:sz w:val="16"/>
          <w:szCs w:val="16"/>
          <w:color w:val="auto"/>
        </w:rPr>
        <w:t>If an Event of Default with respect to Securities of any Series at the time outstanding</w:t>
      </w:r>
      <w:r>
        <w:rPr>
          <w:rFonts w:ascii="Arial" w:cs="Arial" w:eastAsia="Arial" w:hAnsi="Arial"/>
          <w:sz w:val="16"/>
          <w:szCs w:val="16"/>
          <w:b w:val="1"/>
          <w:bCs w:val="1"/>
          <w:color w:val="auto"/>
        </w:rPr>
        <w:t xml:space="preserve"> </w:t>
      </w:r>
      <w:r>
        <w:rPr>
          <w:rFonts w:ascii="Arial" w:cs="Arial" w:eastAsia="Arial" w:hAnsi="Arial"/>
          <w:sz w:val="16"/>
          <w:szCs w:val="16"/>
          <w:color w:val="auto"/>
        </w:rPr>
        <w:t>occurs and is continuing (other than an Event of Default referred to in Section 6.1(d) or (e)), then in every such case the Trustee or the Holders of not less than a majority in principal amount of the outstanding Securities of that Series may declare the principal amount (or, if any Securities of that Series are Discount Securities, such portion of the principal amount as may be specified in the terms of such Securities) of and accrued and unpaid interest, if any, on all of the Securities of that Series to be due and payable immediately, by a notice in writing to the Company (and to the Trustee if given by Holders), and upon any such declaration such principal amount (or specified amount) and accrued and unpaid interest, if any, shall become immediately due and payable. If an Event of Default specified in Section 6.1(d) or (e) shall occur, the principal amount (or specified amount) of and accrued and unpaid interest, if any, on all outstanding Securities shall ipso facto become and be immediately due and payable without any declaration or other act on the part of the Trustee or any Holder. At any time after such a declaration of acceleration with respect to any Series has been made and before a judgment or decree for payment of the money due has been obtained by the Trustee as hereinafter in this Article provided, the Holders of a majority in principal amount of the outstanding Securities of that Series, by written notice to the Company and the Trustee, may rescind and annul such declaration and its consequences if all Events of Default with respect to Securities of that Series, other than the non-payment of the principal and interest, if any, of Securities of that Series which have become due solely by such declaration of acceleration, have been cured or waived as provided in Section 6.13. No such rescission shall affect any subsequent Default or impair any right consequent thereon.</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380"/>
          </w:cols>
          <w:pgMar w:left="240" w:top="347" w:right="279" w:bottom="1440" w:gutter="0" w:footer="0" w:header="0"/>
        </w:sectPr>
      </w:pPr>
    </w:p>
    <w:bookmarkStart w:id="41" w:name="page42"/>
    <w:bookmarkEnd w:id="41"/>
    <w:p>
      <w:pPr>
        <w:ind w:left="360"/>
        <w:spacing w:after="0"/>
        <w:rPr>
          <w:sz w:val="20"/>
          <w:szCs w:val="20"/>
          <w:color w:val="auto"/>
        </w:rPr>
      </w:pPr>
      <w:r>
        <w:rPr>
          <w:rFonts w:ascii="Arial" w:cs="Arial" w:eastAsia="Arial" w:hAnsi="Arial"/>
          <w:sz w:val="18"/>
          <w:szCs w:val="18"/>
          <w:b w:val="1"/>
          <w:bCs w:val="1"/>
          <w:color w:val="auto"/>
        </w:rPr>
        <w:t>Section 6.03 Collection of Indebtedness and Suits for Enforcement by Trustee.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 covenants that if:</w:t>
      </w:r>
    </w:p>
    <w:p>
      <w:pPr>
        <w:spacing w:after="0" w:line="225" w:lineRule="exact"/>
        <w:rPr>
          <w:sz w:val="20"/>
          <w:szCs w:val="20"/>
          <w:color w:val="auto"/>
        </w:rPr>
      </w:pPr>
    </w:p>
    <w:p>
      <w:pPr>
        <w:ind w:left="600" w:hanging="241"/>
        <w:spacing w:after="0"/>
        <w:tabs>
          <w:tab w:leader="none" w:pos="600" w:val="left"/>
        </w:tabs>
        <w:numPr>
          <w:ilvl w:val="0"/>
          <w:numId w:val="59"/>
        </w:numPr>
        <w:rPr>
          <w:rFonts w:ascii="Arial" w:cs="Arial" w:eastAsia="Arial" w:hAnsi="Arial"/>
          <w:sz w:val="15"/>
          <w:szCs w:val="15"/>
          <w:color w:val="auto"/>
        </w:rPr>
      </w:pPr>
      <w:r>
        <w:rPr>
          <w:rFonts w:ascii="Arial" w:cs="Arial" w:eastAsia="Arial" w:hAnsi="Arial"/>
          <w:sz w:val="15"/>
          <w:szCs w:val="15"/>
          <w:color w:val="auto"/>
        </w:rPr>
        <w:t>default is made in the payment of any interest on any Security when such interest becomes due and payable and such default continues for a period of 30</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days, or</w:t>
      </w:r>
    </w:p>
    <w:p>
      <w:pPr>
        <w:spacing w:after="0" w:line="218" w:lineRule="exact"/>
        <w:rPr>
          <w:rFonts w:ascii="Arial" w:cs="Arial" w:eastAsia="Arial" w:hAnsi="Arial"/>
          <w:sz w:val="15"/>
          <w:szCs w:val="15"/>
          <w:color w:val="auto"/>
        </w:rPr>
      </w:pPr>
    </w:p>
    <w:p>
      <w:pPr>
        <w:ind w:left="600" w:hanging="241"/>
        <w:spacing w:after="0"/>
        <w:tabs>
          <w:tab w:leader="none" w:pos="6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default is made in the payment of principal of any Security at the Maturity thereof,</w:t>
      </w:r>
    </w:p>
    <w:p>
      <w:pPr>
        <w:spacing w:after="0" w:line="225"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then the Company will, upon demand of the Trustee, pay to it, for the benefit of the Holders of such Securities, the whole amount then due and payable on such Securities for principal and interest and, to the extent that payment of such interest shall be legally enforceable, interest on any overdue principal and any overdue interest at the rate or rates prescribed therefor in such Securities and, in addition thereto, such further amount as shall be sufficient to cover the costs and expenses of collection, including the reasonable compensation, expenses, disbursements and advances of the Trustee, its agents and counsel.</w:t>
      </w:r>
    </w:p>
    <w:p>
      <w:pPr>
        <w:spacing w:after="0" w:line="167" w:lineRule="exact"/>
        <w:rPr>
          <w:sz w:val="20"/>
          <w:szCs w:val="20"/>
          <w:color w:val="auto"/>
        </w:rPr>
      </w:pPr>
    </w:p>
    <w:p>
      <w:pPr>
        <w:ind w:right="220" w:firstLine="351"/>
        <w:spacing w:after="0" w:line="298" w:lineRule="auto"/>
        <w:rPr>
          <w:sz w:val="20"/>
          <w:szCs w:val="20"/>
          <w:color w:val="auto"/>
        </w:rPr>
      </w:pPr>
      <w:r>
        <w:rPr>
          <w:rFonts w:ascii="Arial" w:cs="Arial" w:eastAsia="Arial" w:hAnsi="Arial"/>
          <w:sz w:val="16"/>
          <w:szCs w:val="16"/>
          <w:color w:val="auto"/>
        </w:rPr>
        <w:t>If the Company fails to pay such amounts forthwith upon such demand, the Trustee, in its own name and as trustee of an express trust, may institute a judicial proceeding for the collection of the sums so due and unpaid, may prosecute such proceeding to judgment or final decree and may enforce the same against the Company or any other obligor upon such Securities and collect the moneys adjudged or deemed to be payable in the manner provided by law out of the property of the Company or any other obligor upon such Securities, wherever situated.</w:t>
      </w:r>
    </w:p>
    <w:p>
      <w:pPr>
        <w:spacing w:after="0" w:line="167"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If an Event of Default with respect to any Securities of any Series occurs and is continuing, the Trustee may in its discretion proceed to protect and enforce its rights and the rights of the Holders of Securities of such Series by such appropriate judicial proceedings as the Trustee shall deem most effectual to protect and enforce any such rights, whether for the specific enforcement of any covenant or agreement in this Indenture or in aid of the exercise of any power granted herein, or to enforce any other proper remedy.</w:t>
      </w:r>
    </w:p>
    <w:p>
      <w:pPr>
        <w:spacing w:after="0" w:line="191" w:lineRule="exact"/>
        <w:rPr>
          <w:sz w:val="20"/>
          <w:szCs w:val="20"/>
          <w:color w:val="auto"/>
        </w:rPr>
      </w:pPr>
    </w:p>
    <w:p>
      <w:pPr>
        <w:ind w:right="60" w:firstLine="351"/>
        <w:spacing w:after="0" w:line="286" w:lineRule="auto"/>
        <w:rPr>
          <w:sz w:val="20"/>
          <w:szCs w:val="20"/>
          <w:color w:val="auto"/>
        </w:rPr>
      </w:pPr>
      <w:r>
        <w:rPr>
          <w:rFonts w:ascii="Arial" w:cs="Arial" w:eastAsia="Arial" w:hAnsi="Arial"/>
          <w:sz w:val="16"/>
          <w:szCs w:val="16"/>
          <w:b w:val="1"/>
          <w:bCs w:val="1"/>
          <w:color w:val="auto"/>
        </w:rPr>
        <w:t xml:space="preserve">Section 6.04 Trustee May File Proofs of Claim. </w:t>
      </w:r>
      <w:r>
        <w:rPr>
          <w:rFonts w:ascii="Arial" w:cs="Arial" w:eastAsia="Arial" w:hAnsi="Arial"/>
          <w:sz w:val="16"/>
          <w:szCs w:val="16"/>
          <w:color w:val="auto"/>
        </w:rPr>
        <w:t>In case of the pendency of any receivership, insolvency, liquidation, bankruptcy, reorganization,</w:t>
      </w:r>
      <w:r>
        <w:rPr>
          <w:rFonts w:ascii="Arial" w:cs="Arial" w:eastAsia="Arial" w:hAnsi="Arial"/>
          <w:sz w:val="16"/>
          <w:szCs w:val="16"/>
          <w:b w:val="1"/>
          <w:bCs w:val="1"/>
          <w:color w:val="auto"/>
        </w:rPr>
        <w:t xml:space="preserve"> </w:t>
      </w:r>
      <w:r>
        <w:rPr>
          <w:rFonts w:ascii="Arial" w:cs="Arial" w:eastAsia="Arial" w:hAnsi="Arial"/>
          <w:sz w:val="16"/>
          <w:szCs w:val="16"/>
          <w:color w:val="auto"/>
        </w:rPr>
        <w:t>arrangement, adjustment, composition or other judicial proceeding relative to the Company or any other obligor upon the Securities or the property of the Company or of such other obligor or their creditors, the Trustee (irrespective of whether the principal of the Securities shall then be due and payable as therein expressed or by declaration or otherwise and irrespective of whether the Trustee shall have made any demand on the Company for the payment of overdue principal or interest) shall be entitled and empowered, by intervention in such proceeding or otherwise, (a) to file and prove a claim for the whole amount of principal and interest owing and unpaid in respect of the Securities and to file such other papers or documents as may be necessary or advisable in order to have the claims of the Trustee (including any claim for the reasonable compensation, expenses, disbursements and advances of the Trustee, its agents and counsel) and of the Holders allowed in such judicial proceeding, and (b) to collect and receive any moneys or other property payable or deliverable on any such claims and to distribute the same, and any custodian, receiver, assignee, trustee, liquidator, sequestrator or other similar official in any such judicial proceeding is hereby authorized by each Holder to make such payments to the Trustee and, in the event that the Trustee shall consent to the making of such payments directly to the Holders, to pay to the Trustee any amount due it for the reasonable compensation, expenses, disbursements and advances of the Trustee, its agents and counsel, and any other amounts due the Trustee under Section 7.07. Nothing herein contained shall be deemed to authorize the Trustee to authorize or consent to or accept or adopt on behalf of any Holder any plan of reorganization, arrangement, adjustment or composition affecting the Securities or the rights of any Holder thereof or to authorize the Trustee to vote in respect of the claim of any Holder in any such proceeding.</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2" w:name="page43"/>
    <w:bookmarkEnd w:id="42"/>
    <w:p>
      <w:pPr>
        <w:ind w:right="40" w:firstLine="351"/>
        <w:spacing w:after="0" w:line="296" w:lineRule="auto"/>
        <w:rPr>
          <w:sz w:val="20"/>
          <w:szCs w:val="20"/>
          <w:color w:val="auto"/>
        </w:rPr>
      </w:pPr>
      <w:r>
        <w:rPr>
          <w:rFonts w:ascii="Arial" w:cs="Arial" w:eastAsia="Arial" w:hAnsi="Arial"/>
          <w:sz w:val="16"/>
          <w:szCs w:val="16"/>
          <w:b w:val="1"/>
          <w:bCs w:val="1"/>
          <w:color w:val="auto"/>
        </w:rPr>
        <w:t xml:space="preserve">Section 6.05 Trustee May Enforce Claims Without Possession of Securities. </w:t>
      </w:r>
      <w:r>
        <w:rPr>
          <w:rFonts w:ascii="Arial" w:cs="Arial" w:eastAsia="Arial" w:hAnsi="Arial"/>
          <w:sz w:val="16"/>
          <w:szCs w:val="16"/>
          <w:color w:val="auto"/>
        </w:rPr>
        <w:t>All rights of action and claims under this Indenture or the Securities may be</w:t>
      </w:r>
      <w:r>
        <w:rPr>
          <w:rFonts w:ascii="Arial" w:cs="Arial" w:eastAsia="Arial" w:hAnsi="Arial"/>
          <w:sz w:val="16"/>
          <w:szCs w:val="16"/>
          <w:b w:val="1"/>
          <w:bCs w:val="1"/>
          <w:color w:val="auto"/>
        </w:rPr>
        <w:t xml:space="preserve"> </w:t>
      </w:r>
      <w:r>
        <w:rPr>
          <w:rFonts w:ascii="Arial" w:cs="Arial" w:eastAsia="Arial" w:hAnsi="Arial"/>
          <w:sz w:val="16"/>
          <w:szCs w:val="16"/>
          <w:color w:val="auto"/>
        </w:rPr>
        <w:t>prosecuted and enforced by the Trustee without the possession of any of the Securities or the production thereof in any proceeding relating thereto, and any such proceeding instituted by the Trustee shall be brought in its own name as trustee of an express trust, and any recovery of judgment shall, after provision for the payment of the reasonable compensation, expenses, disbursements and advances of the Trustee, its agents and counsel, be for the ratable benefit of the Holders of the Securities in respect of which such judgment has been recovered.</w:t>
      </w:r>
    </w:p>
    <w:p>
      <w:pPr>
        <w:spacing w:after="0" w:line="162"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Section 6.06 Application of Money Collected.</w:t>
      </w:r>
    </w:p>
    <w:p>
      <w:pPr>
        <w:spacing w:after="0" w:line="231" w:lineRule="exact"/>
        <w:rPr>
          <w:sz w:val="20"/>
          <w:szCs w:val="20"/>
          <w:color w:val="auto"/>
        </w:rPr>
      </w:pPr>
    </w:p>
    <w:p>
      <w:pPr>
        <w:ind w:right="220" w:firstLine="341"/>
        <w:spacing w:after="0" w:line="259" w:lineRule="auto"/>
        <w:rPr>
          <w:sz w:val="20"/>
          <w:szCs w:val="20"/>
          <w:color w:val="auto"/>
        </w:rPr>
      </w:pPr>
      <w:r>
        <w:rPr>
          <w:rFonts w:ascii="Arial" w:cs="Arial" w:eastAsia="Arial" w:hAnsi="Arial"/>
          <w:sz w:val="18"/>
          <w:szCs w:val="18"/>
          <w:color w:val="auto"/>
        </w:rPr>
        <w:t>Any money collected by the Trustee pursuant to this Article shall be applied in the following order, at the date or dates fixed by the Trustee and, in case of the distribution of such money on account of principal or interest, upon presentation of the Securities and the notation thereon of the payment if only partially paid and upon surrender thereof if fully paid:</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First: To the payment of all amounts due the Trustee under Section 7.07; and</w:t>
      </w:r>
    </w:p>
    <w:p>
      <w:pPr>
        <w:spacing w:after="0" w:line="225"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Second: To the payment of the amounts then due and unpaid for principal of and interest on the Securities in respect of which or for the benefit of which such money has been collected, ratably, without preference or priority of any kind, according to the amounts due and payable on such Securities for principal and interest, respectively; and</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Third: To the Company.</w:t>
      </w:r>
    </w:p>
    <w:p>
      <w:pPr>
        <w:spacing w:after="0" w:line="219" w:lineRule="exact"/>
        <w:rPr>
          <w:sz w:val="20"/>
          <w:szCs w:val="20"/>
          <w:color w:val="auto"/>
        </w:rPr>
      </w:pPr>
    </w:p>
    <w:p>
      <w:pPr>
        <w:ind w:right="480" w:firstLine="351"/>
        <w:spacing w:after="0" w:line="275" w:lineRule="auto"/>
        <w:rPr>
          <w:sz w:val="20"/>
          <w:szCs w:val="20"/>
          <w:color w:val="auto"/>
        </w:rPr>
      </w:pPr>
      <w:r>
        <w:rPr>
          <w:rFonts w:ascii="Arial" w:cs="Arial" w:eastAsia="Arial" w:hAnsi="Arial"/>
          <w:sz w:val="18"/>
          <w:szCs w:val="18"/>
          <w:b w:val="1"/>
          <w:bCs w:val="1"/>
          <w:color w:val="auto"/>
        </w:rPr>
        <w:t xml:space="preserve">Section 6.07 Limitation on Suits. </w:t>
      </w:r>
      <w:r>
        <w:rPr>
          <w:rFonts w:ascii="Arial" w:cs="Arial" w:eastAsia="Arial" w:hAnsi="Arial"/>
          <w:sz w:val="18"/>
          <w:szCs w:val="18"/>
          <w:color w:val="auto"/>
        </w:rPr>
        <w:t>No Holder of any Security of any Series shall have any right to institute any proceeding, judicial or otherwise, with</w:t>
      </w:r>
      <w:r>
        <w:rPr>
          <w:rFonts w:ascii="Arial" w:cs="Arial" w:eastAsia="Arial" w:hAnsi="Arial"/>
          <w:sz w:val="18"/>
          <w:szCs w:val="18"/>
          <w:b w:val="1"/>
          <w:bCs w:val="1"/>
          <w:color w:val="auto"/>
        </w:rPr>
        <w:t xml:space="preserve"> </w:t>
      </w:r>
      <w:r>
        <w:rPr>
          <w:rFonts w:ascii="Arial" w:cs="Arial" w:eastAsia="Arial" w:hAnsi="Arial"/>
          <w:sz w:val="18"/>
          <w:szCs w:val="18"/>
          <w:color w:val="auto"/>
        </w:rPr>
        <w:t>respect to this Indenture, or for the appointment of a receiver or trustee, or for any other remedy hereunder, unless:</w:t>
      </w:r>
    </w:p>
    <w:p>
      <w:pPr>
        <w:spacing w:after="0" w:line="180" w:lineRule="exact"/>
        <w:rPr>
          <w:sz w:val="20"/>
          <w:szCs w:val="20"/>
          <w:color w:val="auto"/>
        </w:rPr>
      </w:pPr>
    </w:p>
    <w:p>
      <w:pPr>
        <w:ind w:left="600" w:hanging="241"/>
        <w:spacing w:after="0"/>
        <w:tabs>
          <w:tab w:leader="none" w:pos="600" w:val="left"/>
        </w:tabs>
        <w:numPr>
          <w:ilvl w:val="0"/>
          <w:numId w:val="60"/>
        </w:numPr>
        <w:rPr>
          <w:rFonts w:ascii="Arial" w:cs="Arial" w:eastAsia="Arial" w:hAnsi="Arial"/>
          <w:sz w:val="16"/>
          <w:szCs w:val="16"/>
          <w:color w:val="auto"/>
        </w:rPr>
      </w:pPr>
      <w:r>
        <w:rPr>
          <w:rFonts w:ascii="Arial" w:cs="Arial" w:eastAsia="Arial" w:hAnsi="Arial"/>
          <w:sz w:val="16"/>
          <w:szCs w:val="16"/>
          <w:color w:val="auto"/>
        </w:rPr>
        <w:t>such Holder has previously given written notice to the Trustee of a continuing Event of Default with respect to the Securities of that Series;</w:t>
      </w:r>
    </w:p>
    <w:p>
      <w:pPr>
        <w:spacing w:after="0" w:line="248" w:lineRule="exact"/>
        <w:rPr>
          <w:rFonts w:ascii="Arial" w:cs="Arial" w:eastAsia="Arial" w:hAnsi="Arial"/>
          <w:sz w:val="16"/>
          <w:szCs w:val="16"/>
          <w:color w:val="auto"/>
        </w:rPr>
      </w:pPr>
    </w:p>
    <w:p>
      <w:pPr>
        <w:ind w:firstLine="359"/>
        <w:spacing w:after="0" w:line="268" w:lineRule="auto"/>
        <w:tabs>
          <w:tab w:leader="none" w:pos="6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Holders of at least a majority in principal amount of the outstanding Securities of that Series shall have made written request to the Trustee to institute proceedings in respect of such Event of Default in its own name as Trustee hereunder;</w:t>
      </w:r>
    </w:p>
    <w:p>
      <w:pPr>
        <w:spacing w:after="0" w:line="185" w:lineRule="exact"/>
        <w:rPr>
          <w:rFonts w:ascii="Arial" w:cs="Arial" w:eastAsia="Arial" w:hAnsi="Arial"/>
          <w:sz w:val="18"/>
          <w:szCs w:val="18"/>
          <w:color w:val="auto"/>
        </w:rPr>
      </w:pPr>
    </w:p>
    <w:p>
      <w:pPr>
        <w:ind w:left="600" w:hanging="241"/>
        <w:spacing w:after="0"/>
        <w:tabs>
          <w:tab w:leader="none" w:pos="600" w:val="left"/>
        </w:tabs>
        <w:numPr>
          <w:ilvl w:val="0"/>
          <w:numId w:val="60"/>
        </w:numPr>
        <w:rPr>
          <w:rFonts w:ascii="Arial" w:cs="Arial" w:eastAsia="Arial" w:hAnsi="Arial"/>
          <w:sz w:val="15"/>
          <w:szCs w:val="15"/>
          <w:color w:val="auto"/>
        </w:rPr>
      </w:pPr>
      <w:r>
        <w:rPr>
          <w:rFonts w:ascii="Arial" w:cs="Arial" w:eastAsia="Arial" w:hAnsi="Arial"/>
          <w:sz w:val="15"/>
          <w:szCs w:val="15"/>
          <w:color w:val="auto"/>
        </w:rPr>
        <w:t>such Holder or Holders have offered to the Trustee reasonable indemnity against the costs, expenses and liabilities to be incurred in compliance with such</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request;</w:t>
      </w:r>
    </w:p>
    <w:p>
      <w:pPr>
        <w:spacing w:after="0" w:line="218" w:lineRule="exact"/>
        <w:rPr>
          <w:rFonts w:ascii="Arial" w:cs="Arial" w:eastAsia="Arial" w:hAnsi="Arial"/>
          <w:sz w:val="15"/>
          <w:szCs w:val="15"/>
          <w:color w:val="auto"/>
        </w:rPr>
      </w:pPr>
    </w:p>
    <w:p>
      <w:pPr>
        <w:ind w:left="600" w:hanging="241"/>
        <w:spacing w:after="0"/>
        <w:tabs>
          <w:tab w:leader="none" w:pos="6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Trustee for 60 days after its receipt of such notice, request and offer of indemnity has failed to institute any such proceeding; and</w:t>
      </w:r>
    </w:p>
    <w:p>
      <w:pPr>
        <w:spacing w:after="0" w:line="225" w:lineRule="exact"/>
        <w:rPr>
          <w:rFonts w:ascii="Arial" w:cs="Arial" w:eastAsia="Arial" w:hAnsi="Arial"/>
          <w:sz w:val="18"/>
          <w:szCs w:val="18"/>
          <w:color w:val="auto"/>
        </w:rPr>
      </w:pPr>
    </w:p>
    <w:p>
      <w:pPr>
        <w:ind w:right="400" w:firstLine="359"/>
        <w:spacing w:after="0" w:line="268" w:lineRule="auto"/>
        <w:tabs>
          <w:tab w:leader="none" w:pos="590" w:val="left"/>
        </w:tabs>
        <w:numPr>
          <w:ilvl w:val="0"/>
          <w:numId w:val="60"/>
        </w:numPr>
        <w:rPr>
          <w:rFonts w:ascii="Arial" w:cs="Arial" w:eastAsia="Arial" w:hAnsi="Arial"/>
          <w:sz w:val="18"/>
          <w:szCs w:val="18"/>
          <w:color w:val="auto"/>
        </w:rPr>
      </w:pPr>
      <w:r>
        <w:rPr>
          <w:rFonts w:ascii="Arial" w:cs="Arial" w:eastAsia="Arial" w:hAnsi="Arial"/>
          <w:sz w:val="18"/>
          <w:szCs w:val="18"/>
          <w:color w:val="auto"/>
        </w:rPr>
        <w:t>no direction inconsistent with such written request has been given to the Trustee during such 60-day period by the Holders of a majority in principal amount of the outstanding Securities of that Series;</w:t>
      </w:r>
    </w:p>
    <w:p>
      <w:pPr>
        <w:spacing w:after="0" w:line="18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it being understood and intended that no one or more of such Holders shall have any right in any manner whatever by virtue of, or by availing of, any provision of this Indenture to affect, disturb or prejudice the rights of any other of such Holders, or to obtain or to seek to obtain priority or preference over any other of such Holders or to enforce any right under this Indenture, except in the manner herein provided and for the equal and ratable benefit of all such Holders.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3" w:name="page44"/>
    <w:bookmarkEnd w:id="43"/>
    <w:p>
      <w:pPr>
        <w:ind w:right="40" w:firstLine="351"/>
        <w:spacing w:after="0" w:line="258" w:lineRule="auto"/>
        <w:rPr>
          <w:sz w:val="20"/>
          <w:szCs w:val="20"/>
          <w:color w:val="auto"/>
        </w:rPr>
      </w:pPr>
      <w:r>
        <w:rPr>
          <w:rFonts w:ascii="Arial" w:cs="Arial" w:eastAsia="Arial" w:hAnsi="Arial"/>
          <w:sz w:val="18"/>
          <w:szCs w:val="18"/>
          <w:b w:val="1"/>
          <w:bCs w:val="1"/>
          <w:color w:val="auto"/>
        </w:rPr>
        <w:t xml:space="preserve">Section 6.08 Unconditional Right of Holders to Receive Principal and Interest. </w:t>
      </w:r>
      <w:r>
        <w:rPr>
          <w:rFonts w:ascii="Arial" w:cs="Arial" w:eastAsia="Arial" w:hAnsi="Arial"/>
          <w:sz w:val="18"/>
          <w:szCs w:val="18"/>
          <w:color w:val="auto"/>
        </w:rPr>
        <w:t>Notwithstanding any other provision in this Indenture, the Holder of any</w:t>
      </w:r>
      <w:r>
        <w:rPr>
          <w:rFonts w:ascii="Arial" w:cs="Arial" w:eastAsia="Arial" w:hAnsi="Arial"/>
          <w:sz w:val="18"/>
          <w:szCs w:val="18"/>
          <w:b w:val="1"/>
          <w:bCs w:val="1"/>
          <w:color w:val="auto"/>
        </w:rPr>
        <w:t xml:space="preserve"> </w:t>
      </w:r>
      <w:r>
        <w:rPr>
          <w:rFonts w:ascii="Arial" w:cs="Arial" w:eastAsia="Arial" w:hAnsi="Arial"/>
          <w:sz w:val="18"/>
          <w:szCs w:val="18"/>
          <w:color w:val="auto"/>
        </w:rPr>
        <w:t>Security shall have the right, which is absolute and unconditional, to receive payment of the principal of and interest, if any, on such Security on the Stated Maturity or Stated Maturities expressed in such Security (or, in the case of redemption, on the redemption date) and to institute suit for the enforcement of any such payment, and such rights shall not be impaired without the consent of such Holder.</w:t>
      </w:r>
    </w:p>
    <w:p>
      <w:pPr>
        <w:spacing w:after="0" w:line="190" w:lineRule="exact"/>
        <w:rPr>
          <w:sz w:val="20"/>
          <w:szCs w:val="20"/>
          <w:color w:val="auto"/>
        </w:rPr>
      </w:pPr>
    </w:p>
    <w:p>
      <w:pPr>
        <w:ind w:firstLine="351"/>
        <w:spacing w:after="0" w:line="326" w:lineRule="auto"/>
        <w:rPr>
          <w:sz w:val="20"/>
          <w:szCs w:val="20"/>
          <w:color w:val="auto"/>
        </w:rPr>
      </w:pPr>
      <w:r>
        <w:rPr>
          <w:rFonts w:ascii="Arial" w:cs="Arial" w:eastAsia="Arial" w:hAnsi="Arial"/>
          <w:sz w:val="15"/>
          <w:szCs w:val="15"/>
          <w:b w:val="1"/>
          <w:bCs w:val="1"/>
          <w:color w:val="auto"/>
        </w:rPr>
        <w:t xml:space="preserve">Section 6.09 Restoration of Rights and Remedies. </w:t>
      </w:r>
      <w:r>
        <w:rPr>
          <w:rFonts w:ascii="Arial" w:cs="Arial" w:eastAsia="Arial" w:hAnsi="Arial"/>
          <w:sz w:val="15"/>
          <w:szCs w:val="15"/>
          <w:color w:val="auto"/>
        </w:rPr>
        <w:t>If the Trustee or any Holder has instituted any proceeding to enforce any right or remedy under this</w:t>
      </w:r>
      <w:r>
        <w:rPr>
          <w:rFonts w:ascii="Arial" w:cs="Arial" w:eastAsia="Arial" w:hAnsi="Arial"/>
          <w:sz w:val="15"/>
          <w:szCs w:val="15"/>
          <w:b w:val="1"/>
          <w:bCs w:val="1"/>
          <w:color w:val="auto"/>
        </w:rPr>
        <w:t xml:space="preserve"> </w:t>
      </w:r>
      <w:r>
        <w:rPr>
          <w:rFonts w:ascii="Arial" w:cs="Arial" w:eastAsia="Arial" w:hAnsi="Arial"/>
          <w:sz w:val="15"/>
          <w:szCs w:val="15"/>
          <w:color w:val="auto"/>
        </w:rPr>
        <w:t>Indenture and such proceeding has been discontinued or abandoned for any reason, or has been determined adversely to the Trustee or to such Holder, then and in every such case, subject to any determination in such proceeding, the Company, the Trustee and the Holders shall be restored severally and respectively to their former positions hereunder and thereafter all rights and remedies of the Trustee and the Holders shall continue as though no such proceeding had been instituted.</w:t>
      </w:r>
    </w:p>
    <w:p>
      <w:pPr>
        <w:spacing w:after="0" w:line="143" w:lineRule="exact"/>
        <w:rPr>
          <w:sz w:val="20"/>
          <w:szCs w:val="20"/>
          <w:color w:val="auto"/>
        </w:rPr>
      </w:pPr>
    </w:p>
    <w:p>
      <w:pPr>
        <w:ind w:right="80" w:firstLine="351"/>
        <w:spacing w:after="0" w:line="296" w:lineRule="auto"/>
        <w:rPr>
          <w:sz w:val="20"/>
          <w:szCs w:val="20"/>
          <w:color w:val="auto"/>
        </w:rPr>
      </w:pPr>
      <w:r>
        <w:rPr>
          <w:rFonts w:ascii="Arial" w:cs="Arial" w:eastAsia="Arial" w:hAnsi="Arial"/>
          <w:sz w:val="16"/>
          <w:szCs w:val="16"/>
          <w:b w:val="1"/>
          <w:bCs w:val="1"/>
          <w:color w:val="auto"/>
        </w:rPr>
        <w:t xml:space="preserve">Section 6.10 Rights and Remedies Cumulative. </w:t>
      </w:r>
      <w:r>
        <w:rPr>
          <w:rFonts w:ascii="Arial" w:cs="Arial" w:eastAsia="Arial" w:hAnsi="Arial"/>
          <w:sz w:val="16"/>
          <w:szCs w:val="16"/>
          <w:color w:val="auto"/>
        </w:rPr>
        <w:t>Except as otherwise provided with respect to the replacement or payment of mutilated, destroyed, lost or</w:t>
      </w:r>
      <w:r>
        <w:rPr>
          <w:rFonts w:ascii="Arial" w:cs="Arial" w:eastAsia="Arial" w:hAnsi="Arial"/>
          <w:sz w:val="16"/>
          <w:szCs w:val="16"/>
          <w:b w:val="1"/>
          <w:bCs w:val="1"/>
          <w:color w:val="auto"/>
        </w:rPr>
        <w:t xml:space="preserve"> </w:t>
      </w:r>
      <w:r>
        <w:rPr>
          <w:rFonts w:ascii="Arial" w:cs="Arial" w:eastAsia="Arial" w:hAnsi="Arial"/>
          <w:sz w:val="16"/>
          <w:szCs w:val="16"/>
          <w:color w:val="auto"/>
        </w:rPr>
        <w:t>stolen Securities in Section 2.08, no right or remedy herein conferred upon or reserved to the 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to the extent permitted by law, prevent the concurrent assertion or employment of any other appropriate right or remedy.</w:t>
      </w:r>
    </w:p>
    <w:p>
      <w:pPr>
        <w:spacing w:after="0" w:line="162" w:lineRule="exact"/>
        <w:rPr>
          <w:sz w:val="20"/>
          <w:szCs w:val="20"/>
          <w:color w:val="auto"/>
        </w:rPr>
      </w:pPr>
    </w:p>
    <w:p>
      <w:pPr>
        <w:ind w:right="140" w:firstLine="351"/>
        <w:spacing w:after="0" w:line="258" w:lineRule="auto"/>
        <w:rPr>
          <w:sz w:val="20"/>
          <w:szCs w:val="20"/>
          <w:color w:val="auto"/>
        </w:rPr>
      </w:pPr>
      <w:r>
        <w:rPr>
          <w:rFonts w:ascii="Arial" w:cs="Arial" w:eastAsia="Arial" w:hAnsi="Arial"/>
          <w:sz w:val="18"/>
          <w:szCs w:val="18"/>
          <w:b w:val="1"/>
          <w:bCs w:val="1"/>
          <w:color w:val="auto"/>
        </w:rPr>
        <w:t xml:space="preserve">Section 6.11 Delay or Omission Not Waiver. </w:t>
      </w:r>
      <w:r>
        <w:rPr>
          <w:rFonts w:ascii="Arial" w:cs="Arial" w:eastAsia="Arial" w:hAnsi="Arial"/>
          <w:sz w:val="18"/>
          <w:szCs w:val="18"/>
          <w:color w:val="auto"/>
        </w:rPr>
        <w:t>No delay or omission of the Trustee or of any Holder of any Securities to exercise any right or remedy</w:t>
      </w:r>
      <w:r>
        <w:rPr>
          <w:rFonts w:ascii="Arial" w:cs="Arial" w:eastAsia="Arial" w:hAnsi="Arial"/>
          <w:sz w:val="18"/>
          <w:szCs w:val="18"/>
          <w:b w:val="1"/>
          <w:bCs w:val="1"/>
          <w:color w:val="auto"/>
        </w:rPr>
        <w:t xml:space="preserve"> </w:t>
      </w:r>
      <w:r>
        <w:rPr>
          <w:rFonts w:ascii="Arial" w:cs="Arial" w:eastAsia="Arial" w:hAnsi="Arial"/>
          <w:sz w:val="18"/>
          <w:szCs w:val="18"/>
          <w:color w:val="auto"/>
        </w:rPr>
        <w:t>accruing upon any Event of Default shall impair any such right or remedy or constitute a waiver of any such Event of Default or an acquiescence therein. Every right and remedy given by this Article or by law to the Trustee or to the Holders may be exercised from time to time, and as often as may be deemed expedient, by the Trustee or by the Holders, as the case may be.</w:t>
      </w:r>
    </w:p>
    <w:p>
      <w:pPr>
        <w:spacing w:after="0" w:line="190" w:lineRule="exact"/>
        <w:rPr>
          <w:sz w:val="20"/>
          <w:szCs w:val="20"/>
          <w:color w:val="auto"/>
        </w:rPr>
      </w:pPr>
    </w:p>
    <w:p>
      <w:pPr>
        <w:ind w:right="20" w:firstLine="351"/>
        <w:spacing w:after="0" w:line="262" w:lineRule="auto"/>
        <w:rPr>
          <w:sz w:val="20"/>
          <w:szCs w:val="20"/>
          <w:color w:val="auto"/>
        </w:rPr>
      </w:pPr>
      <w:r>
        <w:rPr>
          <w:rFonts w:ascii="Arial" w:cs="Arial" w:eastAsia="Arial" w:hAnsi="Arial"/>
          <w:sz w:val="18"/>
          <w:szCs w:val="18"/>
          <w:b w:val="1"/>
          <w:bCs w:val="1"/>
          <w:color w:val="auto"/>
        </w:rPr>
        <w:t xml:space="preserve">Section 6.12 Control by Holders. </w:t>
      </w:r>
      <w:r>
        <w:rPr>
          <w:rFonts w:ascii="Arial" w:cs="Arial" w:eastAsia="Arial" w:hAnsi="Arial"/>
          <w:sz w:val="18"/>
          <w:szCs w:val="18"/>
          <w:color w:val="auto"/>
        </w:rPr>
        <w:t>The Holders of a majority in principal amount of the outstanding Securities of any Series shall have the right to direct the</w:t>
      </w:r>
      <w:r>
        <w:rPr>
          <w:rFonts w:ascii="Arial" w:cs="Arial" w:eastAsia="Arial" w:hAnsi="Arial"/>
          <w:sz w:val="18"/>
          <w:szCs w:val="18"/>
          <w:b w:val="1"/>
          <w:bCs w:val="1"/>
          <w:color w:val="auto"/>
        </w:rPr>
        <w:t xml:space="preserve"> </w:t>
      </w:r>
      <w:r>
        <w:rPr>
          <w:rFonts w:ascii="Arial" w:cs="Arial" w:eastAsia="Arial" w:hAnsi="Arial"/>
          <w:sz w:val="18"/>
          <w:szCs w:val="18"/>
          <w:color w:val="auto"/>
        </w:rPr>
        <w:t>time, method and place of conducting any proceeding for any remedy available to the Trustee, or exercising any trust or power conferred on the Trustee, with respect to the Securities of such Series, provided that:</w:t>
      </w:r>
    </w:p>
    <w:p>
      <w:pPr>
        <w:spacing w:after="0" w:line="192" w:lineRule="exact"/>
        <w:rPr>
          <w:sz w:val="20"/>
          <w:szCs w:val="20"/>
          <w:color w:val="auto"/>
        </w:rPr>
      </w:pPr>
    </w:p>
    <w:p>
      <w:pPr>
        <w:ind w:left="600" w:hanging="241"/>
        <w:spacing w:after="0"/>
        <w:tabs>
          <w:tab w:leader="none" w:pos="6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such direction shall not be in conflict with any rule of law or with this Indenture,</w:t>
      </w:r>
    </w:p>
    <w:p>
      <w:pPr>
        <w:spacing w:after="0" w:line="225" w:lineRule="exact"/>
        <w:rPr>
          <w:rFonts w:ascii="Arial" w:cs="Arial" w:eastAsia="Arial" w:hAnsi="Arial"/>
          <w:sz w:val="18"/>
          <w:szCs w:val="18"/>
          <w:color w:val="auto"/>
        </w:rPr>
      </w:pPr>
    </w:p>
    <w:p>
      <w:pPr>
        <w:ind w:left="600" w:hanging="241"/>
        <w:spacing w:after="0"/>
        <w:tabs>
          <w:tab w:leader="none" w:pos="6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Trustee may take any other action deemed proper by the Trustee which is not inconsistent with such direction, and</w:t>
      </w:r>
    </w:p>
    <w:p>
      <w:pPr>
        <w:spacing w:after="0" w:line="225" w:lineRule="exact"/>
        <w:rPr>
          <w:rFonts w:ascii="Arial" w:cs="Arial" w:eastAsia="Arial" w:hAnsi="Arial"/>
          <w:sz w:val="18"/>
          <w:szCs w:val="18"/>
          <w:color w:val="auto"/>
        </w:rPr>
      </w:pPr>
    </w:p>
    <w:p>
      <w:pPr>
        <w:ind w:right="280" w:firstLine="359"/>
        <w:spacing w:after="0" w:line="332" w:lineRule="auto"/>
        <w:tabs>
          <w:tab w:leader="none" w:pos="590" w:val="left"/>
        </w:tabs>
        <w:numPr>
          <w:ilvl w:val="0"/>
          <w:numId w:val="61"/>
        </w:numPr>
        <w:rPr>
          <w:rFonts w:ascii="Arial" w:cs="Arial" w:eastAsia="Arial" w:hAnsi="Arial"/>
          <w:sz w:val="16"/>
          <w:szCs w:val="16"/>
          <w:color w:val="auto"/>
        </w:rPr>
      </w:pPr>
      <w:r>
        <w:rPr>
          <w:rFonts w:ascii="Arial" w:cs="Arial" w:eastAsia="Arial" w:hAnsi="Arial"/>
          <w:sz w:val="16"/>
          <w:szCs w:val="16"/>
          <w:color w:val="auto"/>
        </w:rPr>
        <w:t>subject to the provisions of Section 6.01, the Trustee shall have the right to decline to follow any such direction if the Trustee in good faith shall, by a Responsible Officer of the Trustee, determine that the proceeding so directed would involve the Trustee in personal liability.</w:t>
      </w:r>
    </w:p>
    <w:p>
      <w:pPr>
        <w:spacing w:after="0" w:line="133"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b w:val="1"/>
          <w:bCs w:val="1"/>
          <w:color w:val="auto"/>
        </w:rPr>
        <w:t xml:space="preserve">Section 6.13 Waiver of Past Defaults. </w:t>
      </w:r>
      <w:r>
        <w:rPr>
          <w:rFonts w:ascii="Arial" w:cs="Arial" w:eastAsia="Arial" w:hAnsi="Arial"/>
          <w:sz w:val="16"/>
          <w:szCs w:val="16"/>
          <w:color w:val="auto"/>
        </w:rPr>
        <w:t>The Holders of not less than a majority in principal amount of the outstanding Securities of any Series may on behalf</w:t>
      </w:r>
      <w:r>
        <w:rPr>
          <w:rFonts w:ascii="Arial" w:cs="Arial" w:eastAsia="Arial" w:hAnsi="Arial"/>
          <w:sz w:val="16"/>
          <w:szCs w:val="16"/>
          <w:b w:val="1"/>
          <w:bCs w:val="1"/>
          <w:color w:val="auto"/>
        </w:rPr>
        <w:t xml:space="preserve"> </w:t>
      </w:r>
      <w:r>
        <w:rPr>
          <w:rFonts w:ascii="Arial" w:cs="Arial" w:eastAsia="Arial" w:hAnsi="Arial"/>
          <w:sz w:val="16"/>
          <w:szCs w:val="16"/>
          <w:color w:val="auto"/>
        </w:rPr>
        <w:t>of the Holders of all the Securities of such Series waive any past Default hereunder with respect to such Series and its consequences, except a Default (i) in the payment of the principal of or interest on any Security of such Series (provided, however, that the Holders of a majority in principal amount of the outstanding Securities of any Series may rescind an acceleration and its consequences, including any related payment default that resulted from such acceleration) or (ii) in respect of a covenant or provision hereof which cannot be modified or amended without the consent of the Holder of each outstanding Security of such Series affected. 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44" w:name="page45"/>
    <w:bookmarkEnd w:id="44"/>
    <w:p>
      <w:pPr>
        <w:ind w:firstLine="351"/>
        <w:spacing w:after="0" w:line="290" w:lineRule="auto"/>
        <w:rPr>
          <w:sz w:val="20"/>
          <w:szCs w:val="20"/>
          <w:color w:val="auto"/>
        </w:rPr>
      </w:pPr>
      <w:r>
        <w:rPr>
          <w:rFonts w:ascii="Arial" w:cs="Arial" w:eastAsia="Arial" w:hAnsi="Arial"/>
          <w:sz w:val="16"/>
          <w:szCs w:val="16"/>
          <w:b w:val="1"/>
          <w:bCs w:val="1"/>
          <w:color w:val="auto"/>
        </w:rPr>
        <w:t xml:space="preserve">Section 6.14 Undertaking for Costs. </w:t>
      </w:r>
      <w:r>
        <w:rPr>
          <w:rFonts w:ascii="Arial" w:cs="Arial" w:eastAsia="Arial" w:hAnsi="Arial"/>
          <w:sz w:val="16"/>
          <w:szCs w:val="16"/>
          <w:color w:val="auto"/>
        </w:rPr>
        <w:t>All parties to this Indenture agree, and each Holder of any Security by his acceptance thereof shall be deemed to have</w:t>
      </w:r>
      <w:r>
        <w:rPr>
          <w:rFonts w:ascii="Arial" w:cs="Arial" w:eastAsia="Arial" w:hAnsi="Arial"/>
          <w:sz w:val="16"/>
          <w:szCs w:val="16"/>
          <w:b w:val="1"/>
          <w:bCs w:val="1"/>
          <w:color w:val="auto"/>
        </w:rPr>
        <w:t xml:space="preserve"> </w:t>
      </w:r>
      <w:r>
        <w:rPr>
          <w:rFonts w:ascii="Arial" w:cs="Arial" w:eastAsia="Arial" w:hAnsi="Arial"/>
          <w:sz w:val="16"/>
          <w:szCs w:val="16"/>
          <w:color w:val="auto"/>
        </w:rPr>
        <w:t>agreed, that any court may in its discretion require, in any suit for the enforcement of any right or remedy under this Indenture, or in any suit against the Trustee for any action taken, suffered or omitted by it as Trustee,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but the provisions of this Section shall not apply to any suit instituted by the Company, to any suit instituted by the Trustee, to any suit instituted by any Holder, or group of Holders, holding in the aggregate more than 10% in principal amount of the outstanding Securities of any Series, or to any suit instituted by any Holder for the enforcement of the payment of the principal of or interest on any Security on or after the Stated Maturity or Stated Maturities expressed in such Security (or, in the case of redemption, on the redemption date).</w:t>
      </w:r>
    </w:p>
    <w:p>
      <w:pPr>
        <w:spacing w:after="0" w:line="234"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ARTICLE VII</w:t>
      </w:r>
    </w:p>
    <w:p>
      <w:pPr>
        <w:spacing w:after="0" w:line="21"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TRUSTEE</w:t>
      </w:r>
    </w:p>
    <w:p>
      <w:pPr>
        <w:spacing w:after="0" w:line="294"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Section 7.01 Duties of Trustee.</w:t>
      </w:r>
    </w:p>
    <w:p>
      <w:pPr>
        <w:spacing w:after="0" w:line="231" w:lineRule="exact"/>
        <w:rPr>
          <w:sz w:val="20"/>
          <w:szCs w:val="20"/>
          <w:color w:val="auto"/>
        </w:rPr>
      </w:pPr>
    </w:p>
    <w:p>
      <w:pPr>
        <w:ind w:right="400" w:firstLine="359"/>
        <w:spacing w:after="0" w:line="370" w:lineRule="auto"/>
        <w:tabs>
          <w:tab w:leader="none" w:pos="590" w:val="left"/>
        </w:tabs>
        <w:numPr>
          <w:ilvl w:val="0"/>
          <w:numId w:val="62"/>
        </w:numPr>
        <w:rPr>
          <w:rFonts w:ascii="Arial" w:cs="Arial" w:eastAsia="Arial" w:hAnsi="Arial"/>
          <w:sz w:val="15"/>
          <w:szCs w:val="15"/>
          <w:color w:val="auto"/>
        </w:rPr>
      </w:pPr>
      <w:r>
        <w:rPr>
          <w:rFonts w:ascii="Arial" w:cs="Arial" w:eastAsia="Arial" w:hAnsi="Arial"/>
          <w:sz w:val="15"/>
          <w:szCs w:val="15"/>
          <w:color w:val="auto"/>
        </w:rPr>
        <w:t>If an Event of Default has occurred and is continuing, the Trustee shall exercise the rights and powers vested in it by this Indenture and use the same degree of care and skill in their exercise as a prudent person would exercise or use under the circumstances in the conduct of such person’s own affairs.</w:t>
      </w:r>
    </w:p>
    <w:p>
      <w:pPr>
        <w:spacing w:after="0" w:line="116" w:lineRule="exact"/>
        <w:rPr>
          <w:rFonts w:ascii="Arial" w:cs="Arial" w:eastAsia="Arial" w:hAnsi="Arial"/>
          <w:sz w:val="15"/>
          <w:szCs w:val="15"/>
          <w:color w:val="auto"/>
        </w:rPr>
      </w:pPr>
    </w:p>
    <w:p>
      <w:pPr>
        <w:ind w:left="600" w:hanging="241"/>
        <w:spacing w:after="0"/>
        <w:tabs>
          <w:tab w:leader="none" w:pos="6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Except during the continuance of an Event of Default:</w:t>
      </w:r>
    </w:p>
    <w:p>
      <w:pPr>
        <w:spacing w:after="0" w:line="225" w:lineRule="exact"/>
        <w:rPr>
          <w:rFonts w:ascii="Arial" w:cs="Arial" w:eastAsia="Arial" w:hAnsi="Arial"/>
          <w:sz w:val="18"/>
          <w:szCs w:val="18"/>
          <w:color w:val="auto"/>
        </w:rPr>
      </w:pPr>
    </w:p>
    <w:p>
      <w:pPr>
        <w:ind w:left="1140" w:hanging="200"/>
        <w:spacing w:after="0"/>
        <w:tabs>
          <w:tab w:leader="none" w:pos="1140" w:val="left"/>
        </w:tabs>
        <w:numPr>
          <w:ilvl w:val="1"/>
          <w:numId w:val="62"/>
        </w:numPr>
        <w:rPr>
          <w:rFonts w:ascii="Arial" w:cs="Arial" w:eastAsia="Arial" w:hAnsi="Arial"/>
          <w:sz w:val="18"/>
          <w:szCs w:val="18"/>
          <w:color w:val="auto"/>
        </w:rPr>
      </w:pPr>
      <w:r>
        <w:rPr>
          <w:rFonts w:ascii="Arial" w:cs="Arial" w:eastAsia="Arial" w:hAnsi="Arial"/>
          <w:sz w:val="18"/>
          <w:szCs w:val="18"/>
          <w:color w:val="auto"/>
        </w:rPr>
        <w:t>The Trustee need perform only those duties that are specifically set forth in this Indenture and no others.</w:t>
      </w:r>
    </w:p>
    <w:p>
      <w:pPr>
        <w:spacing w:after="0" w:line="252" w:lineRule="exact"/>
        <w:rPr>
          <w:rFonts w:ascii="Arial" w:cs="Arial" w:eastAsia="Arial" w:hAnsi="Arial"/>
          <w:sz w:val="18"/>
          <w:szCs w:val="18"/>
          <w:color w:val="auto"/>
        </w:rPr>
      </w:pPr>
    </w:p>
    <w:p>
      <w:pPr>
        <w:jc w:val="both"/>
        <w:ind w:left="580" w:right="60" w:firstLine="360"/>
        <w:spacing w:after="0" w:line="255" w:lineRule="auto"/>
        <w:tabs>
          <w:tab w:leader="none" w:pos="1190" w:val="left"/>
        </w:tabs>
        <w:numPr>
          <w:ilvl w:val="1"/>
          <w:numId w:val="62"/>
        </w:numPr>
        <w:rPr>
          <w:rFonts w:ascii="Arial" w:cs="Arial" w:eastAsia="Arial" w:hAnsi="Arial"/>
          <w:sz w:val="18"/>
          <w:szCs w:val="18"/>
          <w:color w:val="auto"/>
        </w:rPr>
      </w:pPr>
      <w:r>
        <w:rPr>
          <w:rFonts w:ascii="Arial" w:cs="Arial" w:eastAsia="Arial" w:hAnsi="Arial"/>
          <w:sz w:val="18"/>
          <w:szCs w:val="18"/>
          <w:color w:val="auto"/>
        </w:rPr>
        <w:t>In the absence of bad faith on its part, the Trustee may conclusively rely, as to the truth of the statements and the correctness of the opinions expressed therein, upon Officers’ Certificates or Opinions of Counsel furnished to the Trustee and conforming to the requirements of this Indenture; however, in the case of any such Officers’ Certificates or Opinions of Counsel which by any provisions hereof are specifically required to be furnished to the Trustee, the Trustee shall examine such Officers’ Certificates and Opinions of Counsel to determine whether or not they conform to the requirements of this Indenture.</w:t>
      </w:r>
    </w:p>
    <w:p>
      <w:pPr>
        <w:spacing w:after="0" w:line="200" w:lineRule="exact"/>
        <w:rPr>
          <w:rFonts w:ascii="Arial" w:cs="Arial" w:eastAsia="Arial" w:hAnsi="Arial"/>
          <w:sz w:val="18"/>
          <w:szCs w:val="18"/>
          <w:color w:val="auto"/>
        </w:rPr>
      </w:pPr>
    </w:p>
    <w:p>
      <w:pPr>
        <w:spacing w:after="0" w:line="239" w:lineRule="exact"/>
        <w:rPr>
          <w:rFonts w:ascii="Arial" w:cs="Arial" w:eastAsia="Arial" w:hAnsi="Arial"/>
          <w:sz w:val="18"/>
          <w:szCs w:val="18"/>
          <w:color w:val="auto"/>
        </w:rPr>
      </w:pPr>
    </w:p>
    <w:p>
      <w:pPr>
        <w:ind w:left="600" w:hanging="241"/>
        <w:spacing w:after="0"/>
        <w:tabs>
          <w:tab w:leader="none" w:pos="60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Trustee may not be relieved from liability for its own negligent action, its own negligent failure to act or its own willful misconduct, except that:</w:t>
      </w:r>
    </w:p>
    <w:p>
      <w:pPr>
        <w:spacing w:after="0" w:line="248" w:lineRule="exact"/>
        <w:rPr>
          <w:rFonts w:ascii="Arial" w:cs="Arial" w:eastAsia="Arial" w:hAnsi="Arial"/>
          <w:sz w:val="16"/>
          <w:szCs w:val="16"/>
          <w:color w:val="auto"/>
        </w:rPr>
      </w:pPr>
    </w:p>
    <w:p>
      <w:pPr>
        <w:ind w:left="1140" w:hanging="200"/>
        <w:spacing w:after="0"/>
        <w:tabs>
          <w:tab w:leader="none" w:pos="1140" w:val="left"/>
        </w:tabs>
        <w:numPr>
          <w:ilvl w:val="1"/>
          <w:numId w:val="62"/>
        </w:numPr>
        <w:rPr>
          <w:rFonts w:ascii="Arial" w:cs="Arial" w:eastAsia="Arial" w:hAnsi="Arial"/>
          <w:sz w:val="18"/>
          <w:szCs w:val="18"/>
          <w:color w:val="auto"/>
        </w:rPr>
      </w:pPr>
      <w:r>
        <w:rPr>
          <w:rFonts w:ascii="Arial" w:cs="Arial" w:eastAsia="Arial" w:hAnsi="Arial"/>
          <w:sz w:val="18"/>
          <w:szCs w:val="18"/>
          <w:color w:val="auto"/>
        </w:rPr>
        <w:t>This paragraph does not limit the effect of paragraph (b) of this Section.</w:t>
      </w:r>
    </w:p>
    <w:p>
      <w:pPr>
        <w:spacing w:after="0" w:line="252" w:lineRule="exact"/>
        <w:rPr>
          <w:rFonts w:ascii="Arial" w:cs="Arial" w:eastAsia="Arial" w:hAnsi="Arial"/>
          <w:sz w:val="18"/>
          <w:szCs w:val="18"/>
          <w:color w:val="auto"/>
        </w:rPr>
      </w:pPr>
    </w:p>
    <w:p>
      <w:pPr>
        <w:ind w:left="580" w:right="320" w:firstLine="360"/>
        <w:spacing w:after="0" w:line="268" w:lineRule="auto"/>
        <w:tabs>
          <w:tab w:leader="none" w:pos="1189" w:val="left"/>
        </w:tabs>
        <w:numPr>
          <w:ilvl w:val="1"/>
          <w:numId w:val="62"/>
        </w:numPr>
        <w:rPr>
          <w:rFonts w:ascii="Arial" w:cs="Arial" w:eastAsia="Arial" w:hAnsi="Arial"/>
          <w:sz w:val="18"/>
          <w:szCs w:val="18"/>
          <w:color w:val="auto"/>
        </w:rPr>
      </w:pPr>
      <w:r>
        <w:rPr>
          <w:rFonts w:ascii="Arial" w:cs="Arial" w:eastAsia="Arial" w:hAnsi="Arial"/>
          <w:sz w:val="18"/>
          <w:szCs w:val="18"/>
          <w:color w:val="auto"/>
        </w:rPr>
        <w:t>The Trustee shall not be liable for any error of judgment made in good faith by a Responsible Officer, unless it is proved that the Trustee was negligent in ascertaining the pertinent facts.</w:t>
      </w:r>
    </w:p>
    <w:p>
      <w:pPr>
        <w:spacing w:after="0" w:line="212" w:lineRule="exact"/>
        <w:rPr>
          <w:rFonts w:ascii="Arial" w:cs="Arial" w:eastAsia="Arial" w:hAnsi="Arial"/>
          <w:sz w:val="18"/>
          <w:szCs w:val="18"/>
          <w:color w:val="auto"/>
        </w:rPr>
      </w:pPr>
    </w:p>
    <w:p>
      <w:pPr>
        <w:ind w:left="580" w:right="220" w:firstLine="360"/>
        <w:spacing w:after="0" w:line="298" w:lineRule="auto"/>
        <w:tabs>
          <w:tab w:leader="none" w:pos="1238" w:val="left"/>
        </w:tabs>
        <w:numPr>
          <w:ilvl w:val="1"/>
          <w:numId w:val="62"/>
        </w:numPr>
        <w:rPr>
          <w:rFonts w:ascii="Arial" w:cs="Arial" w:eastAsia="Arial" w:hAnsi="Arial"/>
          <w:sz w:val="16"/>
          <w:szCs w:val="16"/>
          <w:color w:val="auto"/>
        </w:rPr>
      </w:pPr>
      <w:r>
        <w:rPr>
          <w:rFonts w:ascii="Arial" w:cs="Arial" w:eastAsia="Arial" w:hAnsi="Arial"/>
          <w:sz w:val="16"/>
          <w:szCs w:val="16"/>
          <w:color w:val="auto"/>
        </w:rPr>
        <w:t>The Trustee shall not be liable with respect to any action taken, suffered or omitted to be taken by it with respect to Securities of any Series in good faith in accordance with the direction of the Holders of a majority in principal amount of the outstanding Securities of such Series relating to the time, method and place of conducting any proceeding for any remedy available to the Trustee, or exercising any trust or power conferred upon the Trustee, under this Indenture with respect to the Securities of such Series.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5" w:name="page46"/>
    <w:bookmarkEnd w:id="45"/>
    <w:p>
      <w:pPr>
        <w:ind w:left="600" w:hanging="241"/>
        <w:spacing w:after="0"/>
        <w:tabs>
          <w:tab w:leader="none" w:pos="6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Every provision of this Indenture that in any way relates to the Trustee is subject to paragraph (a), (b) and (c) of this Section.</w:t>
      </w:r>
    </w:p>
    <w:p>
      <w:pPr>
        <w:spacing w:after="0" w:line="225" w:lineRule="exact"/>
        <w:rPr>
          <w:rFonts w:ascii="Arial" w:cs="Arial" w:eastAsia="Arial" w:hAnsi="Arial"/>
          <w:sz w:val="18"/>
          <w:szCs w:val="18"/>
          <w:color w:val="auto"/>
        </w:rPr>
      </w:pPr>
    </w:p>
    <w:p>
      <w:pPr>
        <w:ind w:right="720" w:firstLine="359"/>
        <w:spacing w:after="0" w:line="268" w:lineRule="auto"/>
        <w:tabs>
          <w:tab w:leader="none" w:pos="59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Trustee may refuse to perform any duty or exercise any right or power at the request or direction of any Holder unless it receives indemnity satisfactory to it against any loss, liability or expense.</w:t>
      </w:r>
    </w:p>
    <w:p>
      <w:pPr>
        <w:spacing w:after="0" w:line="185" w:lineRule="exact"/>
        <w:rPr>
          <w:rFonts w:ascii="Arial" w:cs="Arial" w:eastAsia="Arial" w:hAnsi="Arial"/>
          <w:sz w:val="18"/>
          <w:szCs w:val="18"/>
          <w:color w:val="auto"/>
        </w:rPr>
      </w:pPr>
    </w:p>
    <w:p>
      <w:pPr>
        <w:ind w:right="60" w:firstLine="359"/>
        <w:spacing w:after="0" w:line="268" w:lineRule="auto"/>
        <w:tabs>
          <w:tab w:leader="none" w:pos="57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Trustee shall not be liable for interest on any money received by it except as the Trustee may agree in writing with the Company. Money held in trust by the Trustee need not be segregated from other funds except to the extent required by law.</w:t>
      </w:r>
    </w:p>
    <w:p>
      <w:pPr>
        <w:spacing w:after="0" w:line="185" w:lineRule="exact"/>
        <w:rPr>
          <w:rFonts w:ascii="Arial" w:cs="Arial" w:eastAsia="Arial" w:hAnsi="Arial"/>
          <w:sz w:val="18"/>
          <w:szCs w:val="18"/>
          <w:color w:val="auto"/>
        </w:rPr>
      </w:pPr>
    </w:p>
    <w:p>
      <w:pPr>
        <w:ind w:right="340" w:firstLine="359"/>
        <w:spacing w:after="0" w:line="259" w:lineRule="auto"/>
        <w:tabs>
          <w:tab w:leader="none" w:pos="6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No provision of this Indenture shall require the Trustee to risk its own funds or otherwise incur any financial liability in the performance of any of its duties, or in the exercise of any of its rights or powers, if it shall have reasonable grounds for believing that repayment of such funds or adequate indemnity against such risk is not reasonably assured to it.</w:t>
      </w:r>
    </w:p>
    <w:p>
      <w:pPr>
        <w:spacing w:after="0" w:line="194" w:lineRule="exact"/>
        <w:rPr>
          <w:rFonts w:ascii="Arial" w:cs="Arial" w:eastAsia="Arial" w:hAnsi="Arial"/>
          <w:sz w:val="18"/>
          <w:szCs w:val="18"/>
          <w:color w:val="auto"/>
        </w:rPr>
      </w:pPr>
    </w:p>
    <w:p>
      <w:pPr>
        <w:ind w:right="40" w:firstLine="359"/>
        <w:spacing w:after="0" w:line="268" w:lineRule="auto"/>
        <w:tabs>
          <w:tab w:leader="none" w:pos="6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Paying Agent, the Registrar and any Service Agent or authenticating agent shall be entitled to the protections, immunities and standard of care as are set forth in paragraphs (a), (b) and (c) of this Section with respect to the Trustee.</w:t>
      </w:r>
    </w:p>
    <w:p>
      <w:pPr>
        <w:spacing w:after="0" w:line="180"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Section 7.02 Rights of Trustee.</w:t>
      </w:r>
    </w:p>
    <w:p>
      <w:pPr>
        <w:spacing w:after="0" w:line="231" w:lineRule="exact"/>
        <w:rPr>
          <w:sz w:val="20"/>
          <w:szCs w:val="20"/>
          <w:color w:val="auto"/>
        </w:rPr>
      </w:pPr>
    </w:p>
    <w:p>
      <w:pPr>
        <w:ind w:right="440" w:firstLine="359"/>
        <w:spacing w:after="0" w:line="268" w:lineRule="auto"/>
        <w:tabs>
          <w:tab w:leader="none" w:pos="59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Trustee may rely on and shall be protected in acting or refraining from acting upon any document believed by it to be genuine and to have been signed or presented by the proper person. The Trustee need not investigate any fact or matter stated in the document.</w:t>
      </w:r>
    </w:p>
    <w:p>
      <w:pPr>
        <w:spacing w:after="0" w:line="185" w:lineRule="exact"/>
        <w:rPr>
          <w:rFonts w:ascii="Arial" w:cs="Arial" w:eastAsia="Arial" w:hAnsi="Arial"/>
          <w:sz w:val="18"/>
          <w:szCs w:val="18"/>
          <w:color w:val="auto"/>
        </w:rPr>
      </w:pPr>
    </w:p>
    <w:p>
      <w:pPr>
        <w:ind w:right="240" w:firstLine="359"/>
        <w:spacing w:after="0" w:line="268" w:lineRule="auto"/>
        <w:tabs>
          <w:tab w:leader="none" w:pos="6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Before the Trustee acts or refrains from acting, it may require an Officers’ Certificate. The Trustee shall not be liable for any action it takes or omits to take in good faith in reliance on such Officers’ Certificate.</w:t>
      </w:r>
    </w:p>
    <w:p>
      <w:pPr>
        <w:spacing w:after="0" w:line="185" w:lineRule="exact"/>
        <w:rPr>
          <w:rFonts w:ascii="Arial" w:cs="Arial" w:eastAsia="Arial" w:hAnsi="Arial"/>
          <w:sz w:val="18"/>
          <w:szCs w:val="18"/>
          <w:color w:val="auto"/>
        </w:rPr>
      </w:pPr>
    </w:p>
    <w:p>
      <w:pPr>
        <w:ind w:right="200" w:firstLine="359"/>
        <w:spacing w:after="0" w:line="332" w:lineRule="auto"/>
        <w:tabs>
          <w:tab w:leader="none" w:pos="587"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Trustee may act through agents and shall not be responsible for the misconduct or negligence of any agent appointed with due care. No Depository shall be deemed an agent of the Trustee, and the Trustee shall not be responsible for any act or omission by any Depository.</w:t>
      </w:r>
    </w:p>
    <w:p>
      <w:pPr>
        <w:spacing w:after="0" w:line="139" w:lineRule="exact"/>
        <w:rPr>
          <w:rFonts w:ascii="Arial" w:cs="Arial" w:eastAsia="Arial" w:hAnsi="Arial"/>
          <w:sz w:val="16"/>
          <w:szCs w:val="16"/>
          <w:color w:val="auto"/>
        </w:rPr>
      </w:pPr>
    </w:p>
    <w:p>
      <w:pPr>
        <w:ind w:right="520" w:firstLine="359"/>
        <w:spacing w:after="0" w:line="268" w:lineRule="auto"/>
        <w:tabs>
          <w:tab w:leader="none" w:pos="597"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Trustee shall not be liable for any action it takes or omits to take in good faith which it believes to be authorized or within its rights or powers, provided that the Trustee’s conduct does not constitute negligence or bad faith.</w:t>
      </w:r>
    </w:p>
    <w:p>
      <w:pPr>
        <w:spacing w:after="0" w:line="185" w:lineRule="exact"/>
        <w:rPr>
          <w:rFonts w:ascii="Arial" w:cs="Arial" w:eastAsia="Arial" w:hAnsi="Arial"/>
          <w:sz w:val="18"/>
          <w:szCs w:val="18"/>
          <w:color w:val="auto"/>
        </w:rPr>
      </w:pPr>
    </w:p>
    <w:p>
      <w:pPr>
        <w:ind w:right="120" w:firstLine="359"/>
        <w:spacing w:after="0" w:line="332" w:lineRule="auto"/>
        <w:tabs>
          <w:tab w:leader="none" w:pos="587"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Trustee may consult with counsel, and the advice of such counsel or any Opinion of Counsel shall be full and complete authorization and protection in respect of any action taken, suffered or omitted by it hereunder without negligence and in good faith and in reliance thereon.</w:t>
      </w:r>
    </w:p>
    <w:p>
      <w:pPr>
        <w:spacing w:after="0" w:line="139" w:lineRule="exact"/>
        <w:rPr>
          <w:rFonts w:ascii="Arial" w:cs="Arial" w:eastAsia="Arial" w:hAnsi="Arial"/>
          <w:sz w:val="16"/>
          <w:szCs w:val="16"/>
          <w:color w:val="auto"/>
        </w:rPr>
      </w:pPr>
    </w:p>
    <w:p>
      <w:pPr>
        <w:ind w:firstLine="359"/>
        <w:spacing w:after="0" w:line="259" w:lineRule="auto"/>
        <w:tabs>
          <w:tab w:leader="none" w:pos="567"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Trustee shall be under no obligation to exercise any of the rights or powers vested in it by this Indenture at the request or direction of any of the Holders of Securities unless such Holders shall have offered to the Trustee reasonable security or indemnity against the costs, expenses and liabilities which might be incurred by it in compliance with such request or direction.</w:t>
      </w:r>
    </w:p>
    <w:p>
      <w:pPr>
        <w:spacing w:after="0" w:line="194" w:lineRule="exact"/>
        <w:rPr>
          <w:rFonts w:ascii="Arial" w:cs="Arial" w:eastAsia="Arial" w:hAnsi="Arial"/>
          <w:sz w:val="18"/>
          <w:szCs w:val="18"/>
          <w:color w:val="auto"/>
        </w:rPr>
      </w:pPr>
    </w:p>
    <w:p>
      <w:pPr>
        <w:ind w:right="360" w:firstLine="359"/>
        <w:spacing w:after="0" w:line="259" w:lineRule="auto"/>
        <w:tabs>
          <w:tab w:leader="none" w:pos="597"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Trustee shall not be bound to make any investigation into the facts or matters stated in any resolution, certificate, statement, instrument, opinion, report, notice, request, direction, consent, order, bond, debenture, note, other evidence of indebtedness or other paper or document, but the Trustee, in its discretion, may make such further inquiry or investigation into such facts or matters as it may see fit.</w:t>
      </w:r>
    </w:p>
    <w:p>
      <w:pPr>
        <w:spacing w:after="0" w:line="194" w:lineRule="exact"/>
        <w:rPr>
          <w:rFonts w:ascii="Arial" w:cs="Arial" w:eastAsia="Arial" w:hAnsi="Arial"/>
          <w:sz w:val="18"/>
          <w:szCs w:val="18"/>
          <w:color w:val="auto"/>
        </w:rPr>
      </w:pPr>
    </w:p>
    <w:p>
      <w:pPr>
        <w:ind w:right="60" w:firstLine="359"/>
        <w:spacing w:after="0" w:line="259" w:lineRule="auto"/>
        <w:tabs>
          <w:tab w:leader="none" w:pos="597"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Trustee shall not be deemed to have notice of any Default or Event of Default unless a Responsible Officer of the Trustee has actual knowledge thereof or unless written notice of any event which is in fact such a default is received by the Trustee at the Corporate Trust Office of the Trustee, and such notice references the Securities generally or the Securities of a particular Series and this Indenture.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347" w:right="239" w:bottom="1440" w:gutter="0" w:footer="0" w:header="0"/>
        </w:sectPr>
      </w:pPr>
    </w:p>
    <w:bookmarkStart w:id="46" w:name="page47"/>
    <w:bookmarkEnd w:id="46"/>
    <w:p>
      <w:pPr>
        <w:ind w:left="360"/>
        <w:spacing w:after="0"/>
        <w:rPr>
          <w:sz w:val="20"/>
          <w:szCs w:val="20"/>
          <w:color w:val="auto"/>
        </w:rPr>
      </w:pPr>
      <w:r>
        <w:rPr>
          <w:rFonts w:ascii="Arial" w:cs="Arial" w:eastAsia="Arial" w:hAnsi="Arial"/>
          <w:sz w:val="18"/>
          <w:szCs w:val="18"/>
          <w:color w:val="auto"/>
        </w:rPr>
        <w:t>(i) The permissive rights of the Trustee enumerated herein shall not be construed as duties.</w:t>
      </w:r>
    </w:p>
    <w:p>
      <w:pPr>
        <w:spacing w:after="0" w:line="219" w:lineRule="exact"/>
        <w:rPr>
          <w:sz w:val="20"/>
          <w:szCs w:val="20"/>
          <w:color w:val="auto"/>
        </w:rPr>
      </w:pPr>
    </w:p>
    <w:p>
      <w:pPr>
        <w:ind w:right="120" w:firstLine="351"/>
        <w:spacing w:after="0" w:line="262" w:lineRule="auto"/>
        <w:rPr>
          <w:sz w:val="20"/>
          <w:szCs w:val="20"/>
          <w:color w:val="auto"/>
        </w:rPr>
      </w:pPr>
      <w:r>
        <w:rPr>
          <w:rFonts w:ascii="Arial" w:cs="Arial" w:eastAsia="Arial" w:hAnsi="Arial"/>
          <w:sz w:val="18"/>
          <w:szCs w:val="18"/>
          <w:b w:val="1"/>
          <w:bCs w:val="1"/>
          <w:color w:val="auto"/>
        </w:rPr>
        <w:t xml:space="preserve">Section 7.03 Individual Rights of Trustee. </w:t>
      </w:r>
      <w:r>
        <w:rPr>
          <w:rFonts w:ascii="Arial" w:cs="Arial" w:eastAsia="Arial" w:hAnsi="Arial"/>
          <w:sz w:val="18"/>
          <w:szCs w:val="18"/>
          <w:color w:val="auto"/>
        </w:rPr>
        <w:t>The Trustee in its individual or any other capacity may become the owner or pledgee of Securities and may</w:t>
      </w:r>
      <w:r>
        <w:rPr>
          <w:rFonts w:ascii="Arial" w:cs="Arial" w:eastAsia="Arial" w:hAnsi="Arial"/>
          <w:sz w:val="18"/>
          <w:szCs w:val="18"/>
          <w:b w:val="1"/>
          <w:bCs w:val="1"/>
          <w:color w:val="auto"/>
        </w:rPr>
        <w:t xml:space="preserve"> </w:t>
      </w:r>
      <w:r>
        <w:rPr>
          <w:rFonts w:ascii="Arial" w:cs="Arial" w:eastAsia="Arial" w:hAnsi="Arial"/>
          <w:sz w:val="18"/>
          <w:szCs w:val="18"/>
          <w:color w:val="auto"/>
        </w:rPr>
        <w:t>otherwise deal with the Company or an Affiliate of the Company with the same rights it would have if it were not Trustee. Any Agent may do the same with like rights. The Trustee is also subject to Sections 7.10 and 7.11.</w:t>
      </w:r>
    </w:p>
    <w:p>
      <w:pPr>
        <w:spacing w:after="0" w:line="186" w:lineRule="exact"/>
        <w:rPr>
          <w:sz w:val="20"/>
          <w:szCs w:val="20"/>
          <w:color w:val="auto"/>
        </w:rPr>
      </w:pPr>
    </w:p>
    <w:p>
      <w:pPr>
        <w:ind w:right="380" w:firstLine="351"/>
        <w:spacing w:after="0" w:line="262" w:lineRule="auto"/>
        <w:rPr>
          <w:sz w:val="20"/>
          <w:szCs w:val="20"/>
          <w:color w:val="auto"/>
        </w:rPr>
      </w:pPr>
      <w:r>
        <w:rPr>
          <w:rFonts w:ascii="Arial" w:cs="Arial" w:eastAsia="Arial" w:hAnsi="Arial"/>
          <w:sz w:val="18"/>
          <w:szCs w:val="18"/>
          <w:b w:val="1"/>
          <w:bCs w:val="1"/>
          <w:color w:val="auto"/>
        </w:rPr>
        <w:t xml:space="preserve">Section 7.04 Trustee’s Disclaimer. </w:t>
      </w:r>
      <w:r>
        <w:rPr>
          <w:rFonts w:ascii="Arial" w:cs="Arial" w:eastAsia="Arial" w:hAnsi="Arial"/>
          <w:sz w:val="18"/>
          <w:szCs w:val="18"/>
          <w:color w:val="auto"/>
        </w:rPr>
        <w:t>The Trustee makes no representation as to the validity or adequacy of this Indenture or the Securities, it shall not be</w:t>
      </w:r>
      <w:r>
        <w:rPr>
          <w:rFonts w:ascii="Arial" w:cs="Arial" w:eastAsia="Arial" w:hAnsi="Arial"/>
          <w:sz w:val="18"/>
          <w:szCs w:val="18"/>
          <w:b w:val="1"/>
          <w:bCs w:val="1"/>
          <w:color w:val="auto"/>
        </w:rPr>
        <w:t xml:space="preserve"> </w:t>
      </w:r>
      <w:r>
        <w:rPr>
          <w:rFonts w:ascii="Arial" w:cs="Arial" w:eastAsia="Arial" w:hAnsi="Arial"/>
          <w:sz w:val="18"/>
          <w:szCs w:val="18"/>
          <w:color w:val="auto"/>
        </w:rPr>
        <w:t>accountable for the Company’s use of the proceeds from the Securities, and it shall not be responsible for any statement in the Securities other than its authentication.</w:t>
      </w:r>
    </w:p>
    <w:p>
      <w:pPr>
        <w:spacing w:after="0" w:line="186" w:lineRule="exact"/>
        <w:rPr>
          <w:sz w:val="20"/>
          <w:szCs w:val="20"/>
          <w:color w:val="auto"/>
        </w:rPr>
      </w:pPr>
    </w:p>
    <w:p>
      <w:pPr>
        <w:ind w:right="20" w:firstLine="351"/>
        <w:spacing w:after="0" w:line="293" w:lineRule="auto"/>
        <w:rPr>
          <w:sz w:val="20"/>
          <w:szCs w:val="20"/>
          <w:color w:val="auto"/>
        </w:rPr>
      </w:pPr>
      <w:r>
        <w:rPr>
          <w:rFonts w:ascii="Arial" w:cs="Arial" w:eastAsia="Arial" w:hAnsi="Arial"/>
          <w:sz w:val="16"/>
          <w:szCs w:val="16"/>
          <w:b w:val="1"/>
          <w:bCs w:val="1"/>
          <w:color w:val="auto"/>
        </w:rPr>
        <w:t xml:space="preserve">Section 7.05 Notice of Defaults. </w:t>
      </w:r>
      <w:r>
        <w:rPr>
          <w:rFonts w:ascii="Arial" w:cs="Arial" w:eastAsia="Arial" w:hAnsi="Arial"/>
          <w:sz w:val="16"/>
          <w:szCs w:val="16"/>
          <w:color w:val="auto"/>
        </w:rPr>
        <w:t>If a Default or Event of Default occurs and is continuing with respect to the Securities of any Series and if it is known to a</w:t>
      </w:r>
      <w:r>
        <w:rPr>
          <w:rFonts w:ascii="Arial" w:cs="Arial" w:eastAsia="Arial" w:hAnsi="Arial"/>
          <w:sz w:val="16"/>
          <w:szCs w:val="16"/>
          <w:b w:val="1"/>
          <w:bCs w:val="1"/>
          <w:color w:val="auto"/>
        </w:rPr>
        <w:t xml:space="preserve"> </w:t>
      </w:r>
      <w:r>
        <w:rPr>
          <w:rFonts w:ascii="Arial" w:cs="Arial" w:eastAsia="Arial" w:hAnsi="Arial"/>
          <w:sz w:val="16"/>
          <w:szCs w:val="16"/>
          <w:color w:val="auto"/>
        </w:rPr>
        <w:t>Responsible Officer of the Trustee, the Trustee shall mail to each Holder of the Securities of that Series and, if any Bearer Securities are outstanding, publish on one occasion in an Authorized Newspaper, notice of a Default or Event of Default within 90 days after it occurs or, if later, after a Responsible Officer of the Trustee has knowledge of such Default or Event of Default. Except in the case of a Default or Event of Default in payment of principal of or interest on any Security of any Series, the Trustee may withhold the notice if and so long as its corporate trust committee or a committee of its Responsible Officers in good faith determines that withholding the notice is in the interests of Holders of that Series.</w:t>
      </w:r>
    </w:p>
    <w:p>
      <w:pPr>
        <w:spacing w:after="0" w:line="16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b w:val="1"/>
          <w:bCs w:val="1"/>
          <w:color w:val="auto"/>
        </w:rPr>
        <w:t xml:space="preserve">Section 7.06 Reports by Trustee to Holders. </w:t>
      </w:r>
      <w:r>
        <w:rPr>
          <w:rFonts w:ascii="Arial" w:cs="Arial" w:eastAsia="Arial" w:hAnsi="Arial"/>
          <w:sz w:val="18"/>
          <w:szCs w:val="18"/>
          <w:color w:val="auto"/>
        </w:rPr>
        <w:t>Within 60 days after May 15 in each year, the Trustee shall transmit by mail to all Holders, as their names and</w:t>
      </w:r>
      <w:r>
        <w:rPr>
          <w:rFonts w:ascii="Arial" w:cs="Arial" w:eastAsia="Arial" w:hAnsi="Arial"/>
          <w:sz w:val="18"/>
          <w:szCs w:val="18"/>
          <w:b w:val="1"/>
          <w:bCs w:val="1"/>
          <w:color w:val="auto"/>
        </w:rPr>
        <w:t xml:space="preserve"> </w:t>
      </w:r>
      <w:r>
        <w:rPr>
          <w:rFonts w:ascii="Arial" w:cs="Arial" w:eastAsia="Arial" w:hAnsi="Arial"/>
          <w:sz w:val="18"/>
          <w:szCs w:val="18"/>
          <w:color w:val="auto"/>
        </w:rPr>
        <w:t>addresses appear on the register kept by the Registrar and, if any Bearer Securities are outstanding, publish in an Authorized Newspaper, a brief report dated as of such May 15, in accordance with, and to the extent required under, TIA Section 313. A copy of each report at the time of its mailing to Holders of any Series shall be filed with the SEC and each stock exchange on which the Securities of that Series are listed. The Company shall promptly notify the Trustee when Securities of any Series are listed on any stock exchange.</w:t>
      </w:r>
    </w:p>
    <w:p>
      <w:pPr>
        <w:spacing w:after="0" w:line="193" w:lineRule="exact"/>
        <w:rPr>
          <w:sz w:val="20"/>
          <w:szCs w:val="20"/>
          <w:color w:val="auto"/>
        </w:rPr>
      </w:pPr>
    </w:p>
    <w:p>
      <w:pPr>
        <w:ind w:right="20" w:firstLine="351"/>
        <w:spacing w:after="0" w:line="306" w:lineRule="auto"/>
        <w:rPr>
          <w:sz w:val="20"/>
          <w:szCs w:val="20"/>
          <w:color w:val="auto"/>
        </w:rPr>
      </w:pPr>
      <w:r>
        <w:rPr>
          <w:rFonts w:ascii="Arial" w:cs="Arial" w:eastAsia="Arial" w:hAnsi="Arial"/>
          <w:sz w:val="15"/>
          <w:szCs w:val="15"/>
          <w:b w:val="1"/>
          <w:bCs w:val="1"/>
          <w:color w:val="auto"/>
        </w:rPr>
        <w:t xml:space="preserve">Section 7.07 Compensation and Indemnity. </w:t>
      </w:r>
      <w:r>
        <w:rPr>
          <w:rFonts w:ascii="Arial" w:cs="Arial" w:eastAsia="Arial" w:hAnsi="Arial"/>
          <w:sz w:val="15"/>
          <w:szCs w:val="15"/>
          <w:color w:val="auto"/>
        </w:rPr>
        <w:t>The Company shall pay to the Trustee from time to time compensation for its services as the Company and the</w:t>
      </w:r>
      <w:r>
        <w:rPr>
          <w:rFonts w:ascii="Arial" w:cs="Arial" w:eastAsia="Arial" w:hAnsi="Arial"/>
          <w:sz w:val="15"/>
          <w:szCs w:val="15"/>
          <w:b w:val="1"/>
          <w:bCs w:val="1"/>
          <w:color w:val="auto"/>
        </w:rPr>
        <w:t xml:space="preserve"> </w:t>
      </w:r>
      <w:r>
        <w:rPr>
          <w:rFonts w:ascii="Arial" w:cs="Arial" w:eastAsia="Arial" w:hAnsi="Arial"/>
          <w:sz w:val="15"/>
          <w:szCs w:val="15"/>
          <w:color w:val="auto"/>
        </w:rPr>
        <w:t>Trustee shall from time to time agree upon in writing. The Trustee’s compensation shall not be limited by any law on compensation of a trustee of an express trust. The Company shall reimburse the Trustee upon request for all reasonable out-of-pocket expenses incurred by it. Such expenses shall include the reasonable compensation and expenses of the Trustee’s agents and counsel. The Company shall indemnify each of the Trustee and any predecessor Trustee (including the cost of defending itself) against any loss, liability or expense, including taxes (other than taxes based upon, measured by or determined by the income of the Trustee) incurred by it except as set forth in this Section 7.07 in the performance of its duties under this Indenture as Trustee or Agent. The Trustee shall notify the Company promptly of any claim for which it may seek indemnity. The Company shall defend the claim and the Trustee shall cooperate in the defense. The Trustee may have one separate counsel and the Company shall pay the reasonable fees and expenses of such counsel. The Company need not pay for any settlement made without its consent, which consent shall not be unreasonably withheld. This indemnification shall apply to officers, directors, employees, shareholders and agents of the Trustee. The Company need not reimburse any expense or indemnify against any loss or liability incurred by the Trustee or by any officer, director, employee, shareholder or agent of the Trustee through the negligence or bad faith of any such persons. To secure the Company’s payment obligations in this Section, the Trustee shall have a lien prior to the Securities of any Series on all money or property held or collected by the Trustee, except that held in trust to pay principal of and interest on particular Securities of that Series. When the Trustee incurs expenses or renders services after an Event of Default specified in Section 6.01(d) or (e) occurs, the expenses and the compensation for the services are intended to constitute expenses of administration under any Bankruptcy Law. The provisions of this Section shall survive the resignation or removal of the Trustee and the termination of this Indenture.</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00"/>
          </w:cols>
          <w:pgMar w:left="240" w:top="347" w:right="259" w:bottom="1440" w:gutter="0" w:footer="0" w:header="0"/>
        </w:sectPr>
      </w:pPr>
    </w:p>
    <w:bookmarkStart w:id="47" w:name="page48"/>
    <w:bookmarkEnd w:id="47"/>
    <w:p>
      <w:pPr>
        <w:ind w:right="20" w:firstLine="351"/>
        <w:spacing w:after="0" w:line="256" w:lineRule="auto"/>
        <w:rPr>
          <w:sz w:val="20"/>
          <w:szCs w:val="20"/>
          <w:color w:val="auto"/>
        </w:rPr>
      </w:pPr>
      <w:r>
        <w:rPr>
          <w:rFonts w:ascii="Arial" w:cs="Arial" w:eastAsia="Arial" w:hAnsi="Arial"/>
          <w:sz w:val="18"/>
          <w:szCs w:val="18"/>
          <w:b w:val="1"/>
          <w:bCs w:val="1"/>
          <w:color w:val="auto"/>
        </w:rPr>
        <w:t xml:space="preserve">Section 7.08 Replacement of Trustee. </w:t>
      </w:r>
      <w:r>
        <w:rPr>
          <w:rFonts w:ascii="Arial" w:cs="Arial" w:eastAsia="Arial" w:hAnsi="Arial"/>
          <w:sz w:val="18"/>
          <w:szCs w:val="18"/>
          <w:color w:val="auto"/>
        </w:rPr>
        <w:t>A resignation or removal of the Trustee and appointment of a successor Trustee shall become effective only upon the</w:t>
      </w:r>
      <w:r>
        <w:rPr>
          <w:rFonts w:ascii="Arial" w:cs="Arial" w:eastAsia="Arial" w:hAnsi="Arial"/>
          <w:sz w:val="18"/>
          <w:szCs w:val="18"/>
          <w:b w:val="1"/>
          <w:bCs w:val="1"/>
          <w:color w:val="auto"/>
        </w:rPr>
        <w:t xml:space="preserve"> </w:t>
      </w:r>
      <w:r>
        <w:rPr>
          <w:rFonts w:ascii="Arial" w:cs="Arial" w:eastAsia="Arial" w:hAnsi="Arial"/>
          <w:sz w:val="18"/>
          <w:szCs w:val="18"/>
          <w:color w:val="auto"/>
        </w:rPr>
        <w:t>successor Trustee’s acceptance of appointment as provided in this Section. The Trustee may resign with respect to the Securities of one or more Series by so notifying the Company at least 30 days prior to the date of the proposed resignation. The Holders of a majority in principal amount of the Securities of any Series may remove the Trustee with respect to that Series by so notifying the Trustee and the Company. The Company may remove the Trustee with respect to Securities of one or more Series if:</w:t>
      </w:r>
    </w:p>
    <w:p>
      <w:pPr>
        <w:spacing w:after="0" w:line="199" w:lineRule="exact"/>
        <w:rPr>
          <w:sz w:val="20"/>
          <w:szCs w:val="20"/>
          <w:color w:val="auto"/>
        </w:rPr>
      </w:pPr>
    </w:p>
    <w:p>
      <w:pPr>
        <w:ind w:left="600" w:hanging="241"/>
        <w:spacing w:after="0"/>
        <w:tabs>
          <w:tab w:leader="none" w:pos="6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Trustee fails to comply with Section 7.10;</w:t>
      </w:r>
    </w:p>
    <w:p>
      <w:pPr>
        <w:spacing w:after="0" w:line="225" w:lineRule="exact"/>
        <w:rPr>
          <w:rFonts w:ascii="Arial" w:cs="Arial" w:eastAsia="Arial" w:hAnsi="Arial"/>
          <w:sz w:val="18"/>
          <w:szCs w:val="18"/>
          <w:color w:val="auto"/>
        </w:rPr>
      </w:pPr>
    </w:p>
    <w:p>
      <w:pPr>
        <w:ind w:left="600" w:hanging="241"/>
        <w:spacing w:after="0"/>
        <w:tabs>
          <w:tab w:leader="none" w:pos="6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Trustee is adjudged bankrupt or insolvent or an order for relief is entered with respect to the Trustee under any Bankruptcy Law;</w:t>
      </w:r>
    </w:p>
    <w:p>
      <w:pPr>
        <w:spacing w:after="0" w:line="225" w:lineRule="exact"/>
        <w:rPr>
          <w:rFonts w:ascii="Arial" w:cs="Arial" w:eastAsia="Arial" w:hAnsi="Arial"/>
          <w:sz w:val="18"/>
          <w:szCs w:val="18"/>
          <w:color w:val="auto"/>
        </w:rPr>
      </w:pPr>
    </w:p>
    <w:p>
      <w:pPr>
        <w:ind w:left="600" w:hanging="241"/>
        <w:spacing w:after="0"/>
        <w:tabs>
          <w:tab w:leader="none" w:pos="6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 Custodian or public officer takes charge of the Trustee or its property; or</w:t>
      </w:r>
    </w:p>
    <w:p>
      <w:pPr>
        <w:spacing w:after="0" w:line="225" w:lineRule="exact"/>
        <w:rPr>
          <w:rFonts w:ascii="Arial" w:cs="Arial" w:eastAsia="Arial" w:hAnsi="Arial"/>
          <w:sz w:val="18"/>
          <w:szCs w:val="18"/>
          <w:color w:val="auto"/>
        </w:rPr>
      </w:pPr>
    </w:p>
    <w:p>
      <w:pPr>
        <w:ind w:left="600" w:hanging="241"/>
        <w:spacing w:after="0"/>
        <w:tabs>
          <w:tab w:leader="none" w:pos="6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Trustee becomes incapable of acting.</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If the Trustee resigns or is removed or if a vacancy exists in the office of Trustee for any reason, the Company shall promptly appoint a successor Trustee.</w:t>
      </w:r>
    </w:p>
    <w:p>
      <w:pPr>
        <w:spacing w:after="0" w:line="248" w:lineRule="exact"/>
        <w:rPr>
          <w:sz w:val="20"/>
          <w:szCs w:val="20"/>
          <w:color w:val="auto"/>
        </w:rPr>
      </w:pPr>
    </w:p>
    <w:p>
      <w:pPr>
        <w:ind w:right="300" w:firstLine="351"/>
        <w:spacing w:after="0" w:line="259" w:lineRule="auto"/>
        <w:rPr>
          <w:sz w:val="20"/>
          <w:szCs w:val="20"/>
          <w:color w:val="auto"/>
        </w:rPr>
      </w:pPr>
      <w:r>
        <w:rPr>
          <w:rFonts w:ascii="Arial" w:cs="Arial" w:eastAsia="Arial" w:hAnsi="Arial"/>
          <w:sz w:val="18"/>
          <w:szCs w:val="18"/>
          <w:color w:val="auto"/>
        </w:rPr>
        <w:t>If a successor Trustee with respect to the Securities of any one or more Series does not take office within 60 days after the retiring Trustee resigns or is removed, the retiring Trustee, the Company or the Holders of at least a majority in principal amount of the Securities of the applicable Series may petition any court of competent jurisdiction for the appointment of a successor Trustee.</w:t>
      </w:r>
    </w:p>
    <w:p>
      <w:pPr>
        <w:spacing w:after="0" w:line="194" w:lineRule="exact"/>
        <w:rPr>
          <w:sz w:val="20"/>
          <w:szCs w:val="20"/>
          <w:color w:val="auto"/>
        </w:rPr>
      </w:pPr>
    </w:p>
    <w:p>
      <w:pPr>
        <w:ind w:right="20" w:firstLine="341"/>
        <w:spacing w:after="0" w:line="290" w:lineRule="auto"/>
        <w:rPr>
          <w:sz w:val="20"/>
          <w:szCs w:val="20"/>
          <w:color w:val="auto"/>
        </w:rPr>
      </w:pPr>
      <w:r>
        <w:rPr>
          <w:rFonts w:ascii="Arial" w:cs="Arial" w:eastAsia="Arial" w:hAnsi="Arial"/>
          <w:sz w:val="16"/>
          <w:szCs w:val="16"/>
          <w:color w:val="auto"/>
        </w:rPr>
        <w:t>A successor Trustee shall deliver a written acceptance of its appointment to the retiring Trustee and to the Company. Immediately after that, the retiring Trustee shall transfer all property held by it as Trustee to the successor Trustee subject to the lien provided for in Section 7.07, the resignation or removal of the retiring Trustee shall become effective, and the successor Trustee shall have all the rights, powers and duties of the Trustee with respect to each Series of Securities for which it is acting as Trustee under this Indenture. A successor Trustee shall mail a notice of its succession to each Holder of each such Series and, if any Bearer Securities are outstanding, publish such notice on one occasion in an Authorized Newspaper. Notwithstanding replacement of the Trustee pursuant to this Section 7.08, the Company’s obligations under Section 7.07 hereof shall continue for the benefit of the retiring Trustee with respect to expenses and liabilities incurred by it prior to the date of such replacement.</w:t>
      </w:r>
    </w:p>
    <w:p>
      <w:pPr>
        <w:spacing w:after="0" w:line="166" w:lineRule="exact"/>
        <w:rPr>
          <w:sz w:val="20"/>
          <w:szCs w:val="20"/>
          <w:color w:val="auto"/>
        </w:rPr>
      </w:pPr>
    </w:p>
    <w:p>
      <w:pPr>
        <w:ind w:right="80" w:firstLine="351"/>
        <w:spacing w:after="0" w:line="339" w:lineRule="auto"/>
        <w:rPr>
          <w:sz w:val="20"/>
          <w:szCs w:val="20"/>
          <w:color w:val="auto"/>
        </w:rPr>
      </w:pPr>
      <w:r>
        <w:rPr>
          <w:rFonts w:ascii="Arial" w:cs="Arial" w:eastAsia="Arial" w:hAnsi="Arial"/>
          <w:sz w:val="16"/>
          <w:szCs w:val="16"/>
          <w:b w:val="1"/>
          <w:bCs w:val="1"/>
          <w:color w:val="auto"/>
        </w:rPr>
        <w:t xml:space="preserve">Section 7.09 Successor Trustee by Merger, etc. </w:t>
      </w:r>
      <w:r>
        <w:rPr>
          <w:rFonts w:ascii="Arial" w:cs="Arial" w:eastAsia="Arial" w:hAnsi="Arial"/>
          <w:sz w:val="16"/>
          <w:szCs w:val="16"/>
          <w:color w:val="auto"/>
        </w:rPr>
        <w:t>If the Trustee consolidates with, merges or converts into, or transfers all or substantially all of its corporate</w:t>
      </w:r>
      <w:r>
        <w:rPr>
          <w:rFonts w:ascii="Arial" w:cs="Arial" w:eastAsia="Arial" w:hAnsi="Arial"/>
          <w:sz w:val="16"/>
          <w:szCs w:val="16"/>
          <w:b w:val="1"/>
          <w:bCs w:val="1"/>
          <w:color w:val="auto"/>
        </w:rPr>
        <w:t xml:space="preserve"> </w:t>
      </w:r>
      <w:r>
        <w:rPr>
          <w:rFonts w:ascii="Arial" w:cs="Arial" w:eastAsia="Arial" w:hAnsi="Arial"/>
          <w:sz w:val="16"/>
          <w:szCs w:val="16"/>
          <w:color w:val="auto"/>
        </w:rPr>
        <w:t>trust business to, another corporation, the successor corporation without any further act shall be the successor Trustee.</w:t>
      </w:r>
    </w:p>
    <w:p>
      <w:pPr>
        <w:spacing w:after="0" w:line="128"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auto"/>
        </w:rPr>
        <w:t xml:space="preserve">Section 7.10 Eligibility; Disqualification. </w:t>
      </w:r>
      <w:r>
        <w:rPr>
          <w:rFonts w:ascii="Arial" w:cs="Arial" w:eastAsia="Arial" w:hAnsi="Arial"/>
          <w:sz w:val="16"/>
          <w:szCs w:val="16"/>
          <w:color w:val="auto"/>
        </w:rPr>
        <w:t>This Indenture shall always have a Trustee who satisfies the requirements of TIA Section 310(a)(1), (2) and (5).</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The Trustee shall comply with TIA Section 310(b).</w:t>
      </w:r>
    </w:p>
    <w:p>
      <w:pPr>
        <w:spacing w:after="0" w:line="213" w:lineRule="exact"/>
        <w:rPr>
          <w:sz w:val="20"/>
          <w:szCs w:val="20"/>
          <w:color w:val="auto"/>
        </w:rPr>
      </w:pPr>
    </w:p>
    <w:p>
      <w:pPr>
        <w:ind w:right="120" w:firstLine="351"/>
        <w:spacing w:after="0" w:line="339" w:lineRule="auto"/>
        <w:rPr>
          <w:sz w:val="20"/>
          <w:szCs w:val="20"/>
          <w:color w:val="auto"/>
        </w:rPr>
      </w:pPr>
      <w:r>
        <w:rPr>
          <w:rFonts w:ascii="Arial" w:cs="Arial" w:eastAsia="Arial" w:hAnsi="Arial"/>
          <w:sz w:val="16"/>
          <w:szCs w:val="16"/>
          <w:b w:val="1"/>
          <w:bCs w:val="1"/>
          <w:color w:val="auto"/>
        </w:rPr>
        <w:t xml:space="preserve">Section 7.11 Preferential Collection of Claims Against Company. </w:t>
      </w:r>
      <w:r>
        <w:rPr>
          <w:rFonts w:ascii="Arial" w:cs="Arial" w:eastAsia="Arial" w:hAnsi="Arial"/>
          <w:sz w:val="16"/>
          <w:szCs w:val="16"/>
          <w:color w:val="auto"/>
        </w:rPr>
        <w:t>The Trustee is subject to TIA Section 311(a), excluding any creditor relationship listed</w:t>
      </w:r>
      <w:r>
        <w:rPr>
          <w:rFonts w:ascii="Arial" w:cs="Arial" w:eastAsia="Arial" w:hAnsi="Arial"/>
          <w:sz w:val="16"/>
          <w:szCs w:val="16"/>
          <w:b w:val="1"/>
          <w:bCs w:val="1"/>
          <w:color w:val="auto"/>
        </w:rPr>
        <w:t xml:space="preserve"> </w:t>
      </w:r>
      <w:r>
        <w:rPr>
          <w:rFonts w:ascii="Arial" w:cs="Arial" w:eastAsia="Arial" w:hAnsi="Arial"/>
          <w:sz w:val="16"/>
          <w:szCs w:val="16"/>
          <w:color w:val="auto"/>
        </w:rPr>
        <w:t>in TIA Section 311(b). A Trustee who has resigned or been removed shall be subject to TIA Section 311(a) to the extent indicated.</w:t>
      </w:r>
    </w:p>
    <w:p>
      <w:pPr>
        <w:spacing w:after="0" w:line="19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ARTICLE VIII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SATISFACTION AND DISCHARGE; DEFEASANCE</w:t>
      </w:r>
    </w:p>
    <w:p>
      <w:pPr>
        <w:spacing w:after="0" w:line="294"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Section 8.01 Satisfaction and Discharge of Indenture.</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This Indenture shall upon Company Order cease to be of further effect (except as hereinafter provided in this Section 8.01), and the Trustee, at the expense of the Company, shall execute proper instruments acknowledging satisfaction and discharge of this Indenture, when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8" w:name="page49"/>
    <w:bookmarkEnd w:id="48"/>
    <w:p>
      <w:pPr>
        <w:ind w:left="600" w:hanging="241"/>
        <w:spacing w:after="0"/>
        <w:tabs>
          <w:tab w:leader="none" w:pos="6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any of the following shall have occurred:</w:t>
      </w:r>
    </w:p>
    <w:p>
      <w:pPr>
        <w:spacing w:after="0" w:line="225" w:lineRule="exact"/>
        <w:rPr>
          <w:rFonts w:ascii="Arial" w:cs="Arial" w:eastAsia="Arial" w:hAnsi="Arial"/>
          <w:sz w:val="18"/>
          <w:szCs w:val="18"/>
          <w:color w:val="auto"/>
        </w:rPr>
      </w:pPr>
    </w:p>
    <w:p>
      <w:pPr>
        <w:ind w:left="1140" w:hanging="200"/>
        <w:spacing w:after="0"/>
        <w:tabs>
          <w:tab w:leader="none" w:pos="1140" w:val="left"/>
        </w:tabs>
        <w:numPr>
          <w:ilvl w:val="1"/>
          <w:numId w:val="66"/>
        </w:numPr>
        <w:rPr>
          <w:rFonts w:ascii="Arial" w:cs="Arial" w:eastAsia="Arial" w:hAnsi="Arial"/>
          <w:sz w:val="18"/>
          <w:szCs w:val="18"/>
          <w:color w:val="auto"/>
        </w:rPr>
      </w:pPr>
      <w:r>
        <w:rPr>
          <w:rFonts w:ascii="Arial" w:cs="Arial" w:eastAsia="Arial" w:hAnsi="Arial"/>
          <w:sz w:val="18"/>
          <w:szCs w:val="18"/>
          <w:color w:val="auto"/>
        </w:rPr>
        <w:t>no Securities have been issued hereunder;</w:t>
      </w:r>
    </w:p>
    <w:p>
      <w:pPr>
        <w:spacing w:after="0" w:line="252" w:lineRule="exact"/>
        <w:rPr>
          <w:rFonts w:ascii="Arial" w:cs="Arial" w:eastAsia="Arial" w:hAnsi="Arial"/>
          <w:sz w:val="18"/>
          <w:szCs w:val="18"/>
          <w:color w:val="auto"/>
        </w:rPr>
      </w:pPr>
    </w:p>
    <w:p>
      <w:pPr>
        <w:ind w:left="580" w:right="20" w:firstLine="360"/>
        <w:spacing w:after="0" w:line="268" w:lineRule="auto"/>
        <w:tabs>
          <w:tab w:leader="none" w:pos="1190" w:val="left"/>
        </w:tabs>
        <w:numPr>
          <w:ilvl w:val="1"/>
          <w:numId w:val="66"/>
        </w:numPr>
        <w:rPr>
          <w:rFonts w:ascii="Arial" w:cs="Arial" w:eastAsia="Arial" w:hAnsi="Arial"/>
          <w:sz w:val="18"/>
          <w:szCs w:val="18"/>
          <w:color w:val="auto"/>
        </w:rPr>
      </w:pPr>
      <w:r>
        <w:rPr>
          <w:rFonts w:ascii="Arial" w:cs="Arial" w:eastAsia="Arial" w:hAnsi="Arial"/>
          <w:sz w:val="18"/>
          <w:szCs w:val="18"/>
          <w:color w:val="auto"/>
        </w:rPr>
        <w:t>all Securities theretofore authenticated and delivered (other than Securities that have been destroyed, lost or stolen and that have been replaced or paid) have been delivered to the Trustee for cancellation; or</w:t>
      </w:r>
    </w:p>
    <w:p>
      <w:pPr>
        <w:spacing w:after="0" w:line="212" w:lineRule="exact"/>
        <w:rPr>
          <w:rFonts w:ascii="Arial" w:cs="Arial" w:eastAsia="Arial" w:hAnsi="Arial"/>
          <w:sz w:val="18"/>
          <w:szCs w:val="18"/>
          <w:color w:val="auto"/>
        </w:rPr>
      </w:pPr>
    </w:p>
    <w:p>
      <w:pPr>
        <w:ind w:left="580" w:firstLine="360"/>
        <w:spacing w:after="0" w:line="259" w:lineRule="auto"/>
        <w:tabs>
          <w:tab w:leader="none" w:pos="1238" w:val="left"/>
        </w:tabs>
        <w:numPr>
          <w:ilvl w:val="1"/>
          <w:numId w:val="66"/>
        </w:numPr>
        <w:rPr>
          <w:rFonts w:ascii="Arial" w:cs="Arial" w:eastAsia="Arial" w:hAnsi="Arial"/>
          <w:sz w:val="18"/>
          <w:szCs w:val="18"/>
          <w:color w:val="auto"/>
        </w:rPr>
      </w:pPr>
      <w:r>
        <w:rPr>
          <w:rFonts w:ascii="Arial" w:cs="Arial" w:eastAsia="Arial" w:hAnsi="Arial"/>
          <w:sz w:val="18"/>
          <w:szCs w:val="18"/>
          <w:color w:val="auto"/>
        </w:rPr>
        <w:t>all such Securities not theretofore delivered to the Trustee for cancellation (1) have become due and payable, or (2) will become due and payable at their Stated Maturity within one year, or (3) are to be called for redemption within one year under arrangements satisfactory to the Trustee for the giving of notice of redemption by the Trustee in the name, and at the expense, of the Company;</w:t>
      </w:r>
    </w:p>
    <w:p>
      <w:pPr>
        <w:spacing w:after="0" w:line="200" w:lineRule="exact"/>
        <w:rPr>
          <w:sz w:val="20"/>
          <w:szCs w:val="20"/>
          <w:color w:val="auto"/>
        </w:rPr>
      </w:pPr>
    </w:p>
    <w:p>
      <w:pPr>
        <w:spacing w:after="0" w:line="237"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color w:val="auto"/>
        </w:rPr>
        <w:t>and the Company has irrevocably deposited or caused to be deposited with the Trustee as trust funds in trust an amount sufficient for the purpose of paying and discharging the entire indebtedness on such Securities not theretofore delivered to the Trustee for cancellation, for principal and interest to the date of such deposit (in the case of Securities which have become due and payable on or prior to the date of such deposit) or to the Stated Maturity or redemption date, as the case may be;</w:t>
      </w:r>
    </w:p>
    <w:p>
      <w:pPr>
        <w:spacing w:after="0" w:line="197" w:lineRule="exact"/>
        <w:rPr>
          <w:sz w:val="20"/>
          <w:szCs w:val="20"/>
          <w:color w:val="auto"/>
        </w:rPr>
      </w:pPr>
    </w:p>
    <w:p>
      <w:pPr>
        <w:ind w:left="600" w:hanging="241"/>
        <w:spacing w:after="0"/>
        <w:tabs>
          <w:tab w:leader="none" w:pos="6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Company has paid or caused to be paid all other sums payable hereunder by the Company; and</w:t>
      </w:r>
    </w:p>
    <w:p>
      <w:pPr>
        <w:spacing w:after="0" w:line="225" w:lineRule="exact"/>
        <w:rPr>
          <w:rFonts w:ascii="Arial" w:cs="Arial" w:eastAsia="Arial" w:hAnsi="Arial"/>
          <w:sz w:val="18"/>
          <w:szCs w:val="18"/>
          <w:color w:val="auto"/>
        </w:rPr>
      </w:pPr>
    </w:p>
    <w:p>
      <w:pPr>
        <w:ind w:right="200" w:firstLine="359"/>
        <w:spacing w:after="0" w:line="268" w:lineRule="auto"/>
        <w:tabs>
          <w:tab w:leader="none" w:pos="59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Company has delivered to the Trustee an Officers’ Certificate and an Opinion of Counsel, each stating that all conditions precedent herein provided for relating to the satisfaction and discharge of this Indenture have been complied with.</w:t>
      </w:r>
    </w:p>
    <w:p>
      <w:pPr>
        <w:spacing w:after="0" w:line="186" w:lineRule="exact"/>
        <w:rPr>
          <w:sz w:val="20"/>
          <w:szCs w:val="20"/>
          <w:color w:val="auto"/>
        </w:rPr>
      </w:pPr>
    </w:p>
    <w:p>
      <w:pPr>
        <w:ind w:right="140" w:firstLine="351"/>
        <w:spacing w:after="0" w:line="370" w:lineRule="auto"/>
        <w:rPr>
          <w:sz w:val="20"/>
          <w:szCs w:val="20"/>
          <w:color w:val="auto"/>
        </w:rPr>
      </w:pPr>
      <w:r>
        <w:rPr>
          <w:rFonts w:ascii="Arial" w:cs="Arial" w:eastAsia="Arial" w:hAnsi="Arial"/>
          <w:sz w:val="15"/>
          <w:szCs w:val="15"/>
          <w:color w:val="auto"/>
        </w:rPr>
        <w:t xml:space="preserve">Notwithstanding the satisfaction and discharge of this Indenture, the obligations of the Company to the Trustee under Section 7.07 and, if money shall have been deposited with the Trustee pursuant to clause (a) of this Section, the provisions of Sections 2.04 </w:t>
      </w:r>
      <w:r>
        <w:rPr>
          <w:rFonts w:ascii="Arial" w:cs="Arial" w:eastAsia="Arial" w:hAnsi="Arial"/>
          <w:sz w:val="15"/>
          <w:szCs w:val="15"/>
          <w:b w:val="1"/>
          <w:bCs w:val="1"/>
          <w:color w:val="auto"/>
        </w:rPr>
        <w:t>,</w:t>
      </w:r>
      <w:r>
        <w:rPr>
          <w:rFonts w:ascii="Arial" w:cs="Arial" w:eastAsia="Arial" w:hAnsi="Arial"/>
          <w:sz w:val="15"/>
          <w:szCs w:val="15"/>
          <w:color w:val="auto"/>
        </w:rPr>
        <w:t xml:space="preserve"> 2.05 </w:t>
      </w:r>
      <w:r>
        <w:rPr>
          <w:rFonts w:ascii="Arial" w:cs="Arial" w:eastAsia="Arial" w:hAnsi="Arial"/>
          <w:sz w:val="15"/>
          <w:szCs w:val="15"/>
          <w:b w:val="1"/>
          <w:bCs w:val="1"/>
          <w:color w:val="auto"/>
        </w:rPr>
        <w:t>,</w:t>
      </w:r>
      <w:r>
        <w:rPr>
          <w:rFonts w:ascii="Arial" w:cs="Arial" w:eastAsia="Arial" w:hAnsi="Arial"/>
          <w:sz w:val="15"/>
          <w:szCs w:val="15"/>
          <w:color w:val="auto"/>
        </w:rPr>
        <w:t xml:space="preserve"> 2.07, 2.08, 8.01, 8.02 and 8.05 shall survive.</w:t>
      </w:r>
    </w:p>
    <w:p>
      <w:pPr>
        <w:spacing w:after="0" w:line="110"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Section 8.02 Application of Trust Funds; Indemnification.</w:t>
      </w:r>
    </w:p>
    <w:p>
      <w:pPr>
        <w:spacing w:after="0" w:line="231" w:lineRule="exact"/>
        <w:rPr>
          <w:sz w:val="20"/>
          <w:szCs w:val="20"/>
          <w:color w:val="auto"/>
        </w:rPr>
      </w:pPr>
    </w:p>
    <w:p>
      <w:pPr>
        <w:ind w:firstLine="359"/>
        <w:spacing w:after="0" w:line="291" w:lineRule="auto"/>
        <w:tabs>
          <w:tab w:leader="none" w:pos="590" w:val="left"/>
        </w:tabs>
        <w:numPr>
          <w:ilvl w:val="0"/>
          <w:numId w:val="68"/>
        </w:numPr>
        <w:rPr>
          <w:rFonts w:ascii="Arial" w:cs="Arial" w:eastAsia="Arial" w:hAnsi="Arial"/>
          <w:sz w:val="16"/>
          <w:szCs w:val="16"/>
          <w:color w:val="auto"/>
        </w:rPr>
      </w:pPr>
      <w:r>
        <w:rPr>
          <w:rFonts w:ascii="Arial" w:cs="Arial" w:eastAsia="Arial" w:hAnsi="Arial"/>
          <w:sz w:val="16"/>
          <w:szCs w:val="16"/>
          <w:color w:val="auto"/>
        </w:rPr>
        <w:t>Subject to the provisions of Section 8.05, all money deposited with the Trustee pursuant to Section 8.01, all money and U.S. Government Obligations or Foreign Government Obligations deposited with the Trustee pursuant to Section 8.03 or 8.04 and all money received by the Trustee in respect of U.S. Government Obligations or Foreign Government Obligations deposited with the Trustee pursuant to Section 8.03 or 8.04, shall be held in trust and applied by it, in accordance with the provisions of the Securities and this Indenture, to the payment, either directly or through any Paying Agent (other than the Company acting as its own Paying Agent) as the Trustee may determine, to the persons entitled thereto, of the principal and interest for whose payment such money has been deposited with or received by the Trustee or analogous payments as contemplated by Sections 8.03 or 8.04.</w:t>
      </w:r>
    </w:p>
    <w:p>
      <w:pPr>
        <w:spacing w:after="0" w:line="174" w:lineRule="exact"/>
        <w:rPr>
          <w:rFonts w:ascii="Arial" w:cs="Arial" w:eastAsia="Arial" w:hAnsi="Arial"/>
          <w:sz w:val="16"/>
          <w:szCs w:val="16"/>
          <w:color w:val="auto"/>
        </w:rPr>
      </w:pPr>
    </w:p>
    <w:p>
      <w:pPr>
        <w:jc w:val="both"/>
        <w:ind w:right="20" w:firstLine="359"/>
        <w:spacing w:after="0" w:line="259" w:lineRule="auto"/>
        <w:tabs>
          <w:tab w:leader="none" w:pos="597"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Company shall pay and shall indemnify the Trustee against any tax, fee or other charge imposed on or assessed against U.S. Government Obligations or Foreign Government Obligations deposited pursuant to Sections 8.03 or 8.04 or the interest and principal received in respect of such obligations other than any payable by or on behalf of Holders.</w:t>
      </w:r>
    </w:p>
    <w:p>
      <w:pPr>
        <w:spacing w:after="0" w:line="194" w:lineRule="exact"/>
        <w:rPr>
          <w:rFonts w:ascii="Arial" w:cs="Arial" w:eastAsia="Arial" w:hAnsi="Arial"/>
          <w:sz w:val="18"/>
          <w:szCs w:val="18"/>
          <w:color w:val="auto"/>
        </w:rPr>
      </w:pPr>
    </w:p>
    <w:p>
      <w:pPr>
        <w:ind w:right="120" w:firstLine="359"/>
        <w:spacing w:after="0" w:line="294" w:lineRule="auto"/>
        <w:tabs>
          <w:tab w:leader="none" w:pos="587"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Trustee shall deliver or pay to the Company from time to time upon Company Request any U.S. Government Obligations or Foreign Government Obligations or money held by it as provided in Sections 8.03 or 8.04 which, in the opinion of a nationally recognized firm of independent certified public accountants expressed in a written certification thereof delivered to the Trustee, are then in excess of the amount thereof which then would have been required to be deposited for the purpose for which such U.S. Government Obligations or Foreign Government Obligations or money were deposited or received. This provision shall not authorize the sale by the Trustee of any U.S. Government Obligations or Foreign Government Obligations held under this Indenture.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347" w:right="239" w:bottom="1440" w:gutter="0" w:footer="0" w:header="0"/>
        </w:sectPr>
      </w:pPr>
    </w:p>
    <w:bookmarkStart w:id="49" w:name="page50"/>
    <w:bookmarkEnd w:id="49"/>
    <w:p>
      <w:pPr>
        <w:ind w:firstLine="351"/>
        <w:spacing w:after="0" w:line="256" w:lineRule="auto"/>
        <w:rPr>
          <w:sz w:val="20"/>
          <w:szCs w:val="20"/>
          <w:color w:val="auto"/>
        </w:rPr>
      </w:pPr>
      <w:r>
        <w:rPr>
          <w:rFonts w:ascii="Arial" w:cs="Arial" w:eastAsia="Arial" w:hAnsi="Arial"/>
          <w:sz w:val="18"/>
          <w:szCs w:val="18"/>
          <w:b w:val="1"/>
          <w:bCs w:val="1"/>
          <w:color w:val="auto"/>
        </w:rPr>
        <w:t xml:space="preserve">Section 8.03 Legal Defeasance of Securities of any Series. </w:t>
      </w:r>
      <w:r>
        <w:rPr>
          <w:rFonts w:ascii="Arial" w:cs="Arial" w:eastAsia="Arial" w:hAnsi="Arial"/>
          <w:sz w:val="18"/>
          <w:szCs w:val="18"/>
          <w:color w:val="auto"/>
        </w:rPr>
        <w:t>Unless this Section 8.03 is otherwise specified, pursuant to Section 2.02(s), to be inapplicable to</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of any Series, the Company shall be deemed to have paid and discharged the entire indebtedness on all the outstanding Securities of any Series on the 91st day after the date of the deposit referred to in subparagraph (d) hereof, and the provisions of this Indenture, as it relates to such outstanding Securities of such Series, shall no longer be in effect (and the Trustee, at the expense of the Company, shall, at Company Request, execute proper instruments acknowledging the same), except as to:</w:t>
      </w:r>
    </w:p>
    <w:p>
      <w:pPr>
        <w:spacing w:after="0" w:line="199" w:lineRule="exact"/>
        <w:rPr>
          <w:sz w:val="20"/>
          <w:szCs w:val="20"/>
          <w:color w:val="auto"/>
        </w:rPr>
      </w:pPr>
    </w:p>
    <w:p>
      <w:pPr>
        <w:ind w:right="80" w:firstLine="359"/>
        <w:spacing w:after="0" w:line="298" w:lineRule="auto"/>
        <w:tabs>
          <w:tab w:leader="none" w:pos="590"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rights of Holders of Securities of such Series to receive, from the trust funds described in subparagraph (d) hereof, (i) payment of the principal of and each installment of principal of and interest on the outstanding Securities of such Series on the Stated Maturity of such principal or installment of principal or interest, and (ii) the benefit of any mandatory sinking fund payments applicable to the Securities of such Series on the day on which such payments are due and payable in accordance with the terms of this Indenture and the Securities of such Series; and</w:t>
      </w:r>
    </w:p>
    <w:p>
      <w:pPr>
        <w:spacing w:after="0" w:line="166" w:lineRule="exact"/>
        <w:rPr>
          <w:rFonts w:ascii="Arial" w:cs="Arial" w:eastAsia="Arial" w:hAnsi="Arial"/>
          <w:sz w:val="16"/>
          <w:szCs w:val="16"/>
          <w:color w:val="auto"/>
        </w:rPr>
      </w:pPr>
    </w:p>
    <w:p>
      <w:pPr>
        <w:ind w:left="600" w:hanging="241"/>
        <w:spacing w:after="0"/>
        <w:tabs>
          <w:tab w:leader="none" w:pos="6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provisions of Sections 2.04, 2.05, 2.07, 2.08, 8.02, 8.03 and 8.05; and</w:t>
      </w:r>
    </w:p>
    <w:p>
      <w:pPr>
        <w:spacing w:after="0" w:line="225" w:lineRule="exact"/>
        <w:rPr>
          <w:rFonts w:ascii="Arial" w:cs="Arial" w:eastAsia="Arial" w:hAnsi="Arial"/>
          <w:sz w:val="18"/>
          <w:szCs w:val="18"/>
          <w:color w:val="auto"/>
        </w:rPr>
      </w:pPr>
    </w:p>
    <w:p>
      <w:pPr>
        <w:ind w:left="600" w:hanging="241"/>
        <w:spacing w:after="0"/>
        <w:tabs>
          <w:tab w:leader="none" w:pos="6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rights, powers, trust and immunities of the Trustee hereunder;</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provided that, the following conditions shall have been satisfied:</w:t>
      </w:r>
    </w:p>
    <w:p>
      <w:pPr>
        <w:spacing w:after="0" w:line="225" w:lineRule="exact"/>
        <w:rPr>
          <w:sz w:val="20"/>
          <w:szCs w:val="20"/>
          <w:color w:val="auto"/>
        </w:rPr>
      </w:pPr>
    </w:p>
    <w:p>
      <w:pPr>
        <w:ind w:right="120" w:firstLine="359"/>
        <w:spacing w:after="0" w:line="288" w:lineRule="auto"/>
        <w:tabs>
          <w:tab w:leader="none" w:pos="600" w:val="left"/>
        </w:tabs>
        <w:numPr>
          <w:ilvl w:val="0"/>
          <w:numId w:val="70"/>
        </w:numPr>
        <w:rPr>
          <w:rFonts w:ascii="Arial" w:cs="Arial" w:eastAsia="Arial" w:hAnsi="Arial"/>
          <w:sz w:val="16"/>
          <w:szCs w:val="16"/>
          <w:color w:val="auto"/>
        </w:rPr>
      </w:pPr>
      <w:r>
        <w:rPr>
          <w:rFonts w:ascii="Arial" w:cs="Arial" w:eastAsia="Arial" w:hAnsi="Arial"/>
          <w:sz w:val="16"/>
          <w:szCs w:val="16"/>
          <w:color w:val="auto"/>
        </w:rPr>
        <w:t>with reference to this Section 8.03, the Company shall have deposited or caused to be irrevocably deposited (except as provided in Section 8.02(c)) with the Trustee as trust funds in trust for the purpose of making the following payments, specifically pledged as security for and dedicated solely to the benefit of the Holders of such Securities (i) in the case of Securities of such Series denominated in Dollars, cash in Dollars and/or U.S. Government Obligations, or (ii) in the case of Securities of such Series denominated in a Foreign Currency (other than a composite currency), money and/or Foreign Government Obligations, which through the payment of interest and principal in respect thereof in accordance with their terms, will provide (and without reinvestment and assuming no tax liability will be imposed on such Trustee), not later than one day before the due date of any payment of money, an amount in cash, sufficient, in the opinion of a nationally recognized firm of independent public accountants expressed in a written certification thereof delivered to the Trustee, to pay and discharge each installment of principal of and interest, if any, on and any mandatory sinking fund payments in respect of all the Securities of such Series on the dates such installments of interest or principal and such sinking fund payments are due;</w:t>
      </w:r>
    </w:p>
    <w:p>
      <w:pPr>
        <w:spacing w:after="0" w:line="173" w:lineRule="exact"/>
        <w:rPr>
          <w:rFonts w:ascii="Arial" w:cs="Arial" w:eastAsia="Arial" w:hAnsi="Arial"/>
          <w:sz w:val="16"/>
          <w:szCs w:val="16"/>
          <w:color w:val="auto"/>
        </w:rPr>
      </w:pPr>
    </w:p>
    <w:p>
      <w:pPr>
        <w:ind w:right="400" w:firstLine="359"/>
        <w:spacing w:after="0" w:line="268" w:lineRule="auto"/>
        <w:tabs>
          <w:tab w:leader="none" w:pos="590" w:val="left"/>
        </w:tabs>
        <w:numPr>
          <w:ilvl w:val="0"/>
          <w:numId w:val="70"/>
        </w:numPr>
        <w:rPr>
          <w:rFonts w:ascii="Arial" w:cs="Arial" w:eastAsia="Arial" w:hAnsi="Arial"/>
          <w:sz w:val="18"/>
          <w:szCs w:val="18"/>
          <w:color w:val="auto"/>
        </w:rPr>
      </w:pPr>
      <w:r>
        <w:rPr>
          <w:rFonts w:ascii="Arial" w:cs="Arial" w:eastAsia="Arial" w:hAnsi="Arial"/>
          <w:sz w:val="18"/>
          <w:szCs w:val="18"/>
          <w:color w:val="auto"/>
        </w:rPr>
        <w:t>such deposit will not result in a breach or violation of, or constitute a default under, this Indenture or any other agreement or instrument to which the Company is a party or by which it is bound;</w:t>
      </w:r>
    </w:p>
    <w:p>
      <w:pPr>
        <w:spacing w:after="0" w:line="185" w:lineRule="exact"/>
        <w:rPr>
          <w:rFonts w:ascii="Arial" w:cs="Arial" w:eastAsia="Arial" w:hAnsi="Arial"/>
          <w:sz w:val="18"/>
          <w:szCs w:val="18"/>
          <w:color w:val="auto"/>
        </w:rPr>
      </w:pPr>
    </w:p>
    <w:p>
      <w:pPr>
        <w:ind w:firstLine="359"/>
        <w:spacing w:after="0" w:line="268" w:lineRule="auto"/>
        <w:tabs>
          <w:tab w:leader="none" w:pos="570" w:val="left"/>
        </w:tabs>
        <w:numPr>
          <w:ilvl w:val="0"/>
          <w:numId w:val="70"/>
        </w:numPr>
        <w:rPr>
          <w:rFonts w:ascii="Arial" w:cs="Arial" w:eastAsia="Arial" w:hAnsi="Arial"/>
          <w:sz w:val="18"/>
          <w:szCs w:val="18"/>
          <w:color w:val="auto"/>
        </w:rPr>
      </w:pPr>
      <w:r>
        <w:rPr>
          <w:rFonts w:ascii="Arial" w:cs="Arial" w:eastAsia="Arial" w:hAnsi="Arial"/>
          <w:sz w:val="18"/>
          <w:szCs w:val="18"/>
          <w:color w:val="auto"/>
        </w:rPr>
        <w:t>no Default or Event of Default with respect to the Securities of such Series shall have occurred and be continuing on the date of such deposit or during the period ending on the 91st day after such date;</w:t>
      </w:r>
    </w:p>
    <w:p>
      <w:pPr>
        <w:spacing w:after="0" w:line="185" w:lineRule="exact"/>
        <w:rPr>
          <w:rFonts w:ascii="Arial" w:cs="Arial" w:eastAsia="Arial" w:hAnsi="Arial"/>
          <w:sz w:val="18"/>
          <w:szCs w:val="18"/>
          <w:color w:val="auto"/>
        </w:rPr>
      </w:pPr>
    </w:p>
    <w:p>
      <w:pPr>
        <w:ind w:firstLine="359"/>
        <w:spacing w:after="0" w:line="254" w:lineRule="auto"/>
        <w:tabs>
          <w:tab w:leader="none" w:pos="6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Company shall have delivered to the Trustee an Officers’ Certificate and an Opinion of Counsel to the effect that (i) the Company has received from, or there has been published by, the Internal Revenue Service a ruling, or (ii) since the date of execution of this Indenture, there has been a change in the applicable Federal income tax law, in either case to the effect that, and based thereon such Opinion of Counsel shall confirm that, the Holders of the Securities of such Series will not recognize income, gain or loss for Federal income tax purposes as a result of such deposit, defeasance and discharge and will be subject to Federal income tax on the same amounts and in the same manner and at the same times as would have been the case if such deposit, defeasance and discharge had not occurred;</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0" w:name="page51"/>
    <w:bookmarkEnd w:id="50"/>
    <w:p>
      <w:pPr>
        <w:ind w:right="120" w:firstLine="359"/>
        <w:spacing w:after="0" w:line="259" w:lineRule="auto"/>
        <w:tabs>
          <w:tab w:leader="none" w:pos="6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Company shall have delivered to the Trustee an Officers’ Certificate stating that the deposit was not made by the Company with the intent of preferring the Holders of the Securities of such Series over any other creditors of the Company or with the intent of defeating, hindering, delaying or defrauding any other creditors of the Company;</w:t>
      </w:r>
    </w:p>
    <w:p>
      <w:pPr>
        <w:spacing w:after="0" w:line="194" w:lineRule="exact"/>
        <w:rPr>
          <w:rFonts w:ascii="Arial" w:cs="Arial" w:eastAsia="Arial" w:hAnsi="Arial"/>
          <w:sz w:val="18"/>
          <w:szCs w:val="18"/>
          <w:color w:val="auto"/>
        </w:rPr>
      </w:pPr>
    </w:p>
    <w:p>
      <w:pPr>
        <w:ind w:right="200" w:firstLine="359"/>
        <w:spacing w:after="0" w:line="268" w:lineRule="auto"/>
        <w:tabs>
          <w:tab w:leader="none" w:pos="561"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Company shall have delivered to the Trustee an Officers’ Certificate and an Opinion of Counsel, each stating that all conditions precedent provided for relating to the defeasance contemplated by this Section have been complied with; and</w:t>
      </w:r>
    </w:p>
    <w:p>
      <w:pPr>
        <w:spacing w:after="0" w:line="185" w:lineRule="exact"/>
        <w:rPr>
          <w:rFonts w:ascii="Arial" w:cs="Arial" w:eastAsia="Arial" w:hAnsi="Arial"/>
          <w:sz w:val="18"/>
          <w:szCs w:val="18"/>
          <w:color w:val="auto"/>
        </w:rPr>
      </w:pPr>
    </w:p>
    <w:p>
      <w:pPr>
        <w:ind w:firstLine="359"/>
        <w:spacing w:after="0" w:line="268" w:lineRule="auto"/>
        <w:tabs>
          <w:tab w:leader="none" w:pos="561" w:val="left"/>
        </w:tabs>
        <w:numPr>
          <w:ilvl w:val="0"/>
          <w:numId w:val="71"/>
        </w:numPr>
        <w:rPr>
          <w:rFonts w:ascii="Arial" w:cs="Arial" w:eastAsia="Arial" w:hAnsi="Arial"/>
          <w:sz w:val="18"/>
          <w:szCs w:val="18"/>
          <w:color w:val="auto"/>
        </w:rPr>
      </w:pPr>
      <w:r>
        <w:rPr>
          <w:rFonts w:ascii="Arial" w:cs="Arial" w:eastAsia="Arial" w:hAnsi="Arial"/>
          <w:sz w:val="18"/>
          <w:szCs w:val="18"/>
          <w:color w:val="auto"/>
        </w:rPr>
        <w:t>such defeasance shall not result in the trust arising from such deposit constituting an investment company within the meaning of the Investment Company Act of 1940, as amended, unless such trust shall be registered under such Act or exempt from registration thereunder.</w:t>
      </w:r>
    </w:p>
    <w:p>
      <w:pPr>
        <w:spacing w:after="0" w:line="180"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b w:val="1"/>
          <w:bCs w:val="1"/>
          <w:color w:val="auto"/>
        </w:rPr>
        <w:t xml:space="preserve">Section 8.04 Covenant Defeasance. </w:t>
      </w:r>
      <w:r>
        <w:rPr>
          <w:rFonts w:ascii="Arial" w:cs="Arial" w:eastAsia="Arial" w:hAnsi="Arial"/>
          <w:sz w:val="16"/>
          <w:szCs w:val="16"/>
          <w:color w:val="auto"/>
        </w:rPr>
        <w:t>Unless this Section 8.04 is otherwise specified, pursuant to Section 2.02(s), to be inapplicable to Securities of any</w:t>
      </w:r>
      <w:r>
        <w:rPr>
          <w:rFonts w:ascii="Arial" w:cs="Arial" w:eastAsia="Arial" w:hAnsi="Arial"/>
          <w:sz w:val="16"/>
          <w:szCs w:val="16"/>
          <w:b w:val="1"/>
          <w:bCs w:val="1"/>
          <w:color w:val="auto"/>
        </w:rPr>
        <w:t xml:space="preserve"> </w:t>
      </w:r>
      <w:r>
        <w:rPr>
          <w:rFonts w:ascii="Arial" w:cs="Arial" w:eastAsia="Arial" w:hAnsi="Arial"/>
          <w:sz w:val="16"/>
          <w:szCs w:val="16"/>
          <w:color w:val="auto"/>
        </w:rPr>
        <w:t>Series, on and after the 91st day after the date of the deposit referred to in subparagraph (a) hereof, the Company may omit to comply with respect to the Securities of any Series with any term, provision or condition set forth under Sections 4.02, 4.03, and 5.01 as well as any additional covenants specified in a supplemental indenture for such Series of Securities or a Board Resolution or an Officers’ Certificate delivered pursuant to Section 2.02 (and the failure to comply with any such covenants shall not constitute a Default or Event of Default with respect to such Series under Section 6.01) and the occurrence of any event specified in a supplemental indenture for such Series of Securities or a Board Resolution or an Officers’ Certificate delivered pursuant to Section 2.02 and designated as an Event of Default shall not constitute a Default or Event of Default hereunder, with respect to the Securities of such Series, provided that the following conditions shall have been satisfied:</w:t>
      </w:r>
    </w:p>
    <w:p>
      <w:pPr>
        <w:spacing w:after="0" w:line="172" w:lineRule="exact"/>
        <w:rPr>
          <w:sz w:val="20"/>
          <w:szCs w:val="20"/>
          <w:color w:val="auto"/>
        </w:rPr>
      </w:pPr>
    </w:p>
    <w:p>
      <w:pPr>
        <w:ind w:right="140" w:firstLine="359"/>
        <w:spacing w:after="0" w:line="288" w:lineRule="auto"/>
        <w:tabs>
          <w:tab w:leader="none" w:pos="590" w:val="left"/>
        </w:tabs>
        <w:numPr>
          <w:ilvl w:val="0"/>
          <w:numId w:val="72"/>
        </w:numPr>
        <w:rPr>
          <w:rFonts w:ascii="Arial" w:cs="Arial" w:eastAsia="Arial" w:hAnsi="Arial"/>
          <w:sz w:val="16"/>
          <w:szCs w:val="16"/>
          <w:color w:val="auto"/>
        </w:rPr>
      </w:pPr>
      <w:r>
        <w:rPr>
          <w:rFonts w:ascii="Arial" w:cs="Arial" w:eastAsia="Arial" w:hAnsi="Arial"/>
          <w:sz w:val="16"/>
          <w:szCs w:val="16"/>
          <w:color w:val="auto"/>
        </w:rPr>
        <w:t>with reference to this Section 8.04, the Company has deposited or caused to be irrevocably deposited (except as provided in Section 8.02(c)) with the Trustee as trust funds in trust for the purpose of making the following payments specifically pledged as security for, and dedicated solely to, the benefit of the Holders of such Securities (i) in the case of Securities of such Series denominated in Dollars, cash in Dollars and/or U.S. Government Obligations, or (ii) in the case of Securities of such Series denominated in a Foreign Currency (other than a composite currency), money and/or Foreign Government Obligations, which through the payment of interest and principal in respect thereof in accordance with their terms, will provide (and without reinvestment and assuming no tax liability will be imposed on such Trustee), not later than one day before the due date of any payment of money, an amount in cash, sufficient, in the opinion of a nationally recognized firm of independent certified public accountants expressed in a written certification thereof delivered to the Trustee, to pay and discharge each installment of principal of and interest, if any, on and any mandatory sinking fund payments in respect of the Securities of such Series on the dates such installments of interest or principal and such sinking fund payments are due;</w:t>
      </w:r>
    </w:p>
    <w:p>
      <w:pPr>
        <w:spacing w:after="0" w:line="173" w:lineRule="exact"/>
        <w:rPr>
          <w:rFonts w:ascii="Arial" w:cs="Arial" w:eastAsia="Arial" w:hAnsi="Arial"/>
          <w:sz w:val="16"/>
          <w:szCs w:val="16"/>
          <w:color w:val="auto"/>
        </w:rPr>
      </w:pPr>
    </w:p>
    <w:p>
      <w:pPr>
        <w:ind w:right="340" w:firstLine="359"/>
        <w:spacing w:after="0" w:line="268" w:lineRule="auto"/>
        <w:tabs>
          <w:tab w:leader="none" w:pos="6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such deposit will not result in a breach or violation of, or constitute a default under, this Indenture or any other agreement or instrument to which the Company is a party or by which it is bound;</w:t>
      </w:r>
    </w:p>
    <w:p>
      <w:pPr>
        <w:spacing w:after="0" w:line="185" w:lineRule="exact"/>
        <w:rPr>
          <w:rFonts w:ascii="Arial" w:cs="Arial" w:eastAsia="Arial" w:hAnsi="Arial"/>
          <w:sz w:val="18"/>
          <w:szCs w:val="18"/>
          <w:color w:val="auto"/>
        </w:rPr>
      </w:pPr>
    </w:p>
    <w:p>
      <w:pPr>
        <w:ind w:right="200" w:firstLine="359"/>
        <w:spacing w:after="0" w:line="268" w:lineRule="auto"/>
        <w:tabs>
          <w:tab w:leader="none" w:pos="590" w:val="left"/>
        </w:tabs>
        <w:numPr>
          <w:ilvl w:val="0"/>
          <w:numId w:val="72"/>
        </w:numPr>
        <w:rPr>
          <w:rFonts w:ascii="Arial" w:cs="Arial" w:eastAsia="Arial" w:hAnsi="Arial"/>
          <w:sz w:val="18"/>
          <w:szCs w:val="18"/>
          <w:color w:val="auto"/>
        </w:rPr>
      </w:pPr>
      <w:r>
        <w:rPr>
          <w:rFonts w:ascii="Arial" w:cs="Arial" w:eastAsia="Arial" w:hAnsi="Arial"/>
          <w:sz w:val="18"/>
          <w:szCs w:val="18"/>
          <w:color w:val="auto"/>
        </w:rPr>
        <w:t>no Default or Event of Default with respect to the Securities of such Series shall have occurred and be continuing on the date of such deposit or during the period ending on the 91st day after such date;</w:t>
      </w:r>
    </w:p>
    <w:p>
      <w:pPr>
        <w:spacing w:after="0" w:line="185" w:lineRule="exact"/>
        <w:rPr>
          <w:rFonts w:ascii="Arial" w:cs="Arial" w:eastAsia="Arial" w:hAnsi="Arial"/>
          <w:sz w:val="18"/>
          <w:szCs w:val="18"/>
          <w:color w:val="auto"/>
        </w:rPr>
      </w:pPr>
    </w:p>
    <w:p>
      <w:pPr>
        <w:ind w:right="280" w:firstLine="359"/>
        <w:spacing w:after="0" w:line="306" w:lineRule="auto"/>
        <w:tabs>
          <w:tab w:leader="none" w:pos="60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Company shall have delivered to the Trustee an Opinion of Counsel to the effect that Holders of the Securities of such Series will not recognize income, gain or loss for federal income tax purposes as a result of such deposit and covenant defeasance and will be subject to federal income tax on the same amounts, in the same manner and at the same times as would have been the case if such deposit and covenant defeasance had not occurred;</w:t>
      </w:r>
    </w:p>
    <w:p>
      <w:pPr>
        <w:spacing w:after="0" w:line="160" w:lineRule="exact"/>
        <w:rPr>
          <w:rFonts w:ascii="Arial" w:cs="Arial" w:eastAsia="Arial" w:hAnsi="Arial"/>
          <w:sz w:val="16"/>
          <w:szCs w:val="16"/>
          <w:color w:val="auto"/>
        </w:rPr>
      </w:pPr>
    </w:p>
    <w:p>
      <w:pPr>
        <w:ind w:right="360" w:firstLine="359"/>
        <w:spacing w:after="0" w:line="268" w:lineRule="auto"/>
        <w:tabs>
          <w:tab w:leader="none" w:pos="59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Company shall have delivered to the Trustee an Officers’ Certificate and an Opinion of Counsel, each stating that all conditions precedent herein provided for relating to the covenant defeasance contemplated by this Section have been complied with; and</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380"/>
          </w:cols>
          <w:pgMar w:left="240" w:top="347" w:right="279" w:bottom="1440" w:gutter="0" w:footer="0" w:header="0"/>
        </w:sectPr>
      </w:pPr>
    </w:p>
    <w:bookmarkStart w:id="51" w:name="page52"/>
    <w:bookmarkEnd w:id="51"/>
    <w:p>
      <w:pPr>
        <w:ind w:right="720" w:firstLine="359"/>
        <w:spacing w:after="0" w:line="332" w:lineRule="auto"/>
        <w:tabs>
          <w:tab w:leader="none" w:pos="570" w:val="left"/>
        </w:tabs>
        <w:numPr>
          <w:ilvl w:val="0"/>
          <w:numId w:val="73"/>
        </w:numPr>
        <w:rPr>
          <w:rFonts w:ascii="Arial" w:cs="Arial" w:eastAsia="Arial" w:hAnsi="Arial"/>
          <w:sz w:val="16"/>
          <w:szCs w:val="16"/>
          <w:color w:val="auto"/>
        </w:rPr>
      </w:pPr>
      <w:r>
        <w:rPr>
          <w:rFonts w:ascii="Arial" w:cs="Arial" w:eastAsia="Arial" w:hAnsi="Arial"/>
          <w:sz w:val="16"/>
          <w:szCs w:val="16"/>
          <w:color w:val="auto"/>
        </w:rPr>
        <w:t>Such defeasance shall not result in the trust arising from such deposit constituting an investment company within the meaning of the Investment Company Act of 1940, as amended, unless such trust shall be registered under such Act or exempt from registration thereunder.</w:t>
      </w:r>
    </w:p>
    <w:p>
      <w:pPr>
        <w:spacing w:after="0" w:line="133" w:lineRule="exact"/>
        <w:rPr>
          <w:sz w:val="20"/>
          <w:szCs w:val="20"/>
          <w:color w:val="auto"/>
        </w:rPr>
      </w:pPr>
    </w:p>
    <w:p>
      <w:pPr>
        <w:ind w:right="40" w:firstLine="351"/>
        <w:spacing w:after="0" w:line="262" w:lineRule="auto"/>
        <w:rPr>
          <w:sz w:val="20"/>
          <w:szCs w:val="20"/>
          <w:color w:val="auto"/>
        </w:rPr>
      </w:pPr>
      <w:r>
        <w:rPr>
          <w:rFonts w:ascii="Arial" w:cs="Arial" w:eastAsia="Arial" w:hAnsi="Arial"/>
          <w:sz w:val="18"/>
          <w:szCs w:val="18"/>
          <w:b w:val="1"/>
          <w:bCs w:val="1"/>
          <w:color w:val="auto"/>
        </w:rPr>
        <w:t xml:space="preserve">Section 8.05 Repayment to Company. </w:t>
      </w:r>
      <w:r>
        <w:rPr>
          <w:rFonts w:ascii="Arial" w:cs="Arial" w:eastAsia="Arial" w:hAnsi="Arial"/>
          <w:sz w:val="18"/>
          <w:szCs w:val="18"/>
          <w:color w:val="auto"/>
        </w:rPr>
        <w:t>The Trustee and the Paying Agent shall pay to the Company upon written request any money held by them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payment of principal and interest that remains unclaimed for two years, and after such time, Holders entitled to the money must look to the Company for payment as general creditors unless an applicable abandoned property law designates another person.</w:t>
      </w:r>
    </w:p>
    <w:p>
      <w:pPr>
        <w:spacing w:after="0" w:line="186"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b w:val="1"/>
          <w:bCs w:val="1"/>
          <w:color w:val="auto"/>
        </w:rPr>
        <w:t xml:space="preserve">Section 8.06 Reinstatement. </w:t>
      </w:r>
      <w:r>
        <w:rPr>
          <w:rFonts w:ascii="Arial" w:cs="Arial" w:eastAsia="Arial" w:hAnsi="Arial"/>
          <w:sz w:val="16"/>
          <w:szCs w:val="16"/>
          <w:color w:val="auto"/>
        </w:rPr>
        <w:t>If the Trustee or the Paying Agent is unable to apply any money deposited with respect to Securities of any series in</w:t>
      </w:r>
      <w:r>
        <w:rPr>
          <w:rFonts w:ascii="Arial" w:cs="Arial" w:eastAsia="Arial" w:hAnsi="Arial"/>
          <w:sz w:val="16"/>
          <w:szCs w:val="16"/>
          <w:b w:val="1"/>
          <w:bCs w:val="1"/>
          <w:color w:val="auto"/>
        </w:rPr>
        <w:t xml:space="preserve"> </w:t>
      </w:r>
      <w:r>
        <w:rPr>
          <w:rFonts w:ascii="Arial" w:cs="Arial" w:eastAsia="Arial" w:hAnsi="Arial"/>
          <w:sz w:val="16"/>
          <w:szCs w:val="16"/>
          <w:color w:val="auto"/>
        </w:rPr>
        <w:t>accordance with Section 8.01 by reason of any legal proceeding or by reason of any order or judgment of any court or governmental authority enjoining, restraining or otherwise prohibiting such application, the obligations of the Company under this Indenture with respect to the Securities of such series and under the Securities of such series shall be revived and reinstated as though no deposit had occurred pursuant to Section 8.01 until such time as the Trustee or the Paying Agent is permitted to apply all such money in accordance with Section 8.01; provided, however, that if the Company has made any payment of principal of, premium (if any) or interest on any Additional Amounts with respect to any Securities because of the reinstatement of its obligations, the Company shall be subrogated to the rights of the Holders of such Securities to receive such payment from the money held by the Trustee or the Paying Agent.</w:t>
      </w: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ARTICLE IX</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AMENDMENTS AND WAIVERS</w:t>
      </w:r>
    </w:p>
    <w:p>
      <w:pPr>
        <w:spacing w:after="0" w:line="294" w:lineRule="exact"/>
        <w:rPr>
          <w:sz w:val="20"/>
          <w:szCs w:val="20"/>
          <w:color w:val="auto"/>
        </w:rPr>
      </w:pPr>
    </w:p>
    <w:p>
      <w:pPr>
        <w:ind w:right="140" w:firstLine="351"/>
        <w:spacing w:after="0" w:line="275" w:lineRule="auto"/>
        <w:rPr>
          <w:sz w:val="20"/>
          <w:szCs w:val="20"/>
          <w:color w:val="auto"/>
        </w:rPr>
      </w:pPr>
      <w:r>
        <w:rPr>
          <w:rFonts w:ascii="Arial" w:cs="Arial" w:eastAsia="Arial" w:hAnsi="Arial"/>
          <w:sz w:val="18"/>
          <w:szCs w:val="18"/>
          <w:b w:val="1"/>
          <w:bCs w:val="1"/>
          <w:color w:val="auto"/>
        </w:rPr>
        <w:t xml:space="preserve">Section 9.01 Without Consent of Holders. </w:t>
      </w:r>
      <w:r>
        <w:rPr>
          <w:rFonts w:ascii="Arial" w:cs="Arial" w:eastAsia="Arial" w:hAnsi="Arial"/>
          <w:sz w:val="18"/>
          <w:szCs w:val="18"/>
          <w:color w:val="auto"/>
        </w:rPr>
        <w:t>The Company and the Trustee may amend or supplement this Indenture or the Securities of one or more Series</w:t>
      </w:r>
      <w:r>
        <w:rPr>
          <w:rFonts w:ascii="Arial" w:cs="Arial" w:eastAsia="Arial" w:hAnsi="Arial"/>
          <w:sz w:val="18"/>
          <w:szCs w:val="18"/>
          <w:b w:val="1"/>
          <w:bCs w:val="1"/>
          <w:color w:val="auto"/>
        </w:rPr>
        <w:t xml:space="preserve"> </w:t>
      </w:r>
      <w:r>
        <w:rPr>
          <w:rFonts w:ascii="Arial" w:cs="Arial" w:eastAsia="Arial" w:hAnsi="Arial"/>
          <w:sz w:val="18"/>
          <w:szCs w:val="18"/>
          <w:color w:val="auto"/>
        </w:rPr>
        <w:t>without the consent of any Holder:</w:t>
      </w:r>
    </w:p>
    <w:p>
      <w:pPr>
        <w:spacing w:after="0" w:line="180" w:lineRule="exact"/>
        <w:rPr>
          <w:sz w:val="20"/>
          <w:szCs w:val="20"/>
          <w:color w:val="auto"/>
        </w:rPr>
      </w:pPr>
    </w:p>
    <w:p>
      <w:pPr>
        <w:ind w:right="80" w:firstLine="359"/>
        <w:spacing w:after="0" w:line="268" w:lineRule="auto"/>
        <w:tabs>
          <w:tab w:leader="none" w:pos="59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to evidence the succession of another person to the Company under this Indenture and the Securities and the assumption by any such successor person of the obligations of the Company hereunder and under the Securities;</w:t>
      </w:r>
    </w:p>
    <w:p>
      <w:pPr>
        <w:spacing w:after="0" w:line="185" w:lineRule="exact"/>
        <w:rPr>
          <w:rFonts w:ascii="Arial" w:cs="Arial" w:eastAsia="Arial" w:hAnsi="Arial"/>
          <w:sz w:val="18"/>
          <w:szCs w:val="18"/>
          <w:color w:val="auto"/>
        </w:rPr>
      </w:pPr>
    </w:p>
    <w:p>
      <w:pPr>
        <w:ind w:right="40" w:firstLine="359"/>
        <w:spacing w:after="0" w:line="306" w:lineRule="auto"/>
        <w:tabs>
          <w:tab w:leader="none" w:pos="600" w:val="left"/>
        </w:tabs>
        <w:numPr>
          <w:ilvl w:val="0"/>
          <w:numId w:val="74"/>
        </w:numPr>
        <w:rPr>
          <w:rFonts w:ascii="Arial" w:cs="Arial" w:eastAsia="Arial" w:hAnsi="Arial"/>
          <w:sz w:val="16"/>
          <w:szCs w:val="16"/>
          <w:color w:val="auto"/>
        </w:rPr>
      </w:pPr>
      <w:r>
        <w:rPr>
          <w:rFonts w:ascii="Arial" w:cs="Arial" w:eastAsia="Arial" w:hAnsi="Arial"/>
          <w:sz w:val="16"/>
          <w:szCs w:val="16"/>
          <w:color w:val="auto"/>
        </w:rPr>
        <w:t>to add or remove covenants of the Company for the benefit of the Holders of all or any series of Securities (and if such covenants are to be for the benefit of less than all series of Securities, stating that such covenants are expressly being included for the benefit of such series) or to surrender any right or power herein conferred upon the Company provided such action does not adversely affect the interests of the Company;</w:t>
      </w:r>
    </w:p>
    <w:p>
      <w:pPr>
        <w:spacing w:after="0" w:line="160" w:lineRule="exact"/>
        <w:rPr>
          <w:rFonts w:ascii="Arial" w:cs="Arial" w:eastAsia="Arial" w:hAnsi="Arial"/>
          <w:sz w:val="16"/>
          <w:szCs w:val="16"/>
          <w:color w:val="auto"/>
        </w:rPr>
      </w:pPr>
    </w:p>
    <w:p>
      <w:pPr>
        <w:ind w:left="600" w:hanging="241"/>
        <w:spacing w:after="0"/>
        <w:tabs>
          <w:tab w:leader="none" w:pos="6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to add any additional Events of Default;</w:t>
      </w:r>
    </w:p>
    <w:p>
      <w:pPr>
        <w:spacing w:after="0" w:line="225" w:lineRule="exact"/>
        <w:rPr>
          <w:rFonts w:ascii="Arial" w:cs="Arial" w:eastAsia="Arial" w:hAnsi="Arial"/>
          <w:sz w:val="18"/>
          <w:szCs w:val="18"/>
          <w:color w:val="auto"/>
        </w:rPr>
      </w:pPr>
    </w:p>
    <w:p>
      <w:pPr>
        <w:ind w:right="100" w:firstLine="359"/>
        <w:spacing w:after="0" w:line="370" w:lineRule="auto"/>
        <w:tabs>
          <w:tab w:leader="none" w:pos="600" w:val="left"/>
        </w:tabs>
        <w:numPr>
          <w:ilvl w:val="0"/>
          <w:numId w:val="74"/>
        </w:numPr>
        <w:rPr>
          <w:rFonts w:ascii="Arial" w:cs="Arial" w:eastAsia="Arial" w:hAnsi="Arial"/>
          <w:sz w:val="15"/>
          <w:szCs w:val="15"/>
          <w:color w:val="auto"/>
        </w:rPr>
      </w:pPr>
      <w:r>
        <w:rPr>
          <w:rFonts w:ascii="Arial" w:cs="Arial" w:eastAsia="Arial" w:hAnsi="Arial"/>
          <w:sz w:val="15"/>
          <w:szCs w:val="15"/>
          <w:color w:val="auto"/>
        </w:rPr>
        <w:t>to add to or change any of the provisions of this Indenture to such extent as shall be necessary to permit or facilitate the issuance of Securities in bearer form, registrable or not registrable as to principal, and with or without interest coupons, or to permit or facilitate the issuance of Securities in uncertificated form;</w:t>
      </w:r>
    </w:p>
    <w:p>
      <w:pPr>
        <w:spacing w:after="0" w:line="116" w:lineRule="exact"/>
        <w:rPr>
          <w:rFonts w:ascii="Arial" w:cs="Arial" w:eastAsia="Arial" w:hAnsi="Arial"/>
          <w:sz w:val="15"/>
          <w:szCs w:val="15"/>
          <w:color w:val="auto"/>
        </w:rPr>
      </w:pPr>
    </w:p>
    <w:p>
      <w:pPr>
        <w:ind w:right="360" w:firstLine="359"/>
        <w:spacing w:after="0" w:line="256" w:lineRule="auto"/>
        <w:tabs>
          <w:tab w:leader="none" w:pos="59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to add to, change or eliminate any of the provisions of this Indenture in respect of one or more series of Securities, provided that any such addition, change or elimination (A) shall neither (i) apply to any Security of any series created prior to the execution of such supplemental indenture and entitled to the benefit of such provision nor (ii) modify the rights of the Holder of any such Security with respect to such provision or (B) shall become effective only when there is no such Security Outstanding;</w:t>
      </w:r>
    </w:p>
    <w:p>
      <w:pPr>
        <w:spacing w:after="0" w:line="197" w:lineRule="exact"/>
        <w:rPr>
          <w:rFonts w:ascii="Arial" w:cs="Arial" w:eastAsia="Arial" w:hAnsi="Arial"/>
          <w:sz w:val="18"/>
          <w:szCs w:val="18"/>
          <w:color w:val="auto"/>
        </w:rPr>
      </w:pPr>
    </w:p>
    <w:p>
      <w:pPr>
        <w:ind w:left="580" w:hanging="221"/>
        <w:spacing w:after="0"/>
        <w:tabs>
          <w:tab w:leader="none" w:pos="5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to establish the forms or terms of the Securities of any series issued pursuant to the terms hereof;</w:t>
      </w:r>
    </w:p>
    <w:p>
      <w:pPr>
        <w:spacing w:after="0" w:line="225" w:lineRule="exact"/>
        <w:rPr>
          <w:rFonts w:ascii="Arial" w:cs="Arial" w:eastAsia="Arial" w:hAnsi="Arial"/>
          <w:sz w:val="18"/>
          <w:szCs w:val="18"/>
          <w:color w:val="auto"/>
        </w:rPr>
      </w:pPr>
    </w:p>
    <w:p>
      <w:pPr>
        <w:ind w:left="600" w:hanging="241"/>
        <w:spacing w:after="0"/>
        <w:tabs>
          <w:tab w:leader="none" w:pos="6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to cure any ambiguity or correct any inconsistency in this Indenture;</w:t>
      </w:r>
    </w:p>
    <w:p>
      <w:pPr>
        <w:spacing w:after="0" w:line="225" w:lineRule="exact"/>
        <w:rPr>
          <w:rFonts w:ascii="Arial" w:cs="Arial" w:eastAsia="Arial" w:hAnsi="Arial"/>
          <w:sz w:val="18"/>
          <w:szCs w:val="18"/>
          <w:color w:val="auto"/>
        </w:rPr>
      </w:pPr>
    </w:p>
    <w:p>
      <w:pPr>
        <w:jc w:val="both"/>
        <w:ind w:right="260" w:firstLine="359"/>
        <w:spacing w:after="0" w:line="259" w:lineRule="auto"/>
        <w:tabs>
          <w:tab w:leader="none" w:pos="6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347" w:right="239" w:bottom="1440" w:gutter="0" w:footer="0" w:header="0"/>
        </w:sectPr>
      </w:pPr>
    </w:p>
    <w:bookmarkStart w:id="52" w:name="page53"/>
    <w:bookmarkEnd w:id="52"/>
    <w:p>
      <w:pPr>
        <w:ind w:left="560" w:hanging="201"/>
        <w:spacing w:after="0"/>
        <w:tabs>
          <w:tab w:leader="none" w:pos="5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to qualify this Indenture under the Trust Indenture Act;</w:t>
      </w:r>
    </w:p>
    <w:p>
      <w:pPr>
        <w:spacing w:after="0" w:line="225" w:lineRule="exact"/>
        <w:rPr>
          <w:rFonts w:ascii="Arial" w:cs="Arial" w:eastAsia="Arial" w:hAnsi="Arial"/>
          <w:sz w:val="18"/>
          <w:szCs w:val="18"/>
          <w:color w:val="auto"/>
        </w:rPr>
      </w:pPr>
    </w:p>
    <w:p>
      <w:pPr>
        <w:ind w:left="560" w:hanging="201"/>
        <w:spacing w:after="0"/>
        <w:tabs>
          <w:tab w:leader="none" w:pos="5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to provide for uncertificated securities in addition to certificated securities;</w:t>
      </w:r>
    </w:p>
    <w:p>
      <w:pPr>
        <w:spacing w:after="0" w:line="225" w:lineRule="exact"/>
        <w:rPr>
          <w:rFonts w:ascii="Arial" w:cs="Arial" w:eastAsia="Arial" w:hAnsi="Arial"/>
          <w:sz w:val="18"/>
          <w:szCs w:val="18"/>
          <w:color w:val="auto"/>
        </w:rPr>
      </w:pPr>
    </w:p>
    <w:p>
      <w:pPr>
        <w:ind w:right="280" w:firstLine="359"/>
        <w:spacing w:after="0" w:line="332" w:lineRule="auto"/>
        <w:tabs>
          <w:tab w:leader="none" w:pos="600" w:val="left"/>
        </w:tabs>
        <w:numPr>
          <w:ilvl w:val="0"/>
          <w:numId w:val="75"/>
        </w:numPr>
        <w:rPr>
          <w:rFonts w:ascii="Arial" w:cs="Arial" w:eastAsia="Arial" w:hAnsi="Arial"/>
          <w:sz w:val="16"/>
          <w:szCs w:val="16"/>
          <w:color w:val="auto"/>
        </w:rPr>
      </w:pPr>
      <w:r>
        <w:rPr>
          <w:rFonts w:ascii="Arial" w:cs="Arial" w:eastAsia="Arial" w:hAnsi="Arial"/>
          <w:sz w:val="16"/>
          <w:szCs w:val="16"/>
          <w:color w:val="auto"/>
        </w:rPr>
        <w:t>to supplement any provisions of this Indenture necessary to permit or facilitate the defeasance and discharge of any series of Securities, provided that such action does not adversely affect the interests of the Holders of Securities of such series or any other series; and</w:t>
      </w:r>
    </w:p>
    <w:p>
      <w:pPr>
        <w:spacing w:after="0" w:line="139" w:lineRule="exact"/>
        <w:rPr>
          <w:rFonts w:ascii="Arial" w:cs="Arial" w:eastAsia="Arial" w:hAnsi="Arial"/>
          <w:sz w:val="16"/>
          <w:szCs w:val="16"/>
          <w:color w:val="auto"/>
        </w:rPr>
      </w:pPr>
    </w:p>
    <w:p>
      <w:pPr>
        <w:ind w:left="560" w:hanging="201"/>
        <w:spacing w:after="0"/>
        <w:tabs>
          <w:tab w:leader="none" w:pos="560" w:val="left"/>
        </w:tabs>
        <w:numPr>
          <w:ilvl w:val="0"/>
          <w:numId w:val="75"/>
        </w:numPr>
        <w:rPr>
          <w:rFonts w:ascii="Arial" w:cs="Arial" w:eastAsia="Arial" w:hAnsi="Arial"/>
          <w:sz w:val="16"/>
          <w:szCs w:val="16"/>
          <w:color w:val="auto"/>
        </w:rPr>
      </w:pPr>
      <w:r>
        <w:rPr>
          <w:rFonts w:ascii="Arial" w:cs="Arial" w:eastAsia="Arial" w:hAnsi="Arial"/>
          <w:sz w:val="16"/>
          <w:szCs w:val="16"/>
          <w:color w:val="auto"/>
        </w:rPr>
        <w:t>to comply with the rules or regulations of any securities exchange or automated quotation system on which any of the Securities may be listed or traded.</w:t>
      </w:r>
    </w:p>
    <w:p>
      <w:pPr>
        <w:spacing w:after="0" w:line="242"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b w:val="1"/>
          <w:bCs w:val="1"/>
          <w:color w:val="auto"/>
        </w:rPr>
        <w:t xml:space="preserve">Section 9.02 With Consent of Holders. </w:t>
      </w:r>
      <w:r>
        <w:rPr>
          <w:rFonts w:ascii="Arial" w:cs="Arial" w:eastAsia="Arial" w:hAnsi="Arial"/>
          <w:sz w:val="16"/>
          <w:szCs w:val="16"/>
          <w:color w:val="auto"/>
        </w:rPr>
        <w:t>The Company and the Trustee may enter into a supplemental indenture with the written consent of the Holders of at</w:t>
      </w:r>
      <w:r>
        <w:rPr>
          <w:rFonts w:ascii="Arial" w:cs="Arial" w:eastAsia="Arial" w:hAnsi="Arial"/>
          <w:sz w:val="16"/>
          <w:szCs w:val="16"/>
          <w:b w:val="1"/>
          <w:bCs w:val="1"/>
          <w:color w:val="auto"/>
        </w:rPr>
        <w:t xml:space="preserve"> </w:t>
      </w:r>
      <w:r>
        <w:rPr>
          <w:rFonts w:ascii="Arial" w:cs="Arial" w:eastAsia="Arial" w:hAnsi="Arial"/>
          <w:sz w:val="16"/>
          <w:szCs w:val="16"/>
          <w:color w:val="auto"/>
        </w:rPr>
        <w:t>least a majority in principal amount of the outstanding Securities of each Series affected by such supplemental indenture (including consents obtained in connection with a tender offer or exchange offer for the Securities of such Series), for the purpose of adding any provisions to or changing in any manner or eliminating any of the provisions of this Indenture or of any supplemental indenture or of modifying in any manner the rights of the Holders of each such Series. Except as provided in Section 6.13, the Holders of at least a majority in principal amount of the outstanding Securities of any Series by notice to the Trustee (including consents obtained in connection with a tender offer or exchange offer for the Securities of such Series) may waive compliance by the Company with any provision of this Indenture or the Securities with respect to such Series. It shall not be necessary for the consent of the Holders of Securities under this Section 9.02 to approve the particular form of any proposed supplemental indenture or waiver, but it shall be sufficient if such consent approves the substance thereof. After a supplemental indenture or waiver under this section becomes effective, the Company shall mail to the Holders of Securities affected thereby and, if any Bearer Securities affected thereby are outstanding, publish on one occasion in an Authorized Newspaper, a notice briefly describing the supplemental indenture or waiver. Any failure by the Company to mail or publish such notice, or any defect therein, shall not, however, in any way impair or affect the validity of any such supplemental indenture or waiver.</w:t>
      </w:r>
    </w:p>
    <w:p>
      <w:pPr>
        <w:spacing w:after="0" w:line="169"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 xml:space="preserve">Section 9.03 Limitations. </w:t>
      </w:r>
      <w:r>
        <w:rPr>
          <w:rFonts w:ascii="Arial" w:cs="Arial" w:eastAsia="Arial" w:hAnsi="Arial"/>
          <w:sz w:val="18"/>
          <w:szCs w:val="18"/>
          <w:color w:val="auto"/>
        </w:rPr>
        <w:t>Without the consent of each Holder affected, an amendment or waiver may not:</w:t>
      </w:r>
    </w:p>
    <w:p>
      <w:pPr>
        <w:spacing w:after="0" w:line="231" w:lineRule="exact"/>
        <w:rPr>
          <w:sz w:val="20"/>
          <w:szCs w:val="20"/>
          <w:color w:val="auto"/>
        </w:rPr>
      </w:pPr>
    </w:p>
    <w:p>
      <w:pPr>
        <w:ind w:left="600" w:hanging="241"/>
        <w:spacing w:after="0"/>
        <w:tabs>
          <w:tab w:leader="none" w:pos="6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reduce the amount of Securities whose Holders must consent to an amendment, supplement or waiver;</w:t>
      </w:r>
    </w:p>
    <w:p>
      <w:pPr>
        <w:spacing w:after="0" w:line="225" w:lineRule="exact"/>
        <w:rPr>
          <w:rFonts w:ascii="Arial" w:cs="Arial" w:eastAsia="Arial" w:hAnsi="Arial"/>
          <w:sz w:val="18"/>
          <w:szCs w:val="18"/>
          <w:color w:val="auto"/>
        </w:rPr>
      </w:pPr>
    </w:p>
    <w:p>
      <w:pPr>
        <w:ind w:left="600" w:hanging="241"/>
        <w:spacing w:after="0"/>
        <w:tabs>
          <w:tab w:leader="none" w:pos="6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reduce the rate of or extend the time for payment of interest (including default interest) on any Security;</w:t>
      </w:r>
    </w:p>
    <w:p>
      <w:pPr>
        <w:spacing w:after="0" w:line="225" w:lineRule="exact"/>
        <w:rPr>
          <w:rFonts w:ascii="Arial" w:cs="Arial" w:eastAsia="Arial" w:hAnsi="Arial"/>
          <w:sz w:val="18"/>
          <w:szCs w:val="18"/>
          <w:color w:val="auto"/>
        </w:rPr>
      </w:pPr>
    </w:p>
    <w:p>
      <w:pPr>
        <w:ind w:right="260" w:firstLine="359"/>
        <w:spacing w:after="0" w:line="268" w:lineRule="auto"/>
        <w:tabs>
          <w:tab w:leader="none" w:pos="590"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reduce the principal or change the Stated Maturity of any Security or reduce the amount of, or postpone the date fixed for, the payment of any sinking fund or analogous obligation;</w:t>
      </w:r>
    </w:p>
    <w:p>
      <w:pPr>
        <w:spacing w:after="0" w:line="185" w:lineRule="exact"/>
        <w:rPr>
          <w:rFonts w:ascii="Arial" w:cs="Arial" w:eastAsia="Arial" w:hAnsi="Arial"/>
          <w:sz w:val="18"/>
          <w:szCs w:val="18"/>
          <w:color w:val="auto"/>
        </w:rPr>
      </w:pPr>
    </w:p>
    <w:p>
      <w:pPr>
        <w:ind w:left="600" w:hanging="241"/>
        <w:spacing w:after="0"/>
        <w:tabs>
          <w:tab w:leader="none" w:pos="6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reduce the principal amount of Discount Securities payable upon acceleration of the maturity thereof;</w:t>
      </w:r>
    </w:p>
    <w:p>
      <w:pPr>
        <w:spacing w:after="0" w:line="225" w:lineRule="exact"/>
        <w:rPr>
          <w:rFonts w:ascii="Arial" w:cs="Arial" w:eastAsia="Arial" w:hAnsi="Arial"/>
          <w:sz w:val="18"/>
          <w:szCs w:val="18"/>
          <w:color w:val="auto"/>
        </w:rPr>
      </w:pPr>
    </w:p>
    <w:p>
      <w:pPr>
        <w:ind w:right="100" w:firstLine="359"/>
        <w:spacing w:after="0" w:line="259" w:lineRule="auto"/>
        <w:tabs>
          <w:tab w:leader="none" w:pos="590" w:val="left"/>
        </w:tabs>
        <w:numPr>
          <w:ilvl w:val="0"/>
          <w:numId w:val="76"/>
        </w:numPr>
        <w:rPr>
          <w:rFonts w:ascii="Arial" w:cs="Arial" w:eastAsia="Arial" w:hAnsi="Arial"/>
          <w:sz w:val="18"/>
          <w:szCs w:val="18"/>
          <w:color w:val="auto"/>
        </w:rPr>
      </w:pPr>
      <w:r>
        <w:rPr>
          <w:rFonts w:ascii="Arial" w:cs="Arial" w:eastAsia="Arial" w:hAnsi="Arial"/>
          <w:sz w:val="18"/>
          <w:szCs w:val="18"/>
          <w:color w:val="auto"/>
        </w:rPr>
        <w:t>waive a Default or Event of Default in the payment of the principal of or interest, if any, on any Security (except a rescission of acceleration of the Securities of any Series by the Holders of at least a majority in principal amount of the outstanding Securities of such Series and a waiver of the payment default that resulted from such acceleration);</w:t>
      </w:r>
    </w:p>
    <w:p>
      <w:pPr>
        <w:spacing w:after="0" w:line="194" w:lineRule="exact"/>
        <w:rPr>
          <w:rFonts w:ascii="Arial" w:cs="Arial" w:eastAsia="Arial" w:hAnsi="Arial"/>
          <w:sz w:val="18"/>
          <w:szCs w:val="18"/>
          <w:color w:val="auto"/>
        </w:rPr>
      </w:pPr>
    </w:p>
    <w:p>
      <w:pPr>
        <w:ind w:left="580" w:hanging="221"/>
        <w:spacing w:after="0"/>
        <w:tabs>
          <w:tab w:leader="none" w:pos="5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make the principal of or interest, if any, on any Security payable in any currency other than that stated in the Security;</w:t>
      </w:r>
    </w:p>
    <w:p>
      <w:pPr>
        <w:spacing w:after="0" w:line="225" w:lineRule="exact"/>
        <w:rPr>
          <w:rFonts w:ascii="Arial" w:cs="Arial" w:eastAsia="Arial" w:hAnsi="Arial"/>
          <w:sz w:val="18"/>
          <w:szCs w:val="18"/>
          <w:color w:val="auto"/>
        </w:rPr>
      </w:pPr>
    </w:p>
    <w:p>
      <w:pPr>
        <w:ind w:left="600" w:hanging="241"/>
        <w:spacing w:after="0"/>
        <w:tabs>
          <w:tab w:leader="none" w:pos="6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make any change in Sections 6.08, 6.13, or 9.03; or</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380"/>
          </w:cols>
          <w:pgMar w:left="240" w:top="347" w:right="279" w:bottom="1440" w:gutter="0" w:footer="0" w:header="0"/>
        </w:sectPr>
      </w:pPr>
    </w:p>
    <w:bookmarkStart w:id="53" w:name="page54"/>
    <w:bookmarkEnd w:id="53"/>
    <w:p>
      <w:pPr>
        <w:ind w:left="360"/>
        <w:spacing w:after="0"/>
        <w:rPr>
          <w:sz w:val="20"/>
          <w:szCs w:val="20"/>
          <w:color w:val="auto"/>
        </w:rPr>
      </w:pPr>
      <w:r>
        <w:rPr>
          <w:rFonts w:ascii="Arial" w:cs="Arial" w:eastAsia="Arial" w:hAnsi="Arial"/>
          <w:sz w:val="18"/>
          <w:szCs w:val="18"/>
          <w:color w:val="auto"/>
        </w:rPr>
        <w:t>(h) waive a redemption payment with respect to any Security.</w:t>
      </w:r>
    </w:p>
    <w:p>
      <w:pPr>
        <w:spacing w:after="0" w:line="219" w:lineRule="exact"/>
        <w:rPr>
          <w:sz w:val="20"/>
          <w:szCs w:val="20"/>
          <w:color w:val="auto"/>
        </w:rPr>
      </w:pPr>
    </w:p>
    <w:p>
      <w:pPr>
        <w:ind w:right="460" w:firstLine="351"/>
        <w:spacing w:after="0" w:line="275" w:lineRule="auto"/>
        <w:rPr>
          <w:sz w:val="20"/>
          <w:szCs w:val="20"/>
          <w:color w:val="auto"/>
        </w:rPr>
      </w:pPr>
      <w:r>
        <w:rPr>
          <w:rFonts w:ascii="Arial" w:cs="Arial" w:eastAsia="Arial" w:hAnsi="Arial"/>
          <w:sz w:val="18"/>
          <w:szCs w:val="18"/>
          <w:b w:val="1"/>
          <w:bCs w:val="1"/>
          <w:color w:val="auto"/>
        </w:rPr>
        <w:t xml:space="preserve">Section 9.04 Compliance with Trust Indenture Act. </w:t>
      </w:r>
      <w:r>
        <w:rPr>
          <w:rFonts w:ascii="Arial" w:cs="Arial" w:eastAsia="Arial" w:hAnsi="Arial"/>
          <w:sz w:val="18"/>
          <w:szCs w:val="18"/>
          <w:color w:val="auto"/>
        </w:rPr>
        <w:t>Every amendment to this Indenture or the Securities of one or more Series shall be set forth in a</w:t>
      </w:r>
      <w:r>
        <w:rPr>
          <w:rFonts w:ascii="Arial" w:cs="Arial" w:eastAsia="Arial" w:hAnsi="Arial"/>
          <w:sz w:val="18"/>
          <w:szCs w:val="18"/>
          <w:b w:val="1"/>
          <w:bCs w:val="1"/>
          <w:color w:val="auto"/>
        </w:rPr>
        <w:t xml:space="preserve"> </w:t>
      </w:r>
      <w:r>
        <w:rPr>
          <w:rFonts w:ascii="Arial" w:cs="Arial" w:eastAsia="Arial" w:hAnsi="Arial"/>
          <w:sz w:val="18"/>
          <w:szCs w:val="18"/>
          <w:color w:val="auto"/>
        </w:rPr>
        <w:t>supplemental indenture hereto that complies with the TIA as then in effect.</w:t>
      </w:r>
    </w:p>
    <w:p>
      <w:pPr>
        <w:spacing w:after="0" w:line="174"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b w:val="1"/>
          <w:bCs w:val="1"/>
          <w:color w:val="auto"/>
        </w:rPr>
        <w:t xml:space="preserve">Section 9.05 Revocation and Effect of Consents. </w:t>
      </w:r>
      <w:r>
        <w:rPr>
          <w:rFonts w:ascii="Arial" w:cs="Arial" w:eastAsia="Arial" w:hAnsi="Arial"/>
          <w:sz w:val="16"/>
          <w:szCs w:val="16"/>
          <w:color w:val="auto"/>
        </w:rPr>
        <w:t>Until an amendment is set forth in a supplemental indenture or a waiver becomes effective, a consent to it</w:t>
      </w:r>
      <w:r>
        <w:rPr>
          <w:rFonts w:ascii="Arial" w:cs="Arial" w:eastAsia="Arial" w:hAnsi="Arial"/>
          <w:sz w:val="16"/>
          <w:szCs w:val="16"/>
          <w:b w:val="1"/>
          <w:bCs w:val="1"/>
          <w:color w:val="auto"/>
        </w:rPr>
        <w:t xml:space="preserve"> </w:t>
      </w:r>
      <w:r>
        <w:rPr>
          <w:rFonts w:ascii="Arial" w:cs="Arial" w:eastAsia="Arial" w:hAnsi="Arial"/>
          <w:sz w:val="16"/>
          <w:szCs w:val="16"/>
          <w:color w:val="auto"/>
        </w:rPr>
        <w:t>by a Holder of a Security is a continuing consent by the Holder and every subsequent Holder of a Security or portion of a Security that evidences the same debt as the consenting Holder’s Security, even if notation of the consent is not made on any Security. However, any such Holder or subsequent Holder may revoke the consent as to his Security or portion of a Security if the Trustee receives the notice of revocation before the date of the supplemental indenture or the date the waiver becomes effective. Any amendment or waiver once effective shall bind every Holder of each Series affected by such amendment or waiver unless it is of the type described in any of clauses (a) through (h) of Section 9.03. In that case, the amendment or waiver shall bind each Holder of a Security who has consented to it and every subsequent Holder of a Security or portion of a Security that evidences the same debt as the consenting Holder’s Security.</w:t>
      </w:r>
    </w:p>
    <w:p>
      <w:pPr>
        <w:spacing w:after="0" w:line="167" w:lineRule="exact"/>
        <w:rPr>
          <w:sz w:val="20"/>
          <w:szCs w:val="20"/>
          <w:color w:val="auto"/>
        </w:rPr>
      </w:pPr>
    </w:p>
    <w:p>
      <w:pPr>
        <w:jc w:val="both"/>
        <w:ind w:firstLine="351"/>
        <w:spacing w:after="0" w:line="262" w:lineRule="auto"/>
        <w:rPr>
          <w:sz w:val="20"/>
          <w:szCs w:val="20"/>
          <w:color w:val="auto"/>
        </w:rPr>
      </w:pPr>
      <w:r>
        <w:rPr>
          <w:rFonts w:ascii="Arial" w:cs="Arial" w:eastAsia="Arial" w:hAnsi="Arial"/>
          <w:sz w:val="18"/>
          <w:szCs w:val="18"/>
          <w:b w:val="1"/>
          <w:bCs w:val="1"/>
          <w:color w:val="auto"/>
        </w:rPr>
        <w:t xml:space="preserve">Section 9.06 Notation on or Exchange of Securities. </w:t>
      </w:r>
      <w:r>
        <w:rPr>
          <w:rFonts w:ascii="Arial" w:cs="Arial" w:eastAsia="Arial" w:hAnsi="Arial"/>
          <w:sz w:val="18"/>
          <w:szCs w:val="18"/>
          <w:color w:val="auto"/>
        </w:rPr>
        <w:t>The Trustee may place an appropriate notation about an amendment or waiver on any Security of any</w:t>
      </w:r>
      <w:r>
        <w:rPr>
          <w:rFonts w:ascii="Arial" w:cs="Arial" w:eastAsia="Arial" w:hAnsi="Arial"/>
          <w:sz w:val="18"/>
          <w:szCs w:val="18"/>
          <w:b w:val="1"/>
          <w:bCs w:val="1"/>
          <w:color w:val="auto"/>
        </w:rPr>
        <w:t xml:space="preserve"> </w:t>
      </w:r>
      <w:r>
        <w:rPr>
          <w:rFonts w:ascii="Arial" w:cs="Arial" w:eastAsia="Arial" w:hAnsi="Arial"/>
          <w:sz w:val="18"/>
          <w:szCs w:val="18"/>
          <w:color w:val="auto"/>
        </w:rPr>
        <w:t>Series thereafter authenticated. The Company in exchange for Securities of that Series may issue and the Trustee shall authenticate upon request new Securities of that Series that reflect the amendment or waiver.</w:t>
      </w:r>
    </w:p>
    <w:p>
      <w:pPr>
        <w:spacing w:after="0" w:line="186"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b w:val="1"/>
          <w:bCs w:val="1"/>
          <w:color w:val="auto"/>
        </w:rPr>
        <w:t xml:space="preserve">Section 9.07 Trustee Protected. </w:t>
      </w:r>
      <w:r>
        <w:rPr>
          <w:rFonts w:ascii="Arial" w:cs="Arial" w:eastAsia="Arial" w:hAnsi="Arial"/>
          <w:sz w:val="18"/>
          <w:szCs w:val="18"/>
          <w:color w:val="auto"/>
        </w:rPr>
        <w:t>In executing, or accepting the additional trusts created by, any supplemental indenture permitted by this Article or the</w:t>
      </w:r>
      <w:r>
        <w:rPr>
          <w:rFonts w:ascii="Arial" w:cs="Arial" w:eastAsia="Arial" w:hAnsi="Arial"/>
          <w:sz w:val="18"/>
          <w:szCs w:val="18"/>
          <w:b w:val="1"/>
          <w:bCs w:val="1"/>
          <w:color w:val="auto"/>
        </w:rPr>
        <w:t xml:space="preserve"> </w:t>
      </w:r>
      <w:r>
        <w:rPr>
          <w:rFonts w:ascii="Arial" w:cs="Arial" w:eastAsia="Arial" w:hAnsi="Arial"/>
          <w:sz w:val="18"/>
          <w:szCs w:val="18"/>
          <w:color w:val="auto"/>
        </w:rPr>
        <w:t>modifications thereby of the trusts created by this Indenture, the Trustee shall be entitled to receive, in addition to the documents required by Section 10.04, and (subject to Section 7.01) shall be fully protected in relying upon, an Opinion of Counsel stating that the execution of such supplemental indenture is authorized or permitted by this Indenture. The Trustee shall sign all supplemental indentures, except that the Trustee need not sign any supplemental indenture that adversely affects its rights.</w:t>
      </w:r>
    </w:p>
    <w:p>
      <w:pPr>
        <w:spacing w:after="0" w:line="260"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ARTICLE X</w:t>
      </w:r>
    </w:p>
    <w:p>
      <w:pPr>
        <w:spacing w:after="0" w:line="21"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MISCELLANEOUS</w:t>
      </w:r>
    </w:p>
    <w:p>
      <w:pPr>
        <w:spacing w:after="0" w:line="294" w:lineRule="exact"/>
        <w:rPr>
          <w:sz w:val="20"/>
          <w:szCs w:val="20"/>
          <w:color w:val="auto"/>
        </w:rPr>
      </w:pPr>
    </w:p>
    <w:p>
      <w:pPr>
        <w:ind w:right="340" w:firstLine="351"/>
        <w:spacing w:after="0" w:line="275" w:lineRule="auto"/>
        <w:rPr>
          <w:sz w:val="20"/>
          <w:szCs w:val="20"/>
          <w:color w:val="auto"/>
        </w:rPr>
      </w:pPr>
      <w:r>
        <w:rPr>
          <w:rFonts w:ascii="Arial" w:cs="Arial" w:eastAsia="Arial" w:hAnsi="Arial"/>
          <w:sz w:val="18"/>
          <w:szCs w:val="18"/>
          <w:b w:val="1"/>
          <w:bCs w:val="1"/>
          <w:color w:val="auto"/>
        </w:rPr>
        <w:t xml:space="preserve">Section 10.01 Trust Indenture Act Controls. </w:t>
      </w:r>
      <w:r>
        <w:rPr>
          <w:rFonts w:ascii="Arial" w:cs="Arial" w:eastAsia="Arial" w:hAnsi="Arial"/>
          <w:sz w:val="18"/>
          <w:szCs w:val="18"/>
          <w:color w:val="auto"/>
        </w:rPr>
        <w:t>If any provision of this Indenture limits, qualifies or conflicts with another provision which is required or</w:t>
      </w:r>
      <w:r>
        <w:rPr>
          <w:rFonts w:ascii="Arial" w:cs="Arial" w:eastAsia="Arial" w:hAnsi="Arial"/>
          <w:sz w:val="18"/>
          <w:szCs w:val="18"/>
          <w:b w:val="1"/>
          <w:bCs w:val="1"/>
          <w:color w:val="auto"/>
        </w:rPr>
        <w:t xml:space="preserve"> </w:t>
      </w:r>
      <w:r>
        <w:rPr>
          <w:rFonts w:ascii="Arial" w:cs="Arial" w:eastAsia="Arial" w:hAnsi="Arial"/>
          <w:sz w:val="18"/>
          <w:szCs w:val="18"/>
          <w:color w:val="auto"/>
        </w:rPr>
        <w:t>deemed to be included in this Indenture by the TIA, such required or deemed provision shall control.</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Section 10.02 Notices.</w:t>
      </w:r>
    </w:p>
    <w:p>
      <w:pPr>
        <w:spacing w:after="0" w:line="231" w:lineRule="exact"/>
        <w:rPr>
          <w:sz w:val="20"/>
          <w:szCs w:val="20"/>
          <w:color w:val="auto"/>
        </w:rPr>
      </w:pPr>
    </w:p>
    <w:p>
      <w:pPr>
        <w:ind w:right="200" w:firstLine="359"/>
        <w:spacing w:after="0" w:line="268" w:lineRule="auto"/>
        <w:tabs>
          <w:tab w:leader="none" w:pos="5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Any notice or communication by the Company or the Trustee to the other, or by a Holder to the Company or the Trustee, is duly given if in writing and delivered in person or mailed by first-class mail or sent by telecopier transmission addressed as follows:</w:t>
      </w:r>
    </w:p>
    <w:p>
      <w:pPr>
        <w:spacing w:after="0" w:line="18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if to the Company:</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Tower Semiconductor Ltd.</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P.O. Box 619</w:t>
      </w:r>
    </w:p>
    <w:p>
      <w:pPr>
        <w:spacing w:after="0" w:line="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Migdal Haemek, Israel, 23105</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Attention: President</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Telephone: 972-4-650-6611</w:t>
      </w:r>
    </w:p>
    <w:p>
      <w:pPr>
        <w:spacing w:after="0" w:line="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Facsimile:</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00"/>
          </w:cols>
          <w:pgMar w:left="240" w:top="347" w:right="259" w:bottom="1440" w:gutter="0" w:footer="0" w:header="0"/>
        </w:sectPr>
      </w:pPr>
    </w:p>
    <w:bookmarkStart w:id="54" w:name="page55"/>
    <w:bookmarkEnd w:id="54"/>
    <w:p>
      <w:pPr>
        <w:ind w:left="360"/>
        <w:spacing w:after="0"/>
        <w:rPr>
          <w:sz w:val="20"/>
          <w:szCs w:val="20"/>
          <w:color w:val="auto"/>
        </w:rPr>
      </w:pPr>
      <w:r>
        <w:rPr>
          <w:rFonts w:ascii="Arial" w:cs="Arial" w:eastAsia="Arial" w:hAnsi="Arial"/>
          <w:sz w:val="18"/>
          <w:szCs w:val="18"/>
          <w:color w:val="auto"/>
        </w:rPr>
        <w:t>if to the Trustee:</w:t>
      </w:r>
    </w:p>
    <w:p>
      <w:pPr>
        <w:spacing w:after="0" w:line="225" w:lineRule="exact"/>
        <w:rPr>
          <w:sz w:val="20"/>
          <w:szCs w:val="20"/>
          <w:color w:val="auto"/>
        </w:rPr>
      </w:pPr>
    </w:p>
    <w:p>
      <w:pPr>
        <w:ind w:left="900" w:hanging="541"/>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sz w:val="20"/>
          <w:szCs w:val="20"/>
          <w:color w:val="auto"/>
        </w:rPr>
      </w:pPr>
    </w:p>
    <w:p>
      <w:pPr>
        <w:ind w:firstLine="359"/>
        <w:spacing w:after="0" w:line="254" w:lineRule="auto"/>
        <w:tabs>
          <w:tab w:leader="none" w:pos="597"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Company or the Trustee by notice to the other may designate additional or different addresses for subsequent notices or communications. Any notice or communication to a Holder shall be mailed by first-class mail to his address shown on the register kept by the Registrar and, if any Bearer Securities are outstanding, published in an Authorized Newspaper. Failure to mail a notice or communication to a Holder of any Series or any defect in it shall not affect its sufficiency with respect to other Holders of that or any other Series. If a notice or communication is mailed or published in the manner provided above, within the time prescribed, it is duly given, whether or not the Holder receives it. If the Company mails a notice or communication to Holders, it shall mail a copy to the Trustee and each Agent at the same time.</w:t>
      </w:r>
    </w:p>
    <w:p>
      <w:pPr>
        <w:spacing w:after="0" w:line="198" w:lineRule="exact"/>
        <w:rPr>
          <w:rFonts w:ascii="Arial" w:cs="Arial" w:eastAsia="Arial" w:hAnsi="Arial"/>
          <w:sz w:val="18"/>
          <w:szCs w:val="18"/>
          <w:color w:val="auto"/>
        </w:rPr>
      </w:pPr>
    </w:p>
    <w:p>
      <w:pPr>
        <w:ind w:right="20" w:firstLine="359"/>
        <w:spacing w:after="0" w:line="306" w:lineRule="auto"/>
        <w:tabs>
          <w:tab w:leader="none" w:pos="580" w:val="left"/>
        </w:tabs>
        <w:numPr>
          <w:ilvl w:val="0"/>
          <w:numId w:val="79"/>
        </w:numPr>
        <w:rPr>
          <w:rFonts w:ascii="Arial" w:cs="Arial" w:eastAsia="Arial" w:hAnsi="Arial"/>
          <w:sz w:val="16"/>
          <w:szCs w:val="16"/>
          <w:color w:val="auto"/>
        </w:rPr>
      </w:pPr>
      <w:r>
        <w:rPr>
          <w:rFonts w:ascii="Arial" w:cs="Arial" w:eastAsia="Arial" w:hAnsi="Arial"/>
          <w:sz w:val="16"/>
          <w:szCs w:val="16"/>
          <w:color w:val="auto"/>
        </w:rPr>
        <w:t>Any notice or demand that by any provision of this Indenture is required or permitted to be given or served by the Company may, at the Company’s written request received by the Trustee not fewer than five (5) Business Days prior (or such shorter period of time as may be acceptable to the Trustee) to the date on which such notice must be given or served, be given or served by the Trustee in the name of and at the expense of the Company.</w:t>
      </w:r>
    </w:p>
    <w:p>
      <w:pPr>
        <w:spacing w:after="0" w:line="155" w:lineRule="exact"/>
        <w:rPr>
          <w:sz w:val="20"/>
          <w:szCs w:val="20"/>
          <w:color w:val="auto"/>
        </w:rPr>
      </w:pPr>
    </w:p>
    <w:p>
      <w:pPr>
        <w:ind w:right="120" w:firstLine="351"/>
        <w:spacing w:after="0" w:line="262" w:lineRule="auto"/>
        <w:rPr>
          <w:sz w:val="20"/>
          <w:szCs w:val="20"/>
          <w:color w:val="auto"/>
        </w:rPr>
      </w:pPr>
      <w:r>
        <w:rPr>
          <w:rFonts w:ascii="Arial" w:cs="Arial" w:eastAsia="Arial" w:hAnsi="Arial"/>
          <w:sz w:val="18"/>
          <w:szCs w:val="18"/>
          <w:b w:val="1"/>
          <w:bCs w:val="1"/>
          <w:color w:val="auto"/>
        </w:rPr>
        <w:t xml:space="preserve">Section 10.03 Communication by Holders with Other Holders. </w:t>
      </w:r>
      <w:r>
        <w:rPr>
          <w:rFonts w:ascii="Arial" w:cs="Arial" w:eastAsia="Arial" w:hAnsi="Arial"/>
          <w:sz w:val="18"/>
          <w:szCs w:val="18"/>
          <w:color w:val="auto"/>
        </w:rPr>
        <w:t>Holders of any Series may communicate pursuant to TIA Section 312(b) with other</w:t>
      </w:r>
      <w:r>
        <w:rPr>
          <w:rFonts w:ascii="Arial" w:cs="Arial" w:eastAsia="Arial" w:hAnsi="Arial"/>
          <w:sz w:val="18"/>
          <w:szCs w:val="18"/>
          <w:b w:val="1"/>
          <w:bCs w:val="1"/>
          <w:color w:val="auto"/>
        </w:rPr>
        <w:t xml:space="preserve"> </w:t>
      </w:r>
      <w:r>
        <w:rPr>
          <w:rFonts w:ascii="Arial" w:cs="Arial" w:eastAsia="Arial" w:hAnsi="Arial"/>
          <w:sz w:val="18"/>
          <w:szCs w:val="18"/>
          <w:color w:val="auto"/>
        </w:rPr>
        <w:t>Holders of that Series or any other Series with respect to their rights under this Indenture or the Securities of that Series or all Series. The Company, the Trustee, the Registrar and anyone else shall have the protection of TIA Section 312(c).</w:t>
      </w:r>
    </w:p>
    <w:p>
      <w:pPr>
        <w:spacing w:after="0" w:line="186" w:lineRule="exact"/>
        <w:rPr>
          <w:sz w:val="20"/>
          <w:szCs w:val="20"/>
          <w:color w:val="auto"/>
        </w:rPr>
      </w:pPr>
    </w:p>
    <w:p>
      <w:pPr>
        <w:ind w:right="320" w:firstLine="351"/>
        <w:spacing w:after="0" w:line="275" w:lineRule="auto"/>
        <w:rPr>
          <w:sz w:val="20"/>
          <w:szCs w:val="20"/>
          <w:color w:val="auto"/>
        </w:rPr>
      </w:pPr>
      <w:r>
        <w:rPr>
          <w:rFonts w:ascii="Arial" w:cs="Arial" w:eastAsia="Arial" w:hAnsi="Arial"/>
          <w:sz w:val="18"/>
          <w:szCs w:val="18"/>
          <w:b w:val="1"/>
          <w:bCs w:val="1"/>
          <w:color w:val="auto"/>
        </w:rPr>
        <w:t xml:space="preserve">Section 10.04 Certificate and Opinion as to Conditions Precedent. </w:t>
      </w:r>
      <w:r>
        <w:rPr>
          <w:rFonts w:ascii="Arial" w:cs="Arial" w:eastAsia="Arial" w:hAnsi="Arial"/>
          <w:sz w:val="18"/>
          <w:szCs w:val="18"/>
          <w:color w:val="auto"/>
        </w:rPr>
        <w:t>Upon any request or application by the Company to the Trustee to take any action</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this Indenture, the Company shall furnish to the Trustee:</w:t>
      </w:r>
    </w:p>
    <w:p>
      <w:pPr>
        <w:spacing w:after="0" w:line="180" w:lineRule="exact"/>
        <w:rPr>
          <w:sz w:val="20"/>
          <w:szCs w:val="20"/>
          <w:color w:val="auto"/>
        </w:rPr>
      </w:pPr>
    </w:p>
    <w:p>
      <w:pPr>
        <w:ind w:right="180" w:firstLine="359"/>
        <w:spacing w:after="0" w:line="268" w:lineRule="auto"/>
        <w:tabs>
          <w:tab w:leader="none" w:pos="59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 Officers’ Certificate stating that, in the opinion of the signers, all conditions precedent, if any, provided for in this Indenture relating to the proposed action have been complied with; and</w:t>
      </w:r>
    </w:p>
    <w:p>
      <w:pPr>
        <w:spacing w:after="0" w:line="185" w:lineRule="exact"/>
        <w:rPr>
          <w:rFonts w:ascii="Arial" w:cs="Arial" w:eastAsia="Arial" w:hAnsi="Arial"/>
          <w:sz w:val="18"/>
          <w:szCs w:val="18"/>
          <w:color w:val="auto"/>
        </w:rPr>
      </w:pPr>
    </w:p>
    <w:p>
      <w:pPr>
        <w:ind w:left="600" w:hanging="241"/>
        <w:spacing w:after="0"/>
        <w:tabs>
          <w:tab w:leader="none" w:pos="6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 Opinion of Counsel stating that, in the opinion of such counsel, all such conditions precedent have been complied with.</w:t>
      </w:r>
    </w:p>
    <w:p>
      <w:pPr>
        <w:spacing w:after="0" w:line="219" w:lineRule="exact"/>
        <w:rPr>
          <w:sz w:val="20"/>
          <w:szCs w:val="20"/>
          <w:color w:val="auto"/>
        </w:rPr>
      </w:pPr>
    </w:p>
    <w:p>
      <w:pPr>
        <w:ind w:right="220" w:firstLine="351"/>
        <w:spacing w:after="0" w:line="262" w:lineRule="auto"/>
        <w:rPr>
          <w:sz w:val="20"/>
          <w:szCs w:val="20"/>
          <w:color w:val="auto"/>
        </w:rPr>
      </w:pPr>
      <w:r>
        <w:rPr>
          <w:rFonts w:ascii="Arial" w:cs="Arial" w:eastAsia="Arial" w:hAnsi="Arial"/>
          <w:sz w:val="18"/>
          <w:szCs w:val="18"/>
          <w:b w:val="1"/>
          <w:bCs w:val="1"/>
          <w:color w:val="auto"/>
        </w:rPr>
        <w:t xml:space="preserve">Section 10.05 Statements Required in Certificate or Opinion. </w:t>
      </w:r>
      <w:r>
        <w:rPr>
          <w:rFonts w:ascii="Arial" w:cs="Arial" w:eastAsia="Arial" w:hAnsi="Arial"/>
          <w:sz w:val="18"/>
          <w:szCs w:val="18"/>
          <w:color w:val="auto"/>
        </w:rPr>
        <w:t>Each certificate or opinion with respect to compliance with a condition or covenant</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for in this Indenture (other than a certificate provided pursuant to TIA Section 314(a)(4)) shall comply with the provisions of TIA Section 314(e) and shall include:</w:t>
      </w:r>
    </w:p>
    <w:p>
      <w:pPr>
        <w:spacing w:after="0" w:line="192" w:lineRule="exact"/>
        <w:rPr>
          <w:sz w:val="20"/>
          <w:szCs w:val="20"/>
          <w:color w:val="auto"/>
        </w:rPr>
      </w:pPr>
    </w:p>
    <w:p>
      <w:pPr>
        <w:ind w:left="600" w:hanging="241"/>
        <w:spacing w:after="0"/>
        <w:tabs>
          <w:tab w:leader="none" w:pos="6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 statement that the person making such certificate or opinion has read such covenant or condition;</w:t>
      </w:r>
    </w:p>
    <w:p>
      <w:pPr>
        <w:spacing w:after="0" w:line="225" w:lineRule="exact"/>
        <w:rPr>
          <w:rFonts w:ascii="Arial" w:cs="Arial" w:eastAsia="Arial" w:hAnsi="Arial"/>
          <w:sz w:val="18"/>
          <w:szCs w:val="18"/>
          <w:color w:val="auto"/>
        </w:rPr>
      </w:pPr>
    </w:p>
    <w:p>
      <w:pPr>
        <w:ind w:right="280" w:firstLine="359"/>
        <w:spacing w:after="0" w:line="268" w:lineRule="auto"/>
        <w:tabs>
          <w:tab w:leader="none" w:pos="6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 brief statement as to the nature and scope of the examination or investigation upon which the statements or opinions contained in such certificate or opinion are based;</w:t>
      </w:r>
    </w:p>
    <w:p>
      <w:pPr>
        <w:spacing w:after="0" w:line="185" w:lineRule="exact"/>
        <w:rPr>
          <w:rFonts w:ascii="Arial" w:cs="Arial" w:eastAsia="Arial" w:hAnsi="Arial"/>
          <w:sz w:val="18"/>
          <w:szCs w:val="18"/>
          <w:color w:val="auto"/>
        </w:rPr>
      </w:pPr>
    </w:p>
    <w:p>
      <w:pPr>
        <w:ind w:right="460" w:firstLine="359"/>
        <w:spacing w:after="0" w:line="268" w:lineRule="auto"/>
        <w:tabs>
          <w:tab w:leader="none" w:pos="59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 statement that, in the opinion of such person, he has made such examination or investigation as is necessary to enable him to express an informed opinion as to whether or not such covenant or condition has been complied with; and</w:t>
      </w:r>
    </w:p>
    <w:p>
      <w:pPr>
        <w:spacing w:after="0" w:line="185" w:lineRule="exact"/>
        <w:rPr>
          <w:rFonts w:ascii="Arial" w:cs="Arial" w:eastAsia="Arial" w:hAnsi="Arial"/>
          <w:sz w:val="18"/>
          <w:szCs w:val="18"/>
          <w:color w:val="auto"/>
        </w:rPr>
      </w:pPr>
    </w:p>
    <w:p>
      <w:pPr>
        <w:ind w:left="600" w:hanging="241"/>
        <w:spacing w:after="0"/>
        <w:tabs>
          <w:tab w:leader="none" w:pos="6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 statement as to whether or not, in the opinion of such person, such condition or covenant has been complied with.</w:t>
      </w:r>
    </w:p>
    <w:p>
      <w:pPr>
        <w:spacing w:after="0" w:line="219" w:lineRule="exact"/>
        <w:rPr>
          <w:sz w:val="20"/>
          <w:szCs w:val="20"/>
          <w:color w:val="auto"/>
        </w:rPr>
      </w:pPr>
    </w:p>
    <w:p>
      <w:pPr>
        <w:ind w:right="380" w:firstLine="351"/>
        <w:spacing w:after="0" w:line="275" w:lineRule="auto"/>
        <w:rPr>
          <w:sz w:val="20"/>
          <w:szCs w:val="20"/>
          <w:color w:val="auto"/>
        </w:rPr>
      </w:pPr>
      <w:r>
        <w:rPr>
          <w:rFonts w:ascii="Arial" w:cs="Arial" w:eastAsia="Arial" w:hAnsi="Arial"/>
          <w:sz w:val="18"/>
          <w:szCs w:val="18"/>
          <w:b w:val="1"/>
          <w:bCs w:val="1"/>
          <w:color w:val="auto"/>
        </w:rPr>
        <w:t xml:space="preserve">Section 10.06 Rules by Trustee and Agents. </w:t>
      </w:r>
      <w:r>
        <w:rPr>
          <w:rFonts w:ascii="Arial" w:cs="Arial" w:eastAsia="Arial" w:hAnsi="Arial"/>
          <w:sz w:val="18"/>
          <w:szCs w:val="18"/>
          <w:color w:val="auto"/>
        </w:rPr>
        <w:t>The Trustee may make reasonable rules for action by or a meeting of Holders of one or more Series. Any</w:t>
      </w:r>
      <w:r>
        <w:rPr>
          <w:rFonts w:ascii="Arial" w:cs="Arial" w:eastAsia="Arial" w:hAnsi="Arial"/>
          <w:sz w:val="18"/>
          <w:szCs w:val="18"/>
          <w:b w:val="1"/>
          <w:bCs w:val="1"/>
          <w:color w:val="auto"/>
        </w:rPr>
        <w:t xml:space="preserve"> </w:t>
      </w:r>
      <w:r>
        <w:rPr>
          <w:rFonts w:ascii="Arial" w:cs="Arial" w:eastAsia="Arial" w:hAnsi="Arial"/>
          <w:sz w:val="18"/>
          <w:szCs w:val="18"/>
          <w:color w:val="auto"/>
        </w:rPr>
        <w:t>Agent may make reasonable rules and set reasonable requirements for its functions.</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380"/>
          </w:cols>
          <w:pgMar w:left="240" w:top="347" w:right="279" w:bottom="1440" w:gutter="0" w:footer="0" w:header="0"/>
        </w:sectPr>
      </w:pPr>
    </w:p>
    <w:bookmarkStart w:id="55" w:name="page56"/>
    <w:bookmarkEnd w:id="55"/>
    <w:p>
      <w:pPr>
        <w:ind w:right="20" w:firstLine="351"/>
        <w:spacing w:after="0" w:line="310" w:lineRule="auto"/>
        <w:rPr>
          <w:sz w:val="20"/>
          <w:szCs w:val="20"/>
          <w:color w:val="auto"/>
        </w:rPr>
      </w:pPr>
      <w:r>
        <w:rPr>
          <w:rFonts w:ascii="Arial" w:cs="Arial" w:eastAsia="Arial" w:hAnsi="Arial"/>
          <w:sz w:val="16"/>
          <w:szCs w:val="16"/>
          <w:b w:val="1"/>
          <w:bCs w:val="1"/>
          <w:color w:val="auto"/>
        </w:rPr>
        <w:t xml:space="preserve">Section 10.07 Legal Holidays. </w:t>
      </w:r>
      <w:r>
        <w:rPr>
          <w:rFonts w:ascii="Arial" w:cs="Arial" w:eastAsia="Arial" w:hAnsi="Arial"/>
          <w:sz w:val="16"/>
          <w:szCs w:val="16"/>
          <w:color w:val="auto"/>
        </w:rPr>
        <w:t>Unless otherwise provided by Board Resolution, Officers’ Certificate or supplemental indenture hereto for a particular</w:t>
      </w:r>
      <w:r>
        <w:rPr>
          <w:rFonts w:ascii="Arial" w:cs="Arial" w:eastAsia="Arial" w:hAnsi="Arial"/>
          <w:sz w:val="16"/>
          <w:szCs w:val="16"/>
          <w:b w:val="1"/>
          <w:bCs w:val="1"/>
          <w:color w:val="auto"/>
        </w:rPr>
        <w:t xml:space="preserve"> </w:t>
      </w:r>
      <w:r>
        <w:rPr>
          <w:rFonts w:ascii="Arial" w:cs="Arial" w:eastAsia="Arial" w:hAnsi="Arial"/>
          <w:sz w:val="16"/>
          <w:szCs w:val="16"/>
          <w:color w:val="auto"/>
        </w:rPr>
        <w:t>Series, a “Legal Holiday” is any day that is not a Business Day. If a payment date is a Legal Holiday at a place of payment, payment may be made at that place on the next succeeding day that is not a Legal Holiday, and no interest shall accrue for the intervening period.</w:t>
      </w:r>
    </w:p>
    <w:p>
      <w:pPr>
        <w:spacing w:after="0" w:line="151" w:lineRule="exact"/>
        <w:rPr>
          <w:sz w:val="20"/>
          <w:szCs w:val="20"/>
          <w:color w:val="auto"/>
        </w:rPr>
      </w:pPr>
    </w:p>
    <w:p>
      <w:pPr>
        <w:ind w:right="160" w:firstLine="351"/>
        <w:spacing w:after="0" w:line="310" w:lineRule="auto"/>
        <w:rPr>
          <w:sz w:val="20"/>
          <w:szCs w:val="20"/>
          <w:color w:val="auto"/>
        </w:rPr>
      </w:pPr>
      <w:r>
        <w:rPr>
          <w:rFonts w:ascii="Arial" w:cs="Arial" w:eastAsia="Arial" w:hAnsi="Arial"/>
          <w:sz w:val="16"/>
          <w:szCs w:val="16"/>
          <w:b w:val="1"/>
          <w:bCs w:val="1"/>
          <w:color w:val="auto"/>
        </w:rPr>
        <w:t xml:space="preserve">Section 10.08 No Recourse Against Others. </w:t>
      </w:r>
      <w:r>
        <w:rPr>
          <w:rFonts w:ascii="Arial" w:cs="Arial" w:eastAsia="Arial" w:hAnsi="Arial"/>
          <w:sz w:val="16"/>
          <w:szCs w:val="16"/>
          <w:color w:val="auto"/>
        </w:rPr>
        <w:t>A director, officer, employee or stockholder, as such, of the Company shall not have any liability for any</w:t>
      </w:r>
      <w:r>
        <w:rPr>
          <w:rFonts w:ascii="Arial" w:cs="Arial" w:eastAsia="Arial" w:hAnsi="Arial"/>
          <w:sz w:val="16"/>
          <w:szCs w:val="16"/>
          <w:b w:val="1"/>
          <w:bCs w:val="1"/>
          <w:color w:val="auto"/>
        </w:rPr>
        <w:t xml:space="preserve"> </w:t>
      </w:r>
      <w:r>
        <w:rPr>
          <w:rFonts w:ascii="Arial" w:cs="Arial" w:eastAsia="Arial" w:hAnsi="Arial"/>
          <w:sz w:val="16"/>
          <w:szCs w:val="16"/>
          <w:color w:val="auto"/>
        </w:rPr>
        <w:t>obligations of the Company under the Securities or the Indenture or for any claim based on, in respect of or by reason of such obligations or their creation. Each Holder by accepting a Security waives and releases all such liability. The waiver and release are part of the consideration for the issue of the Securities.</w:t>
      </w:r>
    </w:p>
    <w:p>
      <w:pPr>
        <w:spacing w:after="0" w:line="151" w:lineRule="exact"/>
        <w:rPr>
          <w:sz w:val="20"/>
          <w:szCs w:val="20"/>
          <w:color w:val="auto"/>
        </w:rPr>
      </w:pPr>
    </w:p>
    <w:p>
      <w:pPr>
        <w:ind w:right="440" w:firstLine="351"/>
        <w:spacing w:after="0" w:line="339" w:lineRule="auto"/>
        <w:rPr>
          <w:sz w:val="20"/>
          <w:szCs w:val="20"/>
          <w:color w:val="auto"/>
        </w:rPr>
      </w:pPr>
      <w:r>
        <w:rPr>
          <w:rFonts w:ascii="Arial" w:cs="Arial" w:eastAsia="Arial" w:hAnsi="Arial"/>
          <w:sz w:val="16"/>
          <w:szCs w:val="16"/>
          <w:b w:val="1"/>
          <w:bCs w:val="1"/>
          <w:color w:val="auto"/>
        </w:rPr>
        <w:t xml:space="preserve">Section 10.09 Counterparts. </w:t>
      </w:r>
      <w:r>
        <w:rPr>
          <w:rFonts w:ascii="Arial" w:cs="Arial" w:eastAsia="Arial" w:hAnsi="Arial"/>
          <w:sz w:val="16"/>
          <w:szCs w:val="16"/>
          <w:color w:val="auto"/>
        </w:rPr>
        <w:t>This Indenture may be executed in any number of counterparts and by the parties hereto in separate counterparts, each of</w:t>
      </w:r>
      <w:r>
        <w:rPr>
          <w:rFonts w:ascii="Arial" w:cs="Arial" w:eastAsia="Arial" w:hAnsi="Arial"/>
          <w:sz w:val="16"/>
          <w:szCs w:val="16"/>
          <w:b w:val="1"/>
          <w:bCs w:val="1"/>
          <w:color w:val="auto"/>
        </w:rPr>
        <w:t xml:space="preserve"> </w:t>
      </w:r>
      <w:r>
        <w:rPr>
          <w:rFonts w:ascii="Arial" w:cs="Arial" w:eastAsia="Arial" w:hAnsi="Arial"/>
          <w:sz w:val="16"/>
          <w:szCs w:val="16"/>
          <w:color w:val="auto"/>
        </w:rPr>
        <w:t>which when so executed shall be deemed to be an original and all of which taken together shall constitute one and the same agreement.</w:t>
      </w:r>
    </w:p>
    <w:p>
      <w:pPr>
        <w:spacing w:after="0" w:line="128" w:lineRule="exact"/>
        <w:rPr>
          <w:sz w:val="20"/>
          <w:szCs w:val="20"/>
          <w:color w:val="auto"/>
        </w:rPr>
      </w:pPr>
    </w:p>
    <w:p>
      <w:pPr>
        <w:ind w:right="220" w:firstLine="351"/>
        <w:spacing w:after="0" w:line="339" w:lineRule="auto"/>
        <w:rPr>
          <w:sz w:val="20"/>
          <w:szCs w:val="20"/>
          <w:color w:val="auto"/>
        </w:rPr>
      </w:pPr>
      <w:r>
        <w:rPr>
          <w:rFonts w:ascii="Arial" w:cs="Arial" w:eastAsia="Arial" w:hAnsi="Arial"/>
          <w:sz w:val="16"/>
          <w:szCs w:val="16"/>
          <w:b w:val="1"/>
          <w:bCs w:val="1"/>
          <w:color w:val="auto"/>
        </w:rPr>
        <w:t xml:space="preserve">Section 10.10 Governing Laws. </w:t>
      </w:r>
      <w:r>
        <w:rPr>
          <w:rFonts w:ascii="Arial" w:cs="Arial" w:eastAsia="Arial" w:hAnsi="Arial"/>
          <w:sz w:val="16"/>
          <w:szCs w:val="16"/>
          <w:color w:val="auto"/>
        </w:rPr>
        <w:t>This Indenture and the Securities will be governed by, and construed in accordance with, the internal laws of the State of</w:t>
      </w:r>
      <w:r>
        <w:rPr>
          <w:rFonts w:ascii="Arial" w:cs="Arial" w:eastAsia="Arial" w:hAnsi="Arial"/>
          <w:sz w:val="16"/>
          <w:szCs w:val="16"/>
          <w:b w:val="1"/>
          <w:bCs w:val="1"/>
          <w:color w:val="auto"/>
        </w:rPr>
        <w:t xml:space="preserve"> </w:t>
      </w:r>
      <w:r>
        <w:rPr>
          <w:rFonts w:ascii="Arial" w:cs="Arial" w:eastAsia="Arial" w:hAnsi="Arial"/>
          <w:sz w:val="16"/>
          <w:szCs w:val="16"/>
          <w:color w:val="auto"/>
        </w:rPr>
        <w:t>New York, without regard to conflict of law principles that would result in the application of any law other than the laws of the State of New York.</w:t>
      </w:r>
    </w:p>
    <w:p>
      <w:pPr>
        <w:spacing w:after="0" w:line="128" w:lineRule="exact"/>
        <w:rPr>
          <w:sz w:val="20"/>
          <w:szCs w:val="20"/>
          <w:color w:val="auto"/>
        </w:rPr>
      </w:pPr>
    </w:p>
    <w:p>
      <w:pPr>
        <w:ind w:right="140" w:firstLine="351"/>
        <w:spacing w:after="0" w:line="339" w:lineRule="auto"/>
        <w:rPr>
          <w:sz w:val="20"/>
          <w:szCs w:val="20"/>
          <w:color w:val="auto"/>
        </w:rPr>
      </w:pPr>
      <w:r>
        <w:rPr>
          <w:rFonts w:ascii="Arial" w:cs="Arial" w:eastAsia="Arial" w:hAnsi="Arial"/>
          <w:sz w:val="16"/>
          <w:szCs w:val="16"/>
          <w:b w:val="1"/>
          <w:bCs w:val="1"/>
          <w:color w:val="auto"/>
        </w:rPr>
        <w:t xml:space="preserve">Section 10.11 No Adverse Interpretation of Other Agreements. </w:t>
      </w:r>
      <w:r>
        <w:rPr>
          <w:rFonts w:ascii="Arial" w:cs="Arial" w:eastAsia="Arial" w:hAnsi="Arial"/>
          <w:sz w:val="16"/>
          <w:szCs w:val="16"/>
          <w:color w:val="auto"/>
        </w:rPr>
        <w:t>This Indenture may not be used to interpret another indenture, loan or debt agreement of</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or a Subsidiary of the Company. Any such indenture, loan or debt agreement may not be used to interpret this Indenture.</w:t>
      </w:r>
    </w:p>
    <w:p>
      <w:pPr>
        <w:spacing w:after="0" w:line="128" w:lineRule="exact"/>
        <w:rPr>
          <w:sz w:val="20"/>
          <w:szCs w:val="20"/>
          <w:color w:val="auto"/>
        </w:rPr>
      </w:pPr>
    </w:p>
    <w:p>
      <w:pPr>
        <w:ind w:right="120" w:firstLine="351"/>
        <w:spacing w:after="0" w:line="275" w:lineRule="auto"/>
        <w:rPr>
          <w:sz w:val="20"/>
          <w:szCs w:val="20"/>
          <w:color w:val="auto"/>
        </w:rPr>
      </w:pPr>
      <w:r>
        <w:rPr>
          <w:rFonts w:ascii="Arial" w:cs="Arial" w:eastAsia="Arial" w:hAnsi="Arial"/>
          <w:sz w:val="18"/>
          <w:szCs w:val="18"/>
          <w:b w:val="1"/>
          <w:bCs w:val="1"/>
          <w:color w:val="auto"/>
        </w:rPr>
        <w:t xml:space="preserve">Section 10.12 Successors. </w:t>
      </w:r>
      <w:r>
        <w:rPr>
          <w:rFonts w:ascii="Arial" w:cs="Arial" w:eastAsia="Arial" w:hAnsi="Arial"/>
          <w:sz w:val="18"/>
          <w:szCs w:val="18"/>
          <w:color w:val="auto"/>
        </w:rPr>
        <w:t>All agreements of the Company in this Indenture and the Securities shall bind its successor. All agreements of the Trustee in this</w:t>
      </w:r>
      <w:r>
        <w:rPr>
          <w:rFonts w:ascii="Arial" w:cs="Arial" w:eastAsia="Arial" w:hAnsi="Arial"/>
          <w:sz w:val="18"/>
          <w:szCs w:val="18"/>
          <w:b w:val="1"/>
          <w:bCs w:val="1"/>
          <w:color w:val="auto"/>
        </w:rPr>
        <w:t xml:space="preserve"> </w:t>
      </w:r>
      <w:r>
        <w:rPr>
          <w:rFonts w:ascii="Arial" w:cs="Arial" w:eastAsia="Arial" w:hAnsi="Arial"/>
          <w:sz w:val="18"/>
          <w:szCs w:val="18"/>
          <w:color w:val="auto"/>
        </w:rPr>
        <w:t>Indenture shall bind its successor.</w:t>
      </w:r>
    </w:p>
    <w:p>
      <w:pPr>
        <w:spacing w:after="0" w:line="174" w:lineRule="exact"/>
        <w:rPr>
          <w:sz w:val="20"/>
          <w:szCs w:val="20"/>
          <w:color w:val="auto"/>
        </w:rPr>
      </w:pPr>
    </w:p>
    <w:p>
      <w:pPr>
        <w:ind w:right="340" w:firstLine="351"/>
        <w:spacing w:after="0" w:line="275" w:lineRule="auto"/>
        <w:rPr>
          <w:sz w:val="20"/>
          <w:szCs w:val="20"/>
          <w:color w:val="auto"/>
        </w:rPr>
      </w:pPr>
      <w:r>
        <w:rPr>
          <w:rFonts w:ascii="Arial" w:cs="Arial" w:eastAsia="Arial" w:hAnsi="Arial"/>
          <w:sz w:val="18"/>
          <w:szCs w:val="18"/>
          <w:b w:val="1"/>
          <w:bCs w:val="1"/>
          <w:color w:val="auto"/>
        </w:rPr>
        <w:t xml:space="preserve">Section 10.13 Severability. </w:t>
      </w:r>
      <w:r>
        <w:rPr>
          <w:rFonts w:ascii="Arial" w:cs="Arial" w:eastAsia="Arial" w:hAnsi="Arial"/>
          <w:sz w:val="18"/>
          <w:szCs w:val="18"/>
          <w:color w:val="auto"/>
        </w:rPr>
        <w:t>In case any provision in this Indenture or in the Securities shall be invalid, illegal or unenforceable, the validity, legality and</w:t>
      </w:r>
      <w:r>
        <w:rPr>
          <w:rFonts w:ascii="Arial" w:cs="Arial" w:eastAsia="Arial" w:hAnsi="Arial"/>
          <w:sz w:val="18"/>
          <w:szCs w:val="18"/>
          <w:b w:val="1"/>
          <w:bCs w:val="1"/>
          <w:color w:val="auto"/>
        </w:rPr>
        <w:t xml:space="preserve"> </w:t>
      </w:r>
      <w:r>
        <w:rPr>
          <w:rFonts w:ascii="Arial" w:cs="Arial" w:eastAsia="Arial" w:hAnsi="Arial"/>
          <w:sz w:val="18"/>
          <w:szCs w:val="18"/>
          <w:color w:val="auto"/>
        </w:rPr>
        <w:t>enforceability of the remaining provisions shall not in any way be affected or impaired thereby.</w:t>
      </w:r>
    </w:p>
    <w:p>
      <w:pPr>
        <w:spacing w:after="0" w:line="174" w:lineRule="exact"/>
        <w:rPr>
          <w:sz w:val="20"/>
          <w:szCs w:val="20"/>
          <w:color w:val="auto"/>
        </w:rPr>
      </w:pPr>
    </w:p>
    <w:p>
      <w:pPr>
        <w:ind w:right="40" w:firstLine="351"/>
        <w:spacing w:after="0" w:line="262" w:lineRule="auto"/>
        <w:rPr>
          <w:sz w:val="20"/>
          <w:szCs w:val="20"/>
          <w:color w:val="auto"/>
        </w:rPr>
      </w:pPr>
      <w:r>
        <w:rPr>
          <w:rFonts w:ascii="Arial" w:cs="Arial" w:eastAsia="Arial" w:hAnsi="Arial"/>
          <w:sz w:val="18"/>
          <w:szCs w:val="18"/>
          <w:b w:val="1"/>
          <w:bCs w:val="1"/>
          <w:color w:val="auto"/>
        </w:rPr>
        <w:t xml:space="preserve">Section 10.14 Table of Contents, Headings, Etc. </w:t>
      </w:r>
      <w:r>
        <w:rPr>
          <w:rFonts w:ascii="Arial" w:cs="Arial" w:eastAsia="Arial" w:hAnsi="Arial"/>
          <w:sz w:val="18"/>
          <w:szCs w:val="18"/>
          <w:color w:val="auto"/>
        </w:rPr>
        <w:t>The Table of Contents, Cross-Reference Table, and headings of the Articles and Sections of this Indenture</w:t>
      </w:r>
      <w:r>
        <w:rPr>
          <w:rFonts w:ascii="Arial" w:cs="Arial" w:eastAsia="Arial" w:hAnsi="Arial"/>
          <w:sz w:val="18"/>
          <w:szCs w:val="18"/>
          <w:b w:val="1"/>
          <w:bCs w:val="1"/>
          <w:color w:val="auto"/>
        </w:rPr>
        <w:t xml:space="preserve"> </w:t>
      </w:r>
      <w:r>
        <w:rPr>
          <w:rFonts w:ascii="Arial" w:cs="Arial" w:eastAsia="Arial" w:hAnsi="Arial"/>
          <w:sz w:val="18"/>
          <w:szCs w:val="18"/>
          <w:color w:val="auto"/>
        </w:rPr>
        <w:t>have been inserted for convenience of reference only, are not to be considered a part hereof, and shall in no way modify or restrict any of the terms or provisions hereof.</w:t>
      </w:r>
    </w:p>
    <w:p>
      <w:pPr>
        <w:spacing w:after="0" w:line="186"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b w:val="1"/>
          <w:bCs w:val="1"/>
          <w:color w:val="auto"/>
        </w:rPr>
        <w:t xml:space="preserve">Section 10.15 Securities in a Foreign Currency. </w:t>
      </w:r>
      <w:r>
        <w:rPr>
          <w:rFonts w:ascii="Arial" w:cs="Arial" w:eastAsia="Arial" w:hAnsi="Arial"/>
          <w:sz w:val="16"/>
          <w:szCs w:val="16"/>
          <w:color w:val="auto"/>
        </w:rPr>
        <w:t>Unless otherwise specified in a Board Resolution, a supplemental indenture hereto or an Officers’</w:t>
      </w:r>
      <w:r>
        <w:rPr>
          <w:rFonts w:ascii="Arial" w:cs="Arial" w:eastAsia="Arial" w:hAnsi="Arial"/>
          <w:sz w:val="16"/>
          <w:szCs w:val="16"/>
          <w:b w:val="1"/>
          <w:bCs w:val="1"/>
          <w:color w:val="auto"/>
        </w:rPr>
        <w:t xml:space="preserve"> </w:t>
      </w:r>
      <w:r>
        <w:rPr>
          <w:rFonts w:ascii="Arial" w:cs="Arial" w:eastAsia="Arial" w:hAnsi="Arial"/>
          <w:sz w:val="16"/>
          <w:szCs w:val="16"/>
          <w:color w:val="auto"/>
        </w:rPr>
        <w:t>Certificate delivered pursuant to Section 2.02 of this Indenture with respect to a particular Series of Securities, whenever for purposes of this Indenture any action may be taken by the Holders of a specified percentage in aggregate principal amount of Securities of all Series or all Series affected by a particular action at the time outstanding and, at such time, there are outstanding Securities of any Series which are denominated in a coin or currency other than Dollars, then the principal amount of Securities of such Series which shall be deemed to be outstanding for the purpose of taking such action shall be that amount of Dollars that could be obtained for such amount at the Market Exchange Rate at such time. For purposes of this Section 10.15, “Market Exchange Rate” shall mean the noon Dollar buying rate in New York City for cable transfers of that currency as published by the Federal Reserve Bank of New York. If such Market Exchange Rate is not available for any reason with respect to such currency, the Trustee shall use, in its sole discretion and without liability on its part, such quotation of the Federal Reserve Bank of New York as of the most recent available date, or quotations from one or more major banks in The City of New York or in the country of issue of the currency in question or such other quotations as the Trustee, upon consultation with the Company, shall deem appropriate. The provisions of this paragraph shall apply in determining the equivalent principal amount in respect of Securities of a Series denominated in currency other than Dollars in connection with any action taken by Holders of Securities pursuant to the terms of this Indenture. All decisions and determinations of the Trustee regarding the Market Exchange Rate or any alternative determination provided for in the preceding paragraph shall be in its sole discretion and shall, in the absence of manifest error, to the extent permitted by law, be conclusive for all purposes and irrevocably binding upon the Company and all Holders.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6" w:name="page57"/>
    <w:bookmarkEnd w:id="56"/>
    <w:p>
      <w:pPr>
        <w:ind w:right="40" w:firstLine="351"/>
        <w:spacing w:after="0" w:line="286" w:lineRule="auto"/>
        <w:rPr>
          <w:sz w:val="20"/>
          <w:szCs w:val="20"/>
          <w:color w:val="auto"/>
        </w:rPr>
      </w:pPr>
      <w:r>
        <w:rPr>
          <w:rFonts w:ascii="Arial" w:cs="Arial" w:eastAsia="Arial" w:hAnsi="Arial"/>
          <w:sz w:val="16"/>
          <w:szCs w:val="16"/>
          <w:b w:val="1"/>
          <w:bCs w:val="1"/>
          <w:color w:val="auto"/>
        </w:rPr>
        <w:t xml:space="preserve">Section 10.16 Judgment Currency. </w:t>
      </w:r>
      <w:r>
        <w:rPr>
          <w:rFonts w:ascii="Arial" w:cs="Arial" w:eastAsia="Arial" w:hAnsi="Arial"/>
          <w:sz w:val="16"/>
          <w:szCs w:val="16"/>
          <w:color w:val="auto"/>
        </w:rPr>
        <w:t>The Company agrees, to the fullest extent that it may effectively do so under applicable law, that (a) if for the purpose</w:t>
      </w:r>
      <w:r>
        <w:rPr>
          <w:rFonts w:ascii="Arial" w:cs="Arial" w:eastAsia="Arial" w:hAnsi="Arial"/>
          <w:sz w:val="16"/>
          <w:szCs w:val="16"/>
          <w:b w:val="1"/>
          <w:bCs w:val="1"/>
          <w:color w:val="auto"/>
        </w:rPr>
        <w:t xml:space="preserve"> </w:t>
      </w:r>
      <w:r>
        <w:rPr>
          <w:rFonts w:ascii="Arial" w:cs="Arial" w:eastAsia="Arial" w:hAnsi="Arial"/>
          <w:sz w:val="16"/>
          <w:szCs w:val="16"/>
          <w:color w:val="auto"/>
        </w:rPr>
        <w:t>of obtaining judgment in any court it is necessary to convert the sum due in respect of the principal of or interest or other amount on the Securities of any Series (the “Required Currency”) into a currency in which a judgment will be rendered (the “Judgment Currency”), the rate of exchange used shall be the rate at which in accordance with normal banking procedures the Trustee could purchase in The City of New York the Required Currency with the Judgment Currency on the day on which final unappealable judgment is entered, unless such day is not a New York Banking Day, then the rate of exchange used shall be the rate at which in accordance with normal banking procedures the Trustee could purchase in The City of New York the Required Currency with the Judgment Currency on the New York Banking Day preceding the day on which final unappealable judgment is entered and (b) its obligations under this Indenture to make payments in the Required Currency (i) shall not be discharged or satisfied by any tender, any recovery pursuant to any judgment (whether or not entered in accordance with subsection (a)), in any currency other than the Required Currency, except to the extent that such tender or recovery shall result in the actual receipt, by the payee, of the full amount of the Required Currency expressed to be payable in respect of such payments, (ii) shall be enforceable as an alternative or additional cause of action for the purpose of recovering in the Required Currency the amount, if any, by which such actual receipt shall fall short of the full amount of the Required Currency so expressed to be payable, and (iii) shall not be affected by judgment being obtained for any other sum due under this Indenture. For purposes of the foregoing, “New York Banking Day” means any day except a Saturday, Sunday or a legal holiday in The City of New York on which banking institutions are authorized or required by law, regulation or executive order to close.</w:t>
      </w:r>
    </w:p>
    <w:p>
      <w:pPr>
        <w:spacing w:after="0" w:line="239"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ARTICLE XI</w:t>
      </w:r>
    </w:p>
    <w:p>
      <w:pPr>
        <w:spacing w:after="0" w:line="21"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SINKING FUNDS</w:t>
      </w:r>
    </w:p>
    <w:p>
      <w:pPr>
        <w:spacing w:after="0" w:line="294" w:lineRule="exact"/>
        <w:rPr>
          <w:sz w:val="20"/>
          <w:szCs w:val="20"/>
          <w:color w:val="auto"/>
        </w:rPr>
      </w:pPr>
    </w:p>
    <w:p>
      <w:pPr>
        <w:ind w:right="60" w:firstLine="351"/>
        <w:spacing w:after="0" w:line="293" w:lineRule="auto"/>
        <w:rPr>
          <w:sz w:val="20"/>
          <w:szCs w:val="20"/>
          <w:color w:val="auto"/>
        </w:rPr>
      </w:pPr>
      <w:r>
        <w:rPr>
          <w:rFonts w:ascii="Arial" w:cs="Arial" w:eastAsia="Arial" w:hAnsi="Arial"/>
          <w:sz w:val="16"/>
          <w:szCs w:val="16"/>
          <w:b w:val="1"/>
          <w:bCs w:val="1"/>
          <w:color w:val="auto"/>
        </w:rPr>
        <w:t xml:space="preserve">Section 11.01 Applicability of Article. </w:t>
      </w:r>
      <w:r>
        <w:rPr>
          <w:rFonts w:ascii="Arial" w:cs="Arial" w:eastAsia="Arial" w:hAnsi="Arial"/>
          <w:sz w:val="16"/>
          <w:szCs w:val="16"/>
          <w:color w:val="auto"/>
        </w:rPr>
        <w:t>The provisions of this Article shall be applicable to any sinking fund for the retirement of the Securities of a Series,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except as otherwise permitted or required by any form of Security of such Series issued pursuant to this Indenture. The minimum amount of any sinking fund payment provided for by the terms of the Securities of any Series is herein referred to as a “ </w:t>
      </w:r>
      <w:r>
        <w:rPr>
          <w:rFonts w:ascii="Arial" w:cs="Arial" w:eastAsia="Arial" w:hAnsi="Arial"/>
          <w:sz w:val="16"/>
          <w:szCs w:val="16"/>
          <w:i w:val="1"/>
          <w:iCs w:val="1"/>
          <w:color w:val="auto"/>
        </w:rPr>
        <w:t>mandatory sinking fund payment</w:t>
      </w:r>
      <w:r>
        <w:rPr>
          <w:rFonts w:ascii="Arial" w:cs="Arial" w:eastAsia="Arial" w:hAnsi="Arial"/>
          <w:sz w:val="16"/>
          <w:szCs w:val="16"/>
          <w:color w:val="auto"/>
        </w:rPr>
        <w:t xml:space="preserve">” and any other amount provided for by the terms of Securities of such Series is herein referred to as an “ </w:t>
      </w:r>
      <w:r>
        <w:rPr>
          <w:rFonts w:ascii="Arial" w:cs="Arial" w:eastAsia="Arial" w:hAnsi="Arial"/>
          <w:sz w:val="16"/>
          <w:szCs w:val="16"/>
          <w:i w:val="1"/>
          <w:iCs w:val="1"/>
          <w:color w:val="auto"/>
        </w:rPr>
        <w:t>optional sinking fund payment</w:t>
      </w:r>
      <w:r>
        <w:rPr>
          <w:rFonts w:ascii="Arial" w:cs="Arial" w:eastAsia="Arial" w:hAnsi="Arial"/>
          <w:sz w:val="16"/>
          <w:szCs w:val="16"/>
          <w:color w:val="auto"/>
        </w:rPr>
        <w:t xml:space="preserve"> .”If provided for by the terms of Securities of any Series, the cash amount of any sinking fund payment may be subject to reduction as provided in Section 11.02. Each sinking fund payment shall be applied to the redemption of Securities of any Series as provided for by the terms of the Securities of such Series.</w:t>
      </w:r>
    </w:p>
    <w:p>
      <w:pPr>
        <w:spacing w:after="0" w:line="165"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b w:val="1"/>
          <w:bCs w:val="1"/>
          <w:color w:val="auto"/>
        </w:rPr>
        <w:t xml:space="preserve">Section 11.02 Satisfaction of Sinking Fund Payments with Securities. </w:t>
      </w:r>
      <w:r>
        <w:rPr>
          <w:rFonts w:ascii="Arial" w:cs="Arial" w:eastAsia="Arial" w:hAnsi="Arial"/>
          <w:sz w:val="16"/>
          <w:szCs w:val="16"/>
          <w:color w:val="auto"/>
        </w:rPr>
        <w:t>The Company may, in satisfaction of all or any part of any sinking fund payment</w:t>
      </w:r>
      <w:r>
        <w:rPr>
          <w:rFonts w:ascii="Arial" w:cs="Arial" w:eastAsia="Arial" w:hAnsi="Arial"/>
          <w:sz w:val="16"/>
          <w:szCs w:val="16"/>
          <w:b w:val="1"/>
          <w:bCs w:val="1"/>
          <w:color w:val="auto"/>
        </w:rPr>
        <w:t xml:space="preserve"> </w:t>
      </w:r>
      <w:r>
        <w:rPr>
          <w:rFonts w:ascii="Arial" w:cs="Arial" w:eastAsia="Arial" w:hAnsi="Arial"/>
          <w:sz w:val="16"/>
          <w:szCs w:val="16"/>
          <w:color w:val="auto"/>
        </w:rPr>
        <w:t>with respect to the Securities of any Series to be made pursuant to the terms of such Securities (1) deliver outstanding Securities of such Series to which such sinking fund payment is applicable (other than any of such Securities previously called for mandatory sinking fund redemption) and (2) apply as credit Securities of such Series to which such sinking fund payment is applicable and which have been repurchased by the Company or redeemed either at the election of the Company pursuant to the terms of such Series of Securities (except pursuant to any mandatory sinking fund) or through the application of permitted optional sinking fund payments or other optional redemptions pursuant to the terms of such Securities, provided that such Securities have not been previously so credited. Such Securities shall be received by the Trustee, together with an Officers’ Certificate with respect thereto, not later than 15 days prior to the date on which the Trustee begins the process of selecting Securities for redemption, and shall be credited for such purpose by the Trustee at the price specified in such Securities for redemption through operation of the sinking fund and the amount of such sinking fund payment shall be reduced accordingly. If as a result of the delivery or credit of Securities in lieu of cash payments pursuant to this Section 11.02, the principal amount of Securities of such Series to be redeemed in order to exhaust the aforesaid cash payment shall be less than $100,000, the Trustee need not call Securities of such Series for redemption, except upon receipt of a Company Order that such action be taken, and such cash payment shall be held by the Trustee or a Paying Agent and applied to the next succeeding sinking fund payment, provided, however, that the Trustee or such Paying Agent shall from time to time upon receipt of a Company Order pay over and deliver to the Company any cash payment so being held by the Trustee or such Paying Agent upon delivery by the Company to the Trustee of Securities of that Series purchased by the Company having an unpaid principal amount equal to the cash payment required to be released to the Company.</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7" w:name="page58"/>
    <w:bookmarkEnd w:id="57"/>
    <w:p>
      <w:pPr>
        <w:ind w:firstLine="351"/>
        <w:spacing w:after="0" w:line="288" w:lineRule="auto"/>
        <w:rPr>
          <w:sz w:val="20"/>
          <w:szCs w:val="20"/>
          <w:color w:val="auto"/>
        </w:rPr>
      </w:pPr>
      <w:r>
        <w:rPr>
          <w:rFonts w:ascii="Arial" w:cs="Arial" w:eastAsia="Arial" w:hAnsi="Arial"/>
          <w:sz w:val="16"/>
          <w:szCs w:val="16"/>
          <w:b w:val="1"/>
          <w:bCs w:val="1"/>
          <w:color w:val="auto"/>
        </w:rPr>
        <w:t xml:space="preserve">Section 11.03 Redemption of Securities for Sinking Fund. </w:t>
      </w:r>
      <w:r>
        <w:rPr>
          <w:rFonts w:ascii="Arial" w:cs="Arial" w:eastAsia="Arial" w:hAnsi="Arial"/>
          <w:sz w:val="16"/>
          <w:szCs w:val="16"/>
          <w:color w:val="auto"/>
        </w:rPr>
        <w:t>Not less than 45 days (unless otherwise indicated in the Board Resolution, supplemental</w:t>
      </w:r>
      <w:r>
        <w:rPr>
          <w:rFonts w:ascii="Arial" w:cs="Arial" w:eastAsia="Arial" w:hAnsi="Arial"/>
          <w:sz w:val="16"/>
          <w:szCs w:val="16"/>
          <w:b w:val="1"/>
          <w:bCs w:val="1"/>
          <w:color w:val="auto"/>
        </w:rPr>
        <w:t xml:space="preserve"> </w:t>
      </w:r>
      <w:r>
        <w:rPr>
          <w:rFonts w:ascii="Arial" w:cs="Arial" w:eastAsia="Arial" w:hAnsi="Arial"/>
          <w:sz w:val="16"/>
          <w:szCs w:val="16"/>
          <w:color w:val="auto"/>
        </w:rPr>
        <w:t>indenture or Officers’ Certificate in respect of a particular Series of Securities) prior to each sinking fund payment date for any Series of Securities, the Company will deliver to the Trustee an Officers’ Certificate specifying the amount of the next ensuing mandatory sinking fund payment for that Series pursuant to the terms of that Series, the portion thereof, if any, which is to be satisfied by payment of cash and the portion thereof, if any, which is to be satisfied by delivering and crediting of Securities of that Series pursuant to Section 11.02, and the optional amount, if any, to be added in cash to the next ensuing mandatory sinking fund payment, and the Company shall thereupon be obligated to pay the amount therein specified. Not less than 30 days (unless otherwise indicated in the Board Resolution, Officers’ Certificate or supplemental indenture in respect of a particular Series of Securities) before each such sinking fund payment date the Trustee shall select the Securities to be redeemed upon such sinking fund payment date in the manner specified in Section 3.02 and cause notice of the redemption thereof to be given in the name of and at the expense of the Company in the manner provided in Section 3.03. Such notice having been duly given, the redemption of such Securities shall be made upon the terms and in the manner stated in Sections 3.04, 3.05 and 3.06.</w:t>
      </w:r>
    </w:p>
    <w:p>
      <w:pPr>
        <w:spacing w:after="0" w:line="17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WITNESS WHEREOF, the parties hereto have caused this Indenture to be duly executed and attested, all as of the day and year first above written.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TOWER SEMICONDUCTOR LTD.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TOWER SEMICONDUCTOR LTD.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[___________]</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as Trustee</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4948555</wp:posOffset>
            </wp:positionV>
            <wp:extent cx="726757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3810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u w:val="single" w:color="auto"/>
          <w:color w:val="auto"/>
        </w:rPr>
        <w:t>Exhibit 5.1</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YIGAL ARNON &amp; CO.</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color w:val="auto"/>
        </w:rPr>
        <w:t>ADVOCATES AND NOTARY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1 Azrieli Center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Tel Aviv 67021</w:t>
      </w:r>
    </w:p>
    <w:p>
      <w:pPr>
        <w:spacing w:after="0" w:line="219" w:lineRule="exact"/>
        <w:rPr>
          <w:sz w:val="20"/>
          <w:szCs w:val="20"/>
          <w:color w:val="auto"/>
        </w:rPr>
      </w:pPr>
    </w:p>
    <w:p>
      <w:pPr>
        <w:ind w:left="10220"/>
        <w:spacing w:after="0"/>
        <w:rPr>
          <w:sz w:val="20"/>
          <w:szCs w:val="20"/>
          <w:color w:val="auto"/>
        </w:rPr>
      </w:pPr>
      <w:r>
        <w:rPr>
          <w:rFonts w:ascii="Arial" w:cs="Arial" w:eastAsia="Arial" w:hAnsi="Arial"/>
          <w:sz w:val="15"/>
          <w:szCs w:val="15"/>
          <w:color w:val="auto"/>
        </w:rPr>
        <w:t>January 18, 2008</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Tower Semiconductor Ltd.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Ramat Gavriel Industrial Zone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Migdal Haemek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ISRAEL</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firstLine="348"/>
        <w:spacing w:after="0" w:line="287" w:lineRule="auto"/>
        <w:rPr>
          <w:sz w:val="20"/>
          <w:szCs w:val="20"/>
          <w:color w:val="auto"/>
        </w:rPr>
      </w:pPr>
      <w:r>
        <w:rPr>
          <w:rFonts w:ascii="Arial" w:cs="Arial" w:eastAsia="Arial" w:hAnsi="Arial"/>
          <w:sz w:val="16"/>
          <w:szCs w:val="16"/>
          <w:color w:val="auto"/>
        </w:rPr>
        <w:t>We have acted as Israeli counsel to Tower Semiconductor Ltd., a company limited by shares organized under the laws of the State of Israel (the “Company”), in connection with the Registration Statement on Form F-3 (the “Registration Statement”), to be filed by the Company on or about the date hereof with the Securities and Exchange Commission (the “Commission”) under the Securities Act of 1933, as amended (the “Act”). The Registration Statement relates to the proposed offer and sale by the Company from time to time, as set forth in the prospectus contained in the Registration Statement (the “Prospectus”) and as shall be set forth in one or more supplements to the Prospectus (each, a “Prospectus Supplement”), of up to an $30,000,000 aggregate amount of any or all of the following securities (the “Securities”): (i) ordinary shares, par value NIS 1.00 per share, of the Company (the “Ordinary Shares”); (ii) capital notes (the “Capital Notes”), (iii) unsecured debt securities, which may be senior (“Senior Debt Securities”) or subordinated (“Subordinated Debt Securities” and, collectively with the Senior Debt Securities, the “Debt Securities”); (iii) purchase contracts obligating holders to purchase Securities (as hereinafter defined) at a future date or dates (“Purchase Contracts”); (iv) warrants to purchase Ordinary Shares, Capital Notes, Debt Securities and Purchase Contracts of the Company (the “Warrants”); and (v) units comprised of one or more of the Ordinary Shares, Capital Notes, Debt Securities, Purchase Contracts and Warrants in any combination (the “Units”).</w:t>
      </w:r>
    </w:p>
    <w:p>
      <w:pPr>
        <w:spacing w:after="0" w:line="177" w:lineRule="exact"/>
        <w:rPr>
          <w:sz w:val="20"/>
          <w:szCs w:val="20"/>
          <w:color w:val="auto"/>
        </w:rPr>
      </w:pPr>
    </w:p>
    <w:p>
      <w:pPr>
        <w:ind w:right="140" w:firstLine="351"/>
        <w:spacing w:after="0" w:line="294" w:lineRule="auto"/>
        <w:rPr>
          <w:sz w:val="20"/>
          <w:szCs w:val="20"/>
          <w:color w:val="auto"/>
        </w:rPr>
      </w:pPr>
      <w:r>
        <w:rPr>
          <w:rFonts w:ascii="Arial" w:cs="Arial" w:eastAsia="Arial" w:hAnsi="Arial"/>
          <w:sz w:val="16"/>
          <w:szCs w:val="16"/>
          <w:color w:val="auto"/>
        </w:rPr>
        <w:t>Each series of Debt Securities will be issued under an indenture, substantially in the form of the exhibit to the Registration Statement (the ” Indenture”) between the Company and a trustee named in the applicable Prospectus Supplement (each, a “Trustee”). The Purchase Contracts will be issued pursuant to a purchase contract agreement (the “Purchase Contract Agreement”) between the Company and a purchase contract agent (the “Purchase Contract Agent”). The Warrants will be issued under a warrant agreement (the “Warrant Agreement”) between the Company and a warrant agent (the “Warrant Agent”). The Units will be issued under a unit agreement (the “Unit Agreement”) between the Company and a unit agent (the “Unit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85090</wp:posOffset>
            </wp:positionV>
            <wp:extent cx="7250430"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79" w:lineRule="exact"/>
        <w:rPr>
          <w:sz w:val="20"/>
          <w:szCs w:val="20"/>
          <w:color w:val="auto"/>
        </w:rPr>
      </w:pPr>
    </w:p>
    <w:p>
      <w:pPr>
        <w:ind w:right="180" w:firstLine="351"/>
        <w:spacing w:after="0" w:line="291" w:lineRule="auto"/>
        <w:rPr>
          <w:sz w:val="20"/>
          <w:szCs w:val="20"/>
          <w:color w:val="auto"/>
        </w:rPr>
      </w:pPr>
      <w:r>
        <w:rPr>
          <w:rFonts w:ascii="Arial" w:cs="Arial" w:eastAsia="Arial" w:hAnsi="Arial"/>
          <w:sz w:val="16"/>
          <w:szCs w:val="16"/>
          <w:color w:val="auto"/>
        </w:rPr>
        <w:t>In connection herewith, we have examined and relied without investigation as to matters of fact upon the Registration Statement and the exhibits thereto, including the form of Indenture, and such certificates, statements and results of inquiries of public officials and officers and representatives of the Company and originals or copies, certified or otherwise identified to our satisfaction, of such other documents, corporate records, certificates and instruments as we have deemed necessary or appropriate to enable us to render the opinions expressed herein. We have assumed the genuineness of all signatures on all documents examined by us, the legal competence and capacity of natural persons, the authenticity of documents submitted to us as originals, and the conformity with authentic original documents of all documents submitted to us as copies.</w:t>
      </w:r>
    </w:p>
    <w:p>
      <w:pPr>
        <w:spacing w:after="0" w:line="174" w:lineRule="exact"/>
        <w:rPr>
          <w:sz w:val="20"/>
          <w:szCs w:val="20"/>
          <w:color w:val="auto"/>
        </w:rPr>
      </w:pPr>
    </w:p>
    <w:p>
      <w:pPr>
        <w:ind w:right="120" w:firstLine="348"/>
        <w:spacing w:after="0" w:line="290" w:lineRule="auto"/>
        <w:rPr>
          <w:sz w:val="20"/>
          <w:szCs w:val="20"/>
          <w:color w:val="auto"/>
        </w:rPr>
      </w:pPr>
      <w:r>
        <w:rPr>
          <w:rFonts w:ascii="Arial" w:cs="Arial" w:eastAsia="Arial" w:hAnsi="Arial"/>
          <w:sz w:val="16"/>
          <w:szCs w:val="16"/>
          <w:color w:val="auto"/>
        </w:rPr>
        <w:t>We also have assumed that: (1) at the time of execution, authentication, issuance and delivery of each series of Debt Securities, the related Indenture will be the valid and legally binding obligation of the applicable Trustee, enforceable against such party in accordance with its terms; (2) at the time of execution, issuance and delivery of the Purchase Contracts, the Purchase Contract Agreement will be the valid and legally binding obligation of the Purchase Contract Agent, enforceable against such party in accordance with its terms; (3) at the time of execution, issuance and delivery of any Warrants, the related Warrant Agreement will be the valid and legally binding obligation of the Warrant Agent, enforceable against such party in accordance with its terms; and (4) at the time of the execution, issuance and delivery of the Units, the related Unit Agreement will be the valid and legally binding obligation of the Unit Agent, enforceable against such party in accordance with its terms.</w:t>
      </w:r>
    </w:p>
    <w:p>
      <w:pPr>
        <w:spacing w:after="0" w:line="172" w:lineRule="exact"/>
        <w:rPr>
          <w:sz w:val="20"/>
          <w:szCs w:val="20"/>
          <w:color w:val="auto"/>
        </w:rPr>
      </w:pPr>
    </w:p>
    <w:p>
      <w:pPr>
        <w:ind w:right="60" w:firstLine="348"/>
        <w:spacing w:after="0" w:line="302" w:lineRule="auto"/>
        <w:rPr>
          <w:sz w:val="20"/>
          <w:szCs w:val="20"/>
          <w:color w:val="auto"/>
        </w:rPr>
      </w:pPr>
      <w:r>
        <w:rPr>
          <w:rFonts w:ascii="Arial" w:cs="Arial" w:eastAsia="Arial" w:hAnsi="Arial"/>
          <w:sz w:val="15"/>
          <w:szCs w:val="15"/>
          <w:color w:val="auto"/>
        </w:rPr>
        <w:t>We have assumed further that: (1) at the time of execution, issuance and delivery of the Capital Notes, the Capital Notes will have been duly authorized, executed and delivered by the Company; (2) at the time of execution, authentication, issuance and delivery of each series of Debt Securities, the related Indenture will have been duly authorized, executed and delivered by the Company and the applicable Trustee; (3) at the time of execution, issuance and delivery of the Purchase Contracts, the Purchase Contract Agreement will have been duly authorized, executed and delivered by the Company and the Purchase Contract Agent;</w:t>
      </w:r>
    </w:p>
    <w:p>
      <w:pPr>
        <w:spacing w:after="0" w:line="3" w:lineRule="exact"/>
        <w:rPr>
          <w:sz w:val="20"/>
          <w:szCs w:val="20"/>
          <w:color w:val="auto"/>
        </w:rPr>
      </w:pPr>
    </w:p>
    <w:p>
      <w:pPr>
        <w:ind w:right="100" w:firstLine="8"/>
        <w:spacing w:after="0" w:line="315" w:lineRule="auto"/>
        <w:tabs>
          <w:tab w:leader="none" w:pos="249" w:val="left"/>
        </w:tabs>
        <w:numPr>
          <w:ilvl w:val="0"/>
          <w:numId w:val="82"/>
        </w:numPr>
        <w:rPr>
          <w:rFonts w:ascii="Arial" w:cs="Arial" w:eastAsia="Arial" w:hAnsi="Arial"/>
          <w:sz w:val="15"/>
          <w:szCs w:val="15"/>
          <w:color w:val="auto"/>
        </w:rPr>
      </w:pPr>
      <w:r>
        <w:rPr>
          <w:rFonts w:ascii="Arial" w:cs="Arial" w:eastAsia="Arial" w:hAnsi="Arial"/>
          <w:sz w:val="15"/>
          <w:szCs w:val="15"/>
          <w:color w:val="auto"/>
        </w:rPr>
        <w:t>at the time of execution, issuance and delivery of any Warrants, the related Warrant Agreement will have been duly authorized, executed and delivered by the Company and the Warrant Agent; (5) at the time of execution, issuance and delivery of the Units, the Unit Agreement will have been duly authorized, executed and delivered by the Company and the Unit Agent; and (6) at the time of the issuance and sale of any of the Securities, the terms of the Securities, and their issuance and sale, will have been established so as not to violate any applicable law or result in a default under or breach of any agreement or instrument binding upon the Company and so as to comply with any requirement or restriction imposed by any court or governmental body having jurisdiction over the Company.</w:t>
      </w:r>
    </w:p>
    <w:p>
      <w:pPr>
        <w:spacing w:after="0" w:line="158" w:lineRule="exact"/>
        <w:rPr>
          <w:sz w:val="20"/>
          <w:szCs w:val="20"/>
          <w:color w:val="auto"/>
        </w:rPr>
      </w:pPr>
    </w:p>
    <w:p>
      <w:pPr>
        <w:ind w:right="400" w:firstLine="351"/>
        <w:spacing w:after="0" w:line="268" w:lineRule="auto"/>
        <w:rPr>
          <w:sz w:val="20"/>
          <w:szCs w:val="20"/>
          <w:color w:val="auto"/>
        </w:rPr>
      </w:pPr>
      <w:r>
        <w:rPr>
          <w:rFonts w:ascii="Arial" w:cs="Arial" w:eastAsia="Arial" w:hAnsi="Arial"/>
          <w:sz w:val="18"/>
          <w:szCs w:val="18"/>
          <w:color w:val="auto"/>
        </w:rPr>
        <w:t>Based upon the foregoing, in reliance thereon and subject to the assumptions, comments, qualifications, limitations and exceptions stated herein and the effectiveness of the Registration Statement under the Act, we are of the opinion that:</w:t>
      </w:r>
    </w:p>
    <w:p>
      <w:pPr>
        <w:spacing w:after="0" w:line="186" w:lineRule="exact"/>
        <w:rPr>
          <w:sz w:val="20"/>
          <w:szCs w:val="20"/>
          <w:color w:val="auto"/>
        </w:rPr>
      </w:pPr>
    </w:p>
    <w:p>
      <w:pPr>
        <w:ind w:left="660" w:hanging="476"/>
        <w:spacing w:after="0"/>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Company is a corporation duly incorporated and validly existing under the laws of the State of Israel.</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right="20" w:firstLine="184"/>
        <w:spacing w:after="0" w:line="256" w:lineRule="auto"/>
        <w:tabs>
          <w:tab w:leader="none" w:pos="658" w:val="left"/>
        </w:tabs>
        <w:numPr>
          <w:ilvl w:val="0"/>
          <w:numId w:val="83"/>
        </w:numPr>
        <w:rPr>
          <w:rFonts w:ascii="Arial" w:cs="Arial" w:eastAsia="Arial" w:hAnsi="Arial"/>
          <w:sz w:val="18"/>
          <w:szCs w:val="18"/>
          <w:color w:val="auto"/>
        </w:rPr>
      </w:pPr>
      <w:r>
        <w:rPr>
          <w:rFonts w:ascii="Arial" w:cs="Arial" w:eastAsia="Arial" w:hAnsi="Arial"/>
          <w:sz w:val="18"/>
          <w:szCs w:val="18"/>
          <w:color w:val="auto"/>
        </w:rPr>
        <w:t>With respect to the Ordinary Shares, assuming the taking of all necessary corporate action to authorize and approve the issuance of any Ordinary Shares, the terms of the offering thereof and related matters, upon payment of the consideration therefor provided for in the applicable definitive purchase, underwriting or similar agreement approved by the board of directors and otherwise in accordance with the provisions of the applicable convertible Securities, if any, such Ordinary Shares will be validly issued, fully paid and non-assessable.</w:t>
      </w:r>
    </w:p>
    <w:p>
      <w:pPr>
        <w:spacing w:after="0" w:line="197" w:lineRule="exact"/>
        <w:rPr>
          <w:rFonts w:ascii="Arial" w:cs="Arial" w:eastAsia="Arial" w:hAnsi="Arial"/>
          <w:sz w:val="18"/>
          <w:szCs w:val="18"/>
          <w:color w:val="auto"/>
        </w:rPr>
      </w:pPr>
    </w:p>
    <w:p>
      <w:pPr>
        <w:jc w:val="both"/>
        <w:ind w:right="440" w:firstLine="184"/>
        <w:spacing w:after="0" w:line="298" w:lineRule="auto"/>
        <w:tabs>
          <w:tab w:leader="none" w:pos="658" w:val="left"/>
        </w:tabs>
        <w:numPr>
          <w:ilvl w:val="0"/>
          <w:numId w:val="83"/>
        </w:numPr>
        <w:rPr>
          <w:rFonts w:ascii="Arial" w:cs="Arial" w:eastAsia="Arial" w:hAnsi="Arial"/>
          <w:sz w:val="16"/>
          <w:szCs w:val="16"/>
          <w:color w:val="auto"/>
        </w:rPr>
      </w:pPr>
      <w:r>
        <w:rPr>
          <w:rFonts w:ascii="Arial" w:cs="Arial" w:eastAsia="Arial" w:hAnsi="Arial"/>
          <w:sz w:val="16"/>
          <w:szCs w:val="16"/>
          <w:color w:val="auto"/>
        </w:rPr>
        <w:t>With respect to the Capital Notes, assuming the (a) taking of all necessary corporate action to authorize and approve the issuance and terms of any Capital Notes, the terms of the offering thereof and related matters and (b) due execution, issuance and delivery of such Capital Notes upon payment of the consideration therefor provided for in the applicable definitive purchase, underwriting or similar agreement approved by the board of directors, such Capital Notes will constitute valid and legally binding obligations of the Company, enforceable against the Company in accordance with their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-1433830</wp:posOffset>
            </wp:positionV>
            <wp:extent cx="7250430"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bookmarkStart w:id="59" w:name="page60"/>
    <w:bookmarkEnd w:id="59"/>
    <w:p>
      <w:pPr>
        <w:ind w:firstLine="184"/>
        <w:spacing w:after="0" w:line="255" w:lineRule="auto"/>
        <w:tabs>
          <w:tab w:leader="none" w:pos="658" w:val="left"/>
        </w:tabs>
        <w:numPr>
          <w:ilvl w:val="0"/>
          <w:numId w:val="84"/>
        </w:numPr>
        <w:rPr>
          <w:rFonts w:ascii="Arial" w:cs="Arial" w:eastAsia="Arial" w:hAnsi="Arial"/>
          <w:sz w:val="18"/>
          <w:szCs w:val="18"/>
          <w:color w:val="auto"/>
        </w:rPr>
      </w:pPr>
      <w:r>
        <w:rPr>
          <w:rFonts w:ascii="Arial" w:cs="Arial" w:eastAsia="Arial" w:hAnsi="Arial"/>
          <w:sz w:val="18"/>
          <w:szCs w:val="18"/>
          <w:color w:val="auto"/>
        </w:rPr>
        <w:t>With respect to the Debt Securities, assuming the (a) taking of all necessary corporate action to authorize and approve the issuance and terms of any Debt Securities, the terms of the offering thereof and related matters and (b) due execution, authentication, issuance and delivery of such Debt Securities upon payment of the consideration therefor provided for in the applicable definitive purchase, underwriting or similar agreement approved by the board of directors and otherwise in accordance with the provisions of the applicable Indenture, such Debt Securities will constitute valid and legally binding obligations of the Company, enforceable against the Company in accordance with their terms.</w:t>
      </w:r>
    </w:p>
    <w:p>
      <w:pPr>
        <w:spacing w:after="0" w:line="196" w:lineRule="exact"/>
        <w:rPr>
          <w:rFonts w:ascii="Arial" w:cs="Arial" w:eastAsia="Arial" w:hAnsi="Arial"/>
          <w:sz w:val="18"/>
          <w:szCs w:val="18"/>
          <w:color w:val="auto"/>
        </w:rPr>
      </w:pPr>
    </w:p>
    <w:p>
      <w:pPr>
        <w:ind w:right="80" w:firstLine="184"/>
        <w:spacing w:after="0" w:line="294" w:lineRule="auto"/>
        <w:tabs>
          <w:tab w:leader="none" w:pos="658" w:val="left"/>
        </w:tabs>
        <w:numPr>
          <w:ilvl w:val="0"/>
          <w:numId w:val="84"/>
        </w:numPr>
        <w:rPr>
          <w:rFonts w:ascii="Arial" w:cs="Arial" w:eastAsia="Arial" w:hAnsi="Arial"/>
          <w:sz w:val="16"/>
          <w:szCs w:val="16"/>
          <w:color w:val="auto"/>
        </w:rPr>
      </w:pPr>
      <w:r>
        <w:rPr>
          <w:rFonts w:ascii="Arial" w:cs="Arial" w:eastAsia="Arial" w:hAnsi="Arial"/>
          <w:sz w:val="16"/>
          <w:szCs w:val="16"/>
          <w:color w:val="auto"/>
        </w:rPr>
        <w:t>With respect to the Purchase Contracts, assuming the (a) taking of all necessary corporate action to authorize and approve the issuance and terms of any Purchase Contracts, the terms of the offering thereof and related matters and (b) due execution, authentication, issuance and delivery of such Purchase Contracts upon payment of the consideration therefor provided for in the applicable definitive purchase, underwriting or similar agreement approved by the board of directors and otherwise in accordance with the provisions of the applicable Purchase Contract Agreement, such Purchase Contracts will constitute valid and legally binding obligations of the Company, enforceable against the Company in accordance with their terms.</w:t>
      </w:r>
    </w:p>
    <w:p>
      <w:pPr>
        <w:spacing w:after="0" w:line="169" w:lineRule="exact"/>
        <w:rPr>
          <w:rFonts w:ascii="Arial" w:cs="Arial" w:eastAsia="Arial" w:hAnsi="Arial"/>
          <w:sz w:val="16"/>
          <w:szCs w:val="16"/>
          <w:color w:val="auto"/>
        </w:rPr>
      </w:pPr>
    </w:p>
    <w:p>
      <w:pPr>
        <w:ind w:right="100" w:firstLine="184"/>
        <w:spacing w:after="0" w:line="255" w:lineRule="auto"/>
        <w:tabs>
          <w:tab w:leader="none" w:pos="658" w:val="left"/>
        </w:tabs>
        <w:numPr>
          <w:ilvl w:val="0"/>
          <w:numId w:val="84"/>
        </w:numPr>
        <w:rPr>
          <w:rFonts w:ascii="Arial" w:cs="Arial" w:eastAsia="Arial" w:hAnsi="Arial"/>
          <w:sz w:val="18"/>
          <w:szCs w:val="18"/>
          <w:color w:val="auto"/>
        </w:rPr>
      </w:pPr>
      <w:r>
        <w:rPr>
          <w:rFonts w:ascii="Arial" w:cs="Arial" w:eastAsia="Arial" w:hAnsi="Arial"/>
          <w:sz w:val="18"/>
          <w:szCs w:val="18"/>
          <w:color w:val="auto"/>
        </w:rPr>
        <w:t>With respect to the Warrants, assuming the (a) taking of all necessary corporate action to authorize and approve the issuance and terms of any Warrants, the terms of the offering thereof and related matters and (b) due execution, authentication, issuance and delivery of such Warrants upon payment of the consideration therefor provided for in the applicable definitive purchase, underwriting or similar agreement approved by the board of directors and otherwise in accordance with the provisions of the applicable Warrant Agreement, such Warrants will constitute valid and legally binding obligations of the Company, enforceable against the Company in accordance with their terms.</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right="60" w:firstLine="184"/>
        <w:spacing w:after="0" w:line="290" w:lineRule="auto"/>
        <w:tabs>
          <w:tab w:leader="none" w:pos="658" w:val="left"/>
        </w:tabs>
        <w:numPr>
          <w:ilvl w:val="0"/>
          <w:numId w:val="84"/>
        </w:numPr>
        <w:rPr>
          <w:rFonts w:ascii="Arial" w:cs="Arial" w:eastAsia="Arial" w:hAnsi="Arial"/>
          <w:sz w:val="16"/>
          <w:szCs w:val="16"/>
          <w:color w:val="auto"/>
        </w:rPr>
      </w:pPr>
      <w:r>
        <w:rPr>
          <w:rFonts w:ascii="Arial" w:cs="Arial" w:eastAsia="Arial" w:hAnsi="Arial"/>
          <w:sz w:val="16"/>
          <w:szCs w:val="16"/>
          <w:color w:val="auto"/>
        </w:rPr>
        <w:t>With respect to the Units, assuming the (a) taking of all necessary corporate action to authorize and approve the issuance and the terms of the Units, the related Unit Agreement and any Securities which are components of the Units, the terms of the offering thereof and related matters and (b) due execution, countersignature (where applicable), authentication, issuance and delivery of the Units and the Securities that are components of such Units in each case upon the payment of the consideration therefor provided for in the applicable definitive purchase, underwriting or similar agreement approved by the board of directors, and otherwise in accordance with the provisions of the applicable (i) Capital Notes, in the case of Capital Notes, (ii) Indenture, in the case of Debt Securities, (iii) Purchase Contract Agreement, in the case of Purchase Contracts and (iv) Warrant Agreement, in the case of Warrants, such Units will be validly issued and will entitle the holders thereof to the rights specified in the Unit Agreements.</w:t>
      </w:r>
    </w:p>
    <w:p>
      <w:pPr>
        <w:spacing w:after="0" w:line="172" w:lineRule="exact"/>
        <w:rPr>
          <w:rFonts w:ascii="Arial" w:cs="Arial" w:eastAsia="Arial" w:hAnsi="Arial"/>
          <w:sz w:val="16"/>
          <w:szCs w:val="16"/>
          <w:color w:val="auto"/>
        </w:rPr>
      </w:pPr>
    </w:p>
    <w:p>
      <w:pPr>
        <w:ind w:right="40" w:firstLine="184"/>
        <w:spacing w:after="0" w:line="256" w:lineRule="auto"/>
        <w:tabs>
          <w:tab w:leader="none" w:pos="658" w:val="left"/>
        </w:tabs>
        <w:numPr>
          <w:ilvl w:val="0"/>
          <w:numId w:val="84"/>
        </w:numPr>
        <w:rPr>
          <w:rFonts w:ascii="Arial" w:cs="Arial" w:eastAsia="Arial" w:hAnsi="Arial"/>
          <w:sz w:val="18"/>
          <w:szCs w:val="18"/>
          <w:color w:val="auto"/>
        </w:rPr>
      </w:pPr>
      <w:r>
        <w:rPr>
          <w:rFonts w:ascii="Arial" w:cs="Arial" w:eastAsia="Arial" w:hAnsi="Arial"/>
          <w:sz w:val="18"/>
          <w:szCs w:val="18"/>
          <w:color w:val="auto"/>
        </w:rPr>
        <w:t>Under the laws of Israel, the designation of the law of the State of New York to apply to the Indentures, the Warrant Agreement, the Purchase Contract Agreement, and the Unit Agreement will be binding upon the Company and, if properly brought to the attention of the court or administrative body in accordance with the laws of Israel, would be enforceable in any judicial or administrative proceeding in Israel subject to the existence of special circumstances or considerations, and subject generally to the discretion of the Israeli court ruling on the matter.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-1826260</wp:posOffset>
            </wp:positionV>
            <wp:extent cx="7250430"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177" w:lineRule="exact"/>
        <w:rPr>
          <w:sz w:val="20"/>
          <w:szCs w:val="20"/>
          <w:color w:val="auto"/>
        </w:rPr>
      </w:pPr>
    </w:p>
    <w:p>
      <w:pPr>
        <w:ind w:right="440" w:firstLine="351"/>
        <w:spacing w:after="0" w:line="268" w:lineRule="auto"/>
        <w:rPr>
          <w:sz w:val="20"/>
          <w:szCs w:val="20"/>
          <w:color w:val="auto"/>
        </w:rPr>
      </w:pPr>
      <w:r>
        <w:rPr>
          <w:rFonts w:ascii="Arial" w:cs="Arial" w:eastAsia="Arial" w:hAnsi="Arial"/>
          <w:sz w:val="18"/>
          <w:szCs w:val="18"/>
          <w:color w:val="auto"/>
        </w:rPr>
        <w:t>In addition to the assumptions, comments, qualifications, limitations and exceptions set forth above, the opinions set forth herein are further limited by, subject to and based upon the following assumptions, comments, qualifications, limitations and exceptions:</w:t>
      </w:r>
    </w:p>
    <w:p>
      <w:pPr>
        <w:spacing w:after="0" w:line="186" w:lineRule="exact"/>
        <w:rPr>
          <w:sz w:val="20"/>
          <w:szCs w:val="20"/>
          <w:color w:val="auto"/>
        </w:rPr>
      </w:pPr>
    </w:p>
    <w:p>
      <w:pPr>
        <w:ind w:right="60" w:firstLine="184"/>
        <w:spacing w:after="0" w:line="289" w:lineRule="auto"/>
        <w:tabs>
          <w:tab w:leader="none" w:pos="722" w:val="left"/>
        </w:tabs>
        <w:numPr>
          <w:ilvl w:val="0"/>
          <w:numId w:val="85"/>
        </w:numPr>
        <w:rPr>
          <w:rFonts w:ascii="Arial" w:cs="Arial" w:eastAsia="Arial" w:hAnsi="Arial"/>
          <w:sz w:val="16"/>
          <w:szCs w:val="16"/>
          <w:color w:val="auto"/>
        </w:rPr>
      </w:pPr>
      <w:r>
        <w:rPr>
          <w:rFonts w:ascii="Arial" w:cs="Arial" w:eastAsia="Arial" w:hAnsi="Arial"/>
          <w:sz w:val="16"/>
          <w:szCs w:val="16"/>
          <w:color w:val="auto"/>
        </w:rPr>
        <w:t>We are members of the Israel Bar and we express no opinion as to any matter relating to the laws of any jurisdiction other than the laws of Israel and have not, for the purpose of giving this opinion, made any investigation of the laws of any other jurisdiction than Israel. The opinions set forth herein are made as of the date hereof and are subject to, and may be limited by, future changes in the factual matters set forth herein, and we undertake no duty to advise you of the same. The opinions expressed herein are based upon the law in effect (and published or otherwise generally available) on the date hereof, and we assume no obligation to revise or supplement these opinions should such law be changed by legislative action, judicial decision or otherwise. In rendering our opinions, we have not considered, and hereby disclaim any opinion as to, the application or impact of any laws, cases, decisions, rules or regulations of any other jurisdiction, court or administrative agency. This opinion is expressly limited to the matters set forth above, and we render no opinion, whether by implication or otherwise, as to any other matters.</w:t>
      </w:r>
    </w:p>
    <w:p>
      <w:pPr>
        <w:spacing w:after="0" w:line="172" w:lineRule="exact"/>
        <w:rPr>
          <w:rFonts w:ascii="Arial" w:cs="Arial" w:eastAsia="Arial" w:hAnsi="Arial"/>
          <w:sz w:val="16"/>
          <w:szCs w:val="16"/>
          <w:color w:val="auto"/>
        </w:rPr>
      </w:pPr>
    </w:p>
    <w:p>
      <w:pPr>
        <w:ind w:right="80" w:firstLine="184"/>
        <w:spacing w:after="0" w:line="298" w:lineRule="auto"/>
        <w:tabs>
          <w:tab w:leader="none" w:pos="731" w:val="left"/>
        </w:tabs>
        <w:numPr>
          <w:ilvl w:val="0"/>
          <w:numId w:val="85"/>
        </w:numPr>
        <w:rPr>
          <w:rFonts w:ascii="Arial" w:cs="Arial" w:eastAsia="Arial" w:hAnsi="Arial"/>
          <w:sz w:val="16"/>
          <w:szCs w:val="16"/>
          <w:color w:val="auto"/>
        </w:rPr>
      </w:pPr>
      <w:r>
        <w:rPr>
          <w:rFonts w:ascii="Arial" w:cs="Arial" w:eastAsia="Arial" w:hAnsi="Arial"/>
          <w:sz w:val="16"/>
          <w:szCs w:val="16"/>
          <w:color w:val="auto"/>
        </w:rPr>
        <w:t>You have informed us that you intend to issue the Securities from time to time on a delayed or continuous basis, and this opinion is limited to the laws, including the rules and regulations, as in effect on the date hereof. We understand that prior to issuing any Securities you will afford us an opportunity to review the operative documents pursuant to which such Securities are to be issued (including the applicable prospectus supplement) and will file such supplement or amendment to this opinion (if any) as we may reasonably consider necessary or appropriate by reason of the terms of such Securities.</w:t>
      </w:r>
    </w:p>
    <w:p>
      <w:pPr>
        <w:spacing w:after="0" w:line="167"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Eilenberg Krause &amp; Paul LLP may rely upon this opinion for the purpose of rendering their opinion dated January 18, 2008, with respect to certain matters concerning the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96" w:lineRule="exact"/>
        <w:rPr>
          <w:sz w:val="20"/>
          <w:szCs w:val="20"/>
          <w:color w:val="auto"/>
        </w:rPr>
      </w:pPr>
    </w:p>
    <w:p>
      <w:pPr>
        <w:ind w:right="40" w:firstLine="348"/>
        <w:spacing w:after="0" w:line="298" w:lineRule="auto"/>
        <w:rPr>
          <w:sz w:val="20"/>
          <w:szCs w:val="20"/>
          <w:color w:val="auto"/>
        </w:rPr>
      </w:pPr>
      <w:r>
        <w:rPr>
          <w:rFonts w:ascii="Arial" w:cs="Arial" w:eastAsia="Arial" w:hAnsi="Arial"/>
          <w:sz w:val="16"/>
          <w:szCs w:val="16"/>
          <w:color w:val="auto"/>
        </w:rPr>
        <w:t>We hereby consent to the filing of this opinion as Exhibit 5 to the Registration Statement and to the use of our name under the caption “Legal Matters” in the Prospectus. We also consent to your filing copies of this opinion as an exhibit to the Registration Statement with agencies of such states as you deem necessary in the course of complying with the laws of such states regarding the offering and sale of the Securities. In giving such consent, we do not thereby concede that we are within the category of persons whose consent is required under Section 7 of the Act or the Rules and Regulations of the Commission thereunder.</w:t>
      </w:r>
    </w:p>
    <w:p>
      <w:pPr>
        <w:spacing w:after="0" w:line="16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Yigal Arnon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271145</wp:posOffset>
            </wp:positionV>
            <wp:extent cx="7250430"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2234565</wp:posOffset>
            </wp:positionV>
            <wp:extent cx="726757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3810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u w:val="single" w:color="auto"/>
          <w:color w:val="auto"/>
        </w:rPr>
        <w:t>Exhibit 5.2</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[Letterhead of Eilenberg Krause &amp; Paul LLP]</w:t>
      </w:r>
    </w:p>
    <w:p>
      <w:pPr>
        <w:spacing w:after="0" w:line="225" w:lineRule="exact"/>
        <w:rPr>
          <w:sz w:val="20"/>
          <w:szCs w:val="20"/>
          <w:color w:val="auto"/>
        </w:rPr>
      </w:pPr>
    </w:p>
    <w:p>
      <w:pPr>
        <w:ind w:left="10220"/>
        <w:spacing w:after="0"/>
        <w:rPr>
          <w:sz w:val="20"/>
          <w:szCs w:val="20"/>
          <w:color w:val="auto"/>
        </w:rPr>
      </w:pPr>
      <w:r>
        <w:rPr>
          <w:rFonts w:ascii="Arial" w:cs="Arial" w:eastAsia="Arial" w:hAnsi="Arial"/>
          <w:sz w:val="15"/>
          <w:szCs w:val="15"/>
          <w:color w:val="auto"/>
        </w:rPr>
        <w:t>January 18, 2008</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Tower Semiconductor Ltd.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Ramat Gavriel Industrial Zone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Migdal Haemek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ISRAEL</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20" w:firstLine="348"/>
        <w:spacing w:after="0" w:line="308" w:lineRule="auto"/>
        <w:rPr>
          <w:sz w:val="20"/>
          <w:szCs w:val="20"/>
          <w:color w:val="auto"/>
        </w:rPr>
      </w:pPr>
      <w:r>
        <w:rPr>
          <w:rFonts w:ascii="Arial" w:cs="Arial" w:eastAsia="Arial" w:hAnsi="Arial"/>
          <w:sz w:val="15"/>
          <w:szCs w:val="15"/>
          <w:color w:val="auto"/>
        </w:rPr>
        <w:t>We have acted as United States counsel to Tower Semiconductor Ltd., a company limited by shares organized under the laws of the State of Israel (the “Company”), in connection with the Registration Statement on Form F-3 (the “Registration Statement”), to be filed by the Company on or about the date hereof with the Securities and Exchange Commission (the “Commission”) under the Securities Act of 1933, as amended (the “Act”). The Registration Statement relates to the proposed offer and sale by the Company from time to time, as set forth in the prospectus contained in the Registration Statement (the “Prospectus”) and as shall be set forth in one or more supplements to the Prospectus (each, a “Prospectus Supplement”), of up to an $30,000,000 aggregate amount of any or all of the following securities (the “Securities”): (i) ordinary shares, par value NIS 1.00 per share, of the Company (the “Ordinary Shares”); (ii) capital notes (the “Capital Notes”), (iii) unsecured debt securities, which may be senior (“Senior Debt Securities”) or subordinated (“Subordinated Debt Securities” and, collectively with the Senior Debt Securities, the “Debt Securities”); (iii) purchase contracts obligating holders to purchase Securities (as hereinafter defined) at a future date or dates (“Purchase Contracts”); (iv) warrants to purchase Ordinary Shares, Capital Notes, Debt Securities and Purchase Contracts of the Company (the “Warrants”); and (v) units comprised of one or more of the Ordinary Shares, Capital Notes, Debt Securities, Purchase Contracts and Warrants in any combination (the “Units”).</w:t>
      </w:r>
    </w:p>
    <w:p>
      <w:pPr>
        <w:spacing w:after="0" w:line="163" w:lineRule="exact"/>
        <w:rPr>
          <w:sz w:val="20"/>
          <w:szCs w:val="20"/>
          <w:color w:val="auto"/>
        </w:rPr>
      </w:pPr>
    </w:p>
    <w:p>
      <w:pPr>
        <w:ind w:right="140" w:firstLine="351"/>
        <w:spacing w:after="0" w:line="294" w:lineRule="auto"/>
        <w:rPr>
          <w:sz w:val="20"/>
          <w:szCs w:val="20"/>
          <w:color w:val="auto"/>
        </w:rPr>
      </w:pPr>
      <w:r>
        <w:rPr>
          <w:rFonts w:ascii="Arial" w:cs="Arial" w:eastAsia="Arial" w:hAnsi="Arial"/>
          <w:sz w:val="16"/>
          <w:szCs w:val="16"/>
          <w:color w:val="auto"/>
        </w:rPr>
        <w:t>Each series of Debt Securities will be issued under an indenture, substantially in the form of the exhibit to the Registration Statement (the ” Indenture”) between the Company and a trustee named in the applicable Prospectus Supplement (each, a “Trustee”). The Purchase Contracts will be issued pursuant to a purchase contract agreement (the “Purchase Contract Agreement”) between the Company and a purchase contract agent (the “Purchase Contract Agent”). The Warrants will be issued under a warrant agreement (the “Warrant Agreement”) between the Company and a warrant agent (the “Warrant Agent”). The Units will be issued under a unit agreement (the “Unit Agreement”) between the Company and a unit agent (the “Unit Agent”).</w:t>
      </w:r>
    </w:p>
    <w:p>
      <w:pPr>
        <w:spacing w:after="0" w:line="170" w:lineRule="exact"/>
        <w:rPr>
          <w:sz w:val="20"/>
          <w:szCs w:val="20"/>
          <w:color w:val="auto"/>
        </w:rPr>
      </w:pPr>
    </w:p>
    <w:p>
      <w:pPr>
        <w:ind w:right="100" w:firstLine="351"/>
        <w:spacing w:after="0" w:line="290" w:lineRule="auto"/>
        <w:rPr>
          <w:sz w:val="20"/>
          <w:szCs w:val="20"/>
          <w:color w:val="auto"/>
        </w:rPr>
      </w:pPr>
      <w:r>
        <w:rPr>
          <w:rFonts w:ascii="Arial" w:cs="Arial" w:eastAsia="Arial" w:hAnsi="Arial"/>
          <w:sz w:val="16"/>
          <w:szCs w:val="16"/>
          <w:color w:val="auto"/>
        </w:rPr>
        <w:t>In connection herewith, we have examined and relied without investigation as to matters of fact upon the Registration Statement and the exhibits thereto, including the form of Indenture, and such certificates, statements and results of inquiries of public officials and officers and representatives of the Company and originals or copies, certified or otherwise identified to our satisfaction, of such other documents, corporate records, certificates and instruments as we have deemed necessary or appropriate to enable us to render the opinions expressed herein. We have also relied, with the permission of Yigal Arnon &amp; Co., upon the legal opinion letter of Yigal Arnon &amp; Co. to the Company dated January 18, 2008 with respect to certain matters concerning the Company and the Securities. We have assumed the genuineness of all signatures on all documents examined by us, the legal competence and capacity of natural persons, the authenticity of documents submitted to us as originals, and the conformity with authentic original documents of all documents submitted to us as copies.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50430"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82" w:lineRule="exact"/>
        <w:rPr>
          <w:sz w:val="20"/>
          <w:szCs w:val="20"/>
          <w:color w:val="auto"/>
        </w:rPr>
      </w:pPr>
    </w:p>
    <w:p>
      <w:pPr>
        <w:ind w:right="120" w:firstLine="348"/>
        <w:spacing w:after="0" w:line="290" w:lineRule="auto"/>
        <w:rPr>
          <w:sz w:val="20"/>
          <w:szCs w:val="20"/>
          <w:color w:val="auto"/>
        </w:rPr>
      </w:pPr>
      <w:r>
        <w:rPr>
          <w:rFonts w:ascii="Arial" w:cs="Arial" w:eastAsia="Arial" w:hAnsi="Arial"/>
          <w:sz w:val="16"/>
          <w:szCs w:val="16"/>
          <w:color w:val="auto"/>
        </w:rPr>
        <w:t>We also have assumed that: (1) at the time of execution, authentication, issuance and delivery of each series of Debt Securities, the related Indenture will be the valid and legally binding obligation of the applicable Trustee, enforceable against such party in accordance with its terms; (2) at the time of execution, issuance and delivery of the Purchase Contracts, the Purchase Contract Agreement will be the valid and legally binding obligation of the Purchase Contract Agent, enforceable against such party in accordance with its terms; (3) at the time of execution, issuance and delivery of any Warrants, the related Warrant Agreement will be the valid and legally binding obligation of the Warrant Agent, enforceable against such party in accordance with its terms; and (4) at the time of the execution, issuance and delivery of the Units, the related Unit Agreement will be the valid and legally binding obligation of the Unit Agent, enforceable against such party in accordance with its terms.</w:t>
      </w:r>
    </w:p>
    <w:p>
      <w:pPr>
        <w:spacing w:after="0" w:line="172" w:lineRule="exact"/>
        <w:rPr>
          <w:sz w:val="20"/>
          <w:szCs w:val="20"/>
          <w:color w:val="auto"/>
        </w:rPr>
      </w:pPr>
    </w:p>
    <w:p>
      <w:pPr>
        <w:ind w:right="60" w:firstLine="348"/>
        <w:spacing w:after="0" w:line="302" w:lineRule="auto"/>
        <w:rPr>
          <w:sz w:val="20"/>
          <w:szCs w:val="20"/>
          <w:color w:val="auto"/>
        </w:rPr>
      </w:pPr>
      <w:r>
        <w:rPr>
          <w:rFonts w:ascii="Arial" w:cs="Arial" w:eastAsia="Arial" w:hAnsi="Arial"/>
          <w:sz w:val="15"/>
          <w:szCs w:val="15"/>
          <w:color w:val="auto"/>
        </w:rPr>
        <w:t>We have assumed further that: (1) at the time of execution, issuance and delivery of the Capital Notes, the Capital Notes will have been duly authorized, executed and delivered by the Company; (2) at the time of execution, authentication, issuance and delivery of each series of Debt Securities, the related Indenture will have been duly authorized, executed and delivered by the Company and the applicable Trustee; (3) at the time of execution, issuance and delivery of the Purchase Contracts, the Purchase Contract Agreement will have been duly authorized, executed and delivered by the Company and the Purchase Contract Agent;</w:t>
      </w:r>
    </w:p>
    <w:p>
      <w:pPr>
        <w:spacing w:after="0" w:line="3" w:lineRule="exact"/>
        <w:rPr>
          <w:sz w:val="20"/>
          <w:szCs w:val="20"/>
          <w:color w:val="auto"/>
        </w:rPr>
      </w:pPr>
    </w:p>
    <w:p>
      <w:pPr>
        <w:ind w:right="100" w:firstLine="8"/>
        <w:spacing w:after="0" w:line="315" w:lineRule="auto"/>
        <w:tabs>
          <w:tab w:leader="none" w:pos="249" w:val="left"/>
        </w:tabs>
        <w:numPr>
          <w:ilvl w:val="0"/>
          <w:numId w:val="86"/>
        </w:numPr>
        <w:rPr>
          <w:rFonts w:ascii="Arial" w:cs="Arial" w:eastAsia="Arial" w:hAnsi="Arial"/>
          <w:sz w:val="15"/>
          <w:szCs w:val="15"/>
          <w:color w:val="auto"/>
        </w:rPr>
      </w:pPr>
      <w:r>
        <w:rPr>
          <w:rFonts w:ascii="Arial" w:cs="Arial" w:eastAsia="Arial" w:hAnsi="Arial"/>
          <w:sz w:val="15"/>
          <w:szCs w:val="15"/>
          <w:color w:val="auto"/>
        </w:rPr>
        <w:t>at the time of execution, issuance and delivery of any Warrants, the related Warrant Agreement will have been duly authorized, executed and delivered by the Company and the Warrant Agent; (5) at the time of execution, issuance and delivery of the Units, the Unit Agreement will have been duly authorized, executed and delivered by the Company and the Unit Agent; and (6) at the time of the issuance and sale of any of the Securities, the terms of the Securities, and their issuance and sale, will have been established so as not to violate any applicable law or result in a default under or breach of any agreement or instrument binding upon the Company and so as to comply with any requirement or restriction imposed by any court or governmental body having jurisdiction over the Company.</w:t>
      </w:r>
    </w:p>
    <w:p>
      <w:pPr>
        <w:spacing w:after="0" w:line="158" w:lineRule="exact"/>
        <w:rPr>
          <w:sz w:val="20"/>
          <w:szCs w:val="20"/>
          <w:color w:val="auto"/>
        </w:rPr>
      </w:pPr>
    </w:p>
    <w:p>
      <w:pPr>
        <w:ind w:right="400" w:firstLine="351"/>
        <w:spacing w:after="0" w:line="268" w:lineRule="auto"/>
        <w:rPr>
          <w:sz w:val="20"/>
          <w:szCs w:val="20"/>
          <w:color w:val="auto"/>
        </w:rPr>
      </w:pPr>
      <w:r>
        <w:rPr>
          <w:rFonts w:ascii="Arial" w:cs="Arial" w:eastAsia="Arial" w:hAnsi="Arial"/>
          <w:sz w:val="18"/>
          <w:szCs w:val="18"/>
          <w:color w:val="auto"/>
        </w:rPr>
        <w:t>Based upon the foregoing, in reliance thereon and subject to the assumptions, comments, qualifications, limitations and exceptions stated herein and the effectiveness of the Registration Statement under the Act, we are of the opinion that:</w:t>
      </w:r>
    </w:p>
    <w:p>
      <w:pPr>
        <w:spacing w:after="0" w:line="186" w:lineRule="exact"/>
        <w:rPr>
          <w:sz w:val="20"/>
          <w:szCs w:val="20"/>
          <w:color w:val="auto"/>
        </w:rPr>
      </w:pPr>
    </w:p>
    <w:p>
      <w:pPr>
        <w:jc w:val="both"/>
        <w:ind w:right="440" w:firstLine="184"/>
        <w:spacing w:after="0" w:line="298" w:lineRule="auto"/>
        <w:tabs>
          <w:tab w:leader="none" w:pos="658" w:val="left"/>
        </w:tabs>
        <w:numPr>
          <w:ilvl w:val="0"/>
          <w:numId w:val="87"/>
        </w:numPr>
        <w:rPr>
          <w:rFonts w:ascii="Arial" w:cs="Arial" w:eastAsia="Arial" w:hAnsi="Arial"/>
          <w:sz w:val="16"/>
          <w:szCs w:val="16"/>
          <w:color w:val="auto"/>
        </w:rPr>
      </w:pPr>
      <w:r>
        <w:rPr>
          <w:rFonts w:ascii="Arial" w:cs="Arial" w:eastAsia="Arial" w:hAnsi="Arial"/>
          <w:sz w:val="16"/>
          <w:szCs w:val="16"/>
          <w:color w:val="auto"/>
        </w:rPr>
        <w:t>With respect to the Capital Notes, assuming the (a) taking of all necessary corporate action to authorize and approve the issuance and terms of any Capital Notes, the terms of the offering thereof and related matters and (b) due execution, issuance and delivery of such Capital Notes upon payment of the consideration therefor provided for in the applicable definitive purchase, underwriting or similar agreement approved by the board of directors, such Capital Notes will constitute valid and legally binding obligations of the Company, enforceable against the Company in accordance with their terms.</w:t>
      </w:r>
    </w:p>
    <w:p>
      <w:pPr>
        <w:spacing w:after="0" w:line="396" w:lineRule="exact"/>
        <w:rPr>
          <w:rFonts w:ascii="Arial" w:cs="Arial" w:eastAsia="Arial" w:hAnsi="Arial"/>
          <w:sz w:val="16"/>
          <w:szCs w:val="16"/>
          <w:color w:val="auto"/>
        </w:rPr>
      </w:pPr>
    </w:p>
    <w:p>
      <w:pPr>
        <w:ind w:firstLine="184"/>
        <w:spacing w:after="0" w:line="255" w:lineRule="auto"/>
        <w:tabs>
          <w:tab w:leader="none" w:pos="658" w:val="left"/>
        </w:tabs>
        <w:numPr>
          <w:ilvl w:val="0"/>
          <w:numId w:val="87"/>
        </w:numPr>
        <w:rPr>
          <w:rFonts w:ascii="Arial" w:cs="Arial" w:eastAsia="Arial" w:hAnsi="Arial"/>
          <w:sz w:val="18"/>
          <w:szCs w:val="18"/>
          <w:color w:val="auto"/>
        </w:rPr>
      </w:pPr>
      <w:r>
        <w:rPr>
          <w:rFonts w:ascii="Arial" w:cs="Arial" w:eastAsia="Arial" w:hAnsi="Arial"/>
          <w:sz w:val="18"/>
          <w:szCs w:val="18"/>
          <w:color w:val="auto"/>
        </w:rPr>
        <w:t>With respect to the Debt Securities, assuming the (a) taking of all necessary corporate action to authorize and approve the issuance and terms of any Debt Securities, the terms of the offering thereof and related matters and (b) due execution, authentication, issuance and delivery of such Debt Securities upon payment of the consideration therefor provided for in the applicable definitive purchase, underwriting or similar agreement approved by the board of directors and otherwise in accordance with the provisions of the applicable Indenture, such Debt Securities will constitute valid and legally binding obligations of the Company, enforceable against the Company in accordance with their terms.</w:t>
      </w:r>
    </w:p>
    <w:p>
      <w:pPr>
        <w:spacing w:after="0" w:line="196" w:lineRule="exact"/>
        <w:rPr>
          <w:rFonts w:ascii="Arial" w:cs="Arial" w:eastAsia="Arial" w:hAnsi="Arial"/>
          <w:sz w:val="18"/>
          <w:szCs w:val="18"/>
          <w:color w:val="auto"/>
        </w:rPr>
      </w:pPr>
    </w:p>
    <w:p>
      <w:pPr>
        <w:jc w:val="both"/>
        <w:ind w:right="80" w:firstLine="184"/>
        <w:spacing w:after="0" w:line="335" w:lineRule="auto"/>
        <w:tabs>
          <w:tab w:leader="none" w:pos="658" w:val="left"/>
        </w:tabs>
        <w:numPr>
          <w:ilvl w:val="0"/>
          <w:numId w:val="87"/>
        </w:numPr>
        <w:rPr>
          <w:rFonts w:ascii="Arial" w:cs="Arial" w:eastAsia="Arial" w:hAnsi="Arial"/>
          <w:sz w:val="15"/>
          <w:szCs w:val="15"/>
          <w:color w:val="auto"/>
        </w:rPr>
      </w:pPr>
      <w:r>
        <w:rPr>
          <w:rFonts w:ascii="Arial" w:cs="Arial" w:eastAsia="Arial" w:hAnsi="Arial"/>
          <w:sz w:val="15"/>
          <w:szCs w:val="15"/>
          <w:color w:val="auto"/>
        </w:rPr>
        <w:t>With respect to the Purchase Contracts, assuming the (a) taking of all necessary corporate action to authorize and approve the issuance and terms of any Purchase Contracts, the terms of the offering thereof and related matters and (b) due execution, authentication, issuance and delivery of such Purchase Contracts upon payment of the consideration therefor provided for in the applicable definitive purchase, underwriting or similar agreement approved by the board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-1449705</wp:posOffset>
            </wp:positionV>
            <wp:extent cx="7250430"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bookmarkStart w:id="61" w:name="page62"/>
    <w:bookmarkEnd w:id="61"/>
    <w:p>
      <w:pPr>
        <w:ind w:right="440"/>
        <w:spacing w:after="0" w:line="268" w:lineRule="auto"/>
        <w:rPr>
          <w:sz w:val="20"/>
          <w:szCs w:val="20"/>
          <w:color w:val="auto"/>
        </w:rPr>
      </w:pPr>
      <w:r>
        <w:rPr>
          <w:rFonts w:ascii="Arial" w:cs="Arial" w:eastAsia="Arial" w:hAnsi="Arial"/>
          <w:sz w:val="18"/>
          <w:szCs w:val="18"/>
          <w:color w:val="auto"/>
        </w:rPr>
        <w:t>directors and otherwise in accordance with the provisions of the applicable Purchase Contract Agreement, such Purchase Contracts will constitute valid and legally binding obligations of the Company, enforceable against the Company in accordance with their terms.</w:t>
      </w:r>
    </w:p>
    <w:p>
      <w:pPr>
        <w:spacing w:after="0" w:line="186" w:lineRule="exact"/>
        <w:rPr>
          <w:sz w:val="20"/>
          <w:szCs w:val="20"/>
          <w:color w:val="auto"/>
        </w:rPr>
      </w:pPr>
    </w:p>
    <w:p>
      <w:pPr>
        <w:ind w:right="80" w:firstLine="184"/>
        <w:spacing w:after="0" w:line="255" w:lineRule="auto"/>
        <w:tabs>
          <w:tab w:leader="none" w:pos="658" w:val="left"/>
        </w:tabs>
        <w:numPr>
          <w:ilvl w:val="0"/>
          <w:numId w:val="88"/>
        </w:numPr>
        <w:rPr>
          <w:rFonts w:ascii="Arial" w:cs="Arial" w:eastAsia="Arial" w:hAnsi="Arial"/>
          <w:sz w:val="18"/>
          <w:szCs w:val="18"/>
          <w:color w:val="auto"/>
        </w:rPr>
      </w:pPr>
      <w:r>
        <w:rPr>
          <w:rFonts w:ascii="Arial" w:cs="Arial" w:eastAsia="Arial" w:hAnsi="Arial"/>
          <w:sz w:val="18"/>
          <w:szCs w:val="18"/>
          <w:color w:val="auto"/>
        </w:rPr>
        <w:t>With respect to the Warrants, assuming the (a) taking of all necessary corporate action to authorize and approve the issuance and terms of any Warrants, the terms of the offering thereof and related matters and (b) due execution, authentication, issuance and delivery of such Warrants upon payment of the consideration therefor provided for in the applicable definitive purchase, underwriting or similar agreement approved by the board of directors and otherwise in accordance with the provisions of the applicable Warrant Agreement, such Warrants will constitute valid and legally binding obligations of the Company, enforceable against the Company in accordance with their terms.</w:t>
      </w:r>
    </w:p>
    <w:p>
      <w:pPr>
        <w:spacing w:after="0" w:line="196" w:lineRule="exact"/>
        <w:rPr>
          <w:rFonts w:ascii="Arial" w:cs="Arial" w:eastAsia="Arial" w:hAnsi="Arial"/>
          <w:sz w:val="18"/>
          <w:szCs w:val="18"/>
          <w:color w:val="auto"/>
        </w:rPr>
      </w:pPr>
    </w:p>
    <w:p>
      <w:pPr>
        <w:ind w:right="40" w:firstLine="184"/>
        <w:spacing w:after="0" w:line="290" w:lineRule="auto"/>
        <w:tabs>
          <w:tab w:leader="none" w:pos="658" w:val="left"/>
        </w:tabs>
        <w:numPr>
          <w:ilvl w:val="0"/>
          <w:numId w:val="88"/>
        </w:numPr>
        <w:rPr>
          <w:rFonts w:ascii="Arial" w:cs="Arial" w:eastAsia="Arial" w:hAnsi="Arial"/>
          <w:sz w:val="16"/>
          <w:szCs w:val="16"/>
          <w:color w:val="auto"/>
        </w:rPr>
      </w:pPr>
      <w:r>
        <w:rPr>
          <w:rFonts w:ascii="Arial" w:cs="Arial" w:eastAsia="Arial" w:hAnsi="Arial"/>
          <w:sz w:val="16"/>
          <w:szCs w:val="16"/>
          <w:color w:val="auto"/>
        </w:rPr>
        <w:t>With respect to the Units, assuming the (a) taking of all necessary corporate action to authorize and approve the issuance and the terms of the Units, the related Unit Agreement and any Securities which are components of the Units, the terms of the offering thereof and related matters and (b) due execution, countersignature (where applicable), authentication, issuance and delivery of the Units and the Securities that are components of such Units in each case upon the payment of the consideration therefor provided for in the applicable definitive purchase, underwriting or similar agreement approved by the board of directors, and otherwise in accordance with the provisions of the applicable (i) Capital Notes, in the case of Capital Notes, (ii) Indenture, in the case of Debt Securities, (iii) Purchase Contract Agreement, in the case of Purchase Contracts and (iv) Warrant Agreement, in the case of Warrants, such Units will be validly issued and will entitle the holders thereof to the rights specified in the Unit Agreements.</w:t>
      </w:r>
    </w:p>
    <w:p>
      <w:pPr>
        <w:spacing w:after="0" w:line="172" w:lineRule="exact"/>
        <w:rPr>
          <w:sz w:val="20"/>
          <w:szCs w:val="20"/>
          <w:color w:val="auto"/>
        </w:rPr>
      </w:pPr>
    </w:p>
    <w:p>
      <w:pPr>
        <w:ind w:right="420" w:firstLine="351"/>
        <w:spacing w:after="0" w:line="268" w:lineRule="auto"/>
        <w:rPr>
          <w:sz w:val="20"/>
          <w:szCs w:val="20"/>
          <w:color w:val="auto"/>
        </w:rPr>
      </w:pPr>
      <w:r>
        <w:rPr>
          <w:rFonts w:ascii="Arial" w:cs="Arial" w:eastAsia="Arial" w:hAnsi="Arial"/>
          <w:sz w:val="18"/>
          <w:szCs w:val="18"/>
          <w:color w:val="auto"/>
        </w:rPr>
        <w:t>In addition to the assumptions, comments, qualifications, limitations and exceptions set forth above, the opinions set forth herein are further limited by, subject to and based upon the following assumptions, comments, qualifications, limitations and exceptions: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96" w:lineRule="exact"/>
        <w:rPr>
          <w:sz w:val="20"/>
          <w:szCs w:val="20"/>
          <w:color w:val="auto"/>
        </w:rPr>
      </w:pPr>
    </w:p>
    <w:p>
      <w:pPr>
        <w:ind w:right="20" w:firstLine="184"/>
        <w:spacing w:after="0" w:line="291" w:lineRule="auto"/>
        <w:tabs>
          <w:tab w:leader="none" w:pos="722" w:val="left"/>
        </w:tabs>
        <w:numPr>
          <w:ilvl w:val="0"/>
          <w:numId w:val="89"/>
        </w:numPr>
        <w:rPr>
          <w:rFonts w:ascii="Arial" w:cs="Arial" w:eastAsia="Arial" w:hAnsi="Arial"/>
          <w:sz w:val="16"/>
          <w:szCs w:val="16"/>
          <w:color w:val="auto"/>
        </w:rPr>
      </w:pPr>
      <w:r>
        <w:rPr>
          <w:rFonts w:ascii="Arial" w:cs="Arial" w:eastAsia="Arial" w:hAnsi="Arial"/>
          <w:sz w:val="16"/>
          <w:szCs w:val="16"/>
          <w:color w:val="auto"/>
        </w:rPr>
        <w:t>Our opinions herein reflect only the application of applicable laws of the State of New York and the federal laws of the United States of America. The opinions set forth herein are made as of the date hereof and are subject to, and may be limited by, future changes in the factual matters set forth herein, and we undertake no duty to advise you of the same. The opinions expressed herein are based upon the law in effect (and published or otherwise generally available) on the date hereof, and we assume no obligation to revise or supplement these opinions should such law be changed by legislative action, judicial decision or otherwise. In rendering our opinions, we have not considered, and hereby disclaim any opinion as to, the application or impact of any laws, cases, decisions, rules or regulations of any other jurisdiction, court or administrative agency.</w:t>
      </w:r>
    </w:p>
    <w:p>
      <w:pPr>
        <w:spacing w:after="0" w:line="174" w:lineRule="exact"/>
        <w:rPr>
          <w:rFonts w:ascii="Arial" w:cs="Arial" w:eastAsia="Arial" w:hAnsi="Arial"/>
          <w:sz w:val="16"/>
          <w:szCs w:val="16"/>
          <w:color w:val="auto"/>
        </w:rPr>
      </w:pPr>
    </w:p>
    <w:p>
      <w:pPr>
        <w:ind w:right="40" w:firstLine="184"/>
        <w:spacing w:after="0" w:line="290" w:lineRule="auto"/>
        <w:tabs>
          <w:tab w:leader="none" w:pos="731" w:val="left"/>
        </w:tabs>
        <w:numPr>
          <w:ilvl w:val="0"/>
          <w:numId w:val="89"/>
        </w:numPr>
        <w:rPr>
          <w:rFonts w:ascii="Arial" w:cs="Arial" w:eastAsia="Arial" w:hAnsi="Arial"/>
          <w:sz w:val="16"/>
          <w:szCs w:val="16"/>
          <w:color w:val="auto"/>
        </w:rPr>
      </w:pPr>
      <w:r>
        <w:rPr>
          <w:rFonts w:ascii="Arial" w:cs="Arial" w:eastAsia="Arial" w:hAnsi="Arial"/>
          <w:sz w:val="16"/>
          <w:szCs w:val="16"/>
          <w:color w:val="auto"/>
        </w:rPr>
        <w:t>Our opinions herein are subject to and may be limited by (i) applicable bankruptcy, insolvency, reorganization, receivership, moratorium and other similar laws affecting or relating to the rights and remedies of creditors generally including, without limitation, laws relative to fraudulent conveyances, preference and equitable subordination, (ii) general principles or equity (regardless of whether considered in a proceeding in equity or at law), (iii) an implied covenant of good faith and fair dealing, (iv) requirements that a claim with respect to any Securities denominated other than in United States dollars (or a judgment denominated other than in United States dollars with respect to such a claim) be converted into United States dollars at a rate of exchange prevailing on a date determined pursuant to applicable law, and (v) governmental authority to limit, delay or prohibit the making of payments outside the United States or in foreign currency or composite currency.</w:t>
      </w:r>
    </w:p>
    <w:p>
      <w:pPr>
        <w:spacing w:after="0" w:line="172" w:lineRule="exact"/>
        <w:rPr>
          <w:rFonts w:ascii="Arial" w:cs="Arial" w:eastAsia="Arial" w:hAnsi="Arial"/>
          <w:sz w:val="16"/>
          <w:szCs w:val="16"/>
          <w:color w:val="auto"/>
        </w:rPr>
      </w:pPr>
    </w:p>
    <w:p>
      <w:pPr>
        <w:ind w:firstLine="184"/>
        <w:spacing w:after="0" w:line="290" w:lineRule="auto"/>
        <w:tabs>
          <w:tab w:leader="none" w:pos="722" w:val="left"/>
        </w:tabs>
        <w:numPr>
          <w:ilvl w:val="0"/>
          <w:numId w:val="89"/>
        </w:numPr>
        <w:rPr>
          <w:rFonts w:ascii="Arial" w:cs="Arial" w:eastAsia="Arial" w:hAnsi="Arial"/>
          <w:sz w:val="16"/>
          <w:szCs w:val="16"/>
          <w:color w:val="auto"/>
        </w:rPr>
      </w:pPr>
      <w:r>
        <w:rPr>
          <w:rFonts w:ascii="Arial" w:cs="Arial" w:eastAsia="Arial" w:hAnsi="Arial"/>
          <w:sz w:val="16"/>
          <w:szCs w:val="16"/>
          <w:color w:val="auto"/>
        </w:rPr>
        <w:t>Our opinions are further subject to the effect of generally applicable rules of law arising from statutes, judicial and administrative decisions, and the rules and regulations of governmental authorities that: (i) limit or affect the enforcement of provisions of a contract that purport to require waiver of the obligations of good faith, fair dealing, diligence and reasonableness; (ii) limit the availability of a remedy under certain circumstances where another remedy has been elected; (iii) limit the enforceability of provisions releasing, exculpating or exempting a party from, or requiring indemnification of a party for, liability for its own action or inaction, to the extent the action or inaction involves negligence, recklessness, willful misconduct or unlawful conduct; (iv) may, where less than all of the contract may be unenforceable, limit the enforceability of the balance of the contract to circumstances in which the unenforceable portion is not an essential part of the agreed exchange and (v) govern and afford judicial discretion regarding the determination of damages and entitlement to attorneys’ fees.</w:t>
      </w:r>
    </w:p>
    <w:p>
      <w:pPr>
        <w:spacing w:after="0" w:line="172" w:lineRule="exact"/>
        <w:rPr>
          <w:rFonts w:ascii="Arial" w:cs="Arial" w:eastAsia="Arial" w:hAnsi="Arial"/>
          <w:sz w:val="16"/>
          <w:szCs w:val="16"/>
          <w:color w:val="auto"/>
        </w:rPr>
      </w:pPr>
    </w:p>
    <w:p>
      <w:pPr>
        <w:ind w:right="220" w:firstLine="184"/>
        <w:spacing w:after="0" w:line="291" w:lineRule="auto"/>
        <w:tabs>
          <w:tab w:leader="none" w:pos="731" w:val="left"/>
        </w:tabs>
        <w:numPr>
          <w:ilvl w:val="0"/>
          <w:numId w:val="89"/>
        </w:numPr>
        <w:rPr>
          <w:rFonts w:ascii="Arial" w:cs="Arial" w:eastAsia="Arial" w:hAnsi="Arial"/>
          <w:sz w:val="16"/>
          <w:szCs w:val="16"/>
          <w:color w:val="auto"/>
        </w:rPr>
      </w:pPr>
      <w:r>
        <w:rPr>
          <w:rFonts w:ascii="Arial" w:cs="Arial" w:eastAsia="Arial" w:hAnsi="Arial"/>
          <w:sz w:val="16"/>
          <w:szCs w:val="16"/>
          <w:color w:val="auto"/>
        </w:rPr>
        <w:t>We express no opinion as to the enforceability of any provision in any Capital Note, Indenture, Purchase Contract Agreement, Warrant Agreement, Unit Agreement or other agreement purporting or attempting to (A) confer exclusive jurisdiction and/or venue upon certain courts or otherwise waive the defenses of forum non conveniens or improper venue, (B) confer subject matter jurisdiction on a court not having independent grounds therefor, (C) modify or waive the requirements for effective service of process for any action that may be brought, (D) waive the right of the Company or any other person to a trial by jury, (E) provide that remedies are cumulative or that decisions by a party are conclusive, or (F) modify or waive the rights to notice, legal defenses, statutes of limitations or other benefits that cannot be waived under applicable law.</w:t>
      </w:r>
    </w:p>
    <w:p>
      <w:pPr>
        <w:spacing w:after="0" w:line="200" w:lineRule="exact"/>
        <w:rPr>
          <w:rFonts w:ascii="Arial" w:cs="Arial" w:eastAsia="Arial" w:hAnsi="Arial"/>
          <w:sz w:val="16"/>
          <w:szCs w:val="16"/>
          <w:color w:val="auto"/>
        </w:rPr>
      </w:pPr>
    </w:p>
    <w:p>
      <w:pPr>
        <w:spacing w:after="0" w:line="203" w:lineRule="exact"/>
        <w:rPr>
          <w:rFonts w:ascii="Arial" w:cs="Arial" w:eastAsia="Arial" w:hAnsi="Arial"/>
          <w:sz w:val="16"/>
          <w:szCs w:val="16"/>
          <w:color w:val="auto"/>
        </w:rPr>
      </w:pPr>
    </w:p>
    <w:p>
      <w:pPr>
        <w:ind w:right="260" w:firstLine="184"/>
        <w:spacing w:after="0" w:line="259" w:lineRule="auto"/>
        <w:tabs>
          <w:tab w:leader="none" w:pos="722" w:val="left"/>
        </w:tabs>
        <w:numPr>
          <w:ilvl w:val="0"/>
          <w:numId w:val="89"/>
        </w:numPr>
        <w:rPr>
          <w:rFonts w:ascii="Arial" w:cs="Arial" w:eastAsia="Arial" w:hAnsi="Arial"/>
          <w:sz w:val="18"/>
          <w:szCs w:val="18"/>
          <w:color w:val="auto"/>
        </w:rPr>
      </w:pPr>
      <w:r>
        <w:rPr>
          <w:rFonts w:ascii="Arial" w:cs="Arial" w:eastAsia="Arial" w:hAnsi="Arial"/>
          <w:sz w:val="18"/>
          <w:szCs w:val="18"/>
          <w:color w:val="auto"/>
        </w:rPr>
        <w:t>We express no opinion as to the enforceability of any rights to indemnification or contribution provided for in any Capital Note, Indenture, Purchase Contract Agreement, Warrant Agreement, Unit Agreement or other agreement which are violative of public policy underlying any law, rule or regulation (including any federal or state securities law, rule or regulation) or the legality of such rights.</w:t>
      </w:r>
    </w:p>
    <w:p>
      <w:pPr>
        <w:spacing w:after="0" w:line="194" w:lineRule="exact"/>
        <w:rPr>
          <w:rFonts w:ascii="Arial" w:cs="Arial" w:eastAsia="Arial" w:hAnsi="Arial"/>
          <w:sz w:val="18"/>
          <w:szCs w:val="18"/>
          <w:color w:val="auto"/>
        </w:rPr>
      </w:pPr>
    </w:p>
    <w:p>
      <w:pPr>
        <w:jc w:val="both"/>
        <w:ind w:right="100" w:firstLine="184"/>
        <w:spacing w:after="0" w:line="298" w:lineRule="auto"/>
        <w:tabs>
          <w:tab w:leader="none" w:pos="702" w:val="left"/>
        </w:tabs>
        <w:numPr>
          <w:ilvl w:val="0"/>
          <w:numId w:val="89"/>
        </w:numPr>
        <w:rPr>
          <w:rFonts w:ascii="Arial" w:cs="Arial" w:eastAsia="Arial" w:hAnsi="Arial"/>
          <w:sz w:val="16"/>
          <w:szCs w:val="16"/>
          <w:color w:val="auto"/>
        </w:rPr>
      </w:pPr>
      <w:r>
        <w:rPr>
          <w:rFonts w:ascii="Arial" w:cs="Arial" w:eastAsia="Arial" w:hAnsi="Arial"/>
          <w:sz w:val="16"/>
          <w:szCs w:val="16"/>
          <w:color w:val="auto"/>
        </w:rPr>
        <w:t>You have informed us that you intend to issue the Securities from time to time on a delayed or continuous basis, and this opinion is limited to the laws, including the rules and regulations, as in effect on the date hereof. We understand that prior to issuing any Securities you will afford us an opportunity to review the operative documents pursuant to which such Securities are to be issued (including the applicable prospectus supplement) and will file such supplement or amendment to this opinion (if any) as we may reasonably consider necessary or appropriate by reason of the terms of such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-1296670</wp:posOffset>
            </wp:positionV>
            <wp:extent cx="7250430"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147"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We hereby consent to the filing of this opinion as Exhibit 5 to the Registration Statement and to the use of our name under the caption “Legal Matters” in the Prospectus. We also consent to your filing copies of this opinion as an exhibit to the Registration Statement with agencies of such states as you deem necessary in the course of complying with the laws of such states regarding the offering and sale of the Securities. In giving such consent, we do not thereby concede that we are within the category of persons whose consent is required under Section 7 of the Act or the Rules and Regulations of the Commission thereunder.</w:t>
      </w:r>
    </w:p>
    <w:p>
      <w:pPr>
        <w:spacing w:after="0" w:line="16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Eilenberg Krause &amp; Paul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274955</wp:posOffset>
            </wp:positionV>
            <wp:extent cx="7250430"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1003935</wp:posOffset>
            </wp:positionV>
            <wp:extent cx="726757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3810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Borders>
              <w:bottom w:val="single" w:sz="8" w:color="auto"/>
            </w:tcBorders>
            <w:gridSpan w:val="6"/>
          </w:tcPr>
          <w:p>
            <w:pPr>
              <w:spacing w:after="0"/>
              <w:rPr>
                <w:sz w:val="20"/>
                <w:szCs w:val="20"/>
                <w:color w:val="auto"/>
              </w:rPr>
            </w:pPr>
            <w:r>
              <w:rPr>
                <w:rFonts w:ascii="Arial" w:cs="Arial" w:eastAsia="Arial" w:hAnsi="Arial"/>
                <w:sz w:val="18"/>
                <w:szCs w:val="18"/>
                <w:b w:val="1"/>
                <w:bCs w:val="1"/>
                <w:color w:val="auto"/>
                <w:w w:val="97"/>
              </w:rPr>
              <w:t>EXHIBIT 12.1</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Nine Month</w:t>
            </w: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Ended</w:t>
            </w: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jc w:val="center"/>
              <w:ind w:left="259"/>
              <w:spacing w:after="0"/>
              <w:rPr>
                <w:sz w:val="20"/>
                <w:szCs w:val="20"/>
                <w:color w:val="auto"/>
              </w:rPr>
            </w:pPr>
            <w:r>
              <w:rPr>
                <w:rFonts w:ascii="Arial" w:cs="Arial" w:eastAsia="Arial" w:hAnsi="Arial"/>
                <w:sz w:val="14"/>
                <w:szCs w:val="14"/>
                <w:b w:val="1"/>
                <w:bCs w:val="1"/>
                <w:color w:val="auto"/>
                <w:w w:val="83"/>
              </w:rPr>
              <w:t>2007</w:t>
            </w:r>
          </w:p>
        </w:tc>
        <w:tc>
          <w:tcPr>
            <w:tcW w:w="34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2006</w:t>
            </w:r>
          </w:p>
        </w:tc>
        <w:tc>
          <w:tcPr>
            <w:tcW w:w="34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2005</w:t>
            </w:r>
          </w:p>
        </w:tc>
        <w:tc>
          <w:tcPr>
            <w:tcW w:w="320" w:type="dxa"/>
            <w:vAlign w:val="bottom"/>
          </w:tcPr>
          <w:p>
            <w:pPr>
              <w:spacing w:after="0"/>
              <w:rPr>
                <w:sz w:val="15"/>
                <w:szCs w:val="15"/>
                <w:color w:val="auto"/>
              </w:rPr>
            </w:pPr>
          </w:p>
        </w:tc>
        <w:tc>
          <w:tcPr>
            <w:tcW w:w="80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2004</w:t>
            </w:r>
          </w:p>
        </w:tc>
        <w:tc>
          <w:tcPr>
            <w:tcW w:w="320" w:type="dxa"/>
            <w:vAlign w:val="bottom"/>
          </w:tcPr>
          <w:p>
            <w:pPr>
              <w:spacing w:after="0"/>
              <w:rPr>
                <w:sz w:val="15"/>
                <w:szCs w:val="15"/>
                <w:color w:val="auto"/>
              </w:rPr>
            </w:pPr>
          </w:p>
        </w:tc>
        <w:tc>
          <w:tcPr>
            <w:tcW w:w="80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2003</w:t>
            </w:r>
          </w:p>
        </w:tc>
        <w:tc>
          <w:tcPr>
            <w:tcW w:w="240" w:type="dxa"/>
            <w:vAlign w:val="bottom"/>
          </w:tcPr>
          <w:p>
            <w:pPr>
              <w:spacing w:after="0"/>
              <w:rPr>
                <w:sz w:val="15"/>
                <w:szCs w:val="15"/>
                <w:color w:val="auto"/>
              </w:rPr>
            </w:pPr>
          </w:p>
        </w:tc>
        <w:tc>
          <w:tcPr>
            <w:tcW w:w="88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rPr>
              <w:t>2002</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6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(Unaudited)</w:t>
            </w:r>
          </w:p>
        </w:tc>
        <w:tc>
          <w:tcPr>
            <w:tcW w:w="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6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vMerge w:val="restart"/>
          </w:tcPr>
          <w:p>
            <w:pPr>
              <w:spacing w:after="0"/>
              <w:rPr>
                <w:sz w:val="21"/>
                <w:szCs w:val="21"/>
                <w:color w:val="auto"/>
              </w:rPr>
            </w:pPr>
          </w:p>
        </w:tc>
        <w:tc>
          <w:tcPr>
            <w:tcW w:w="4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Earnings (losses):</w:t>
            </w: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Losses before income taxes</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(105,253)</w:t>
            </w:r>
          </w:p>
        </w:tc>
        <w:tc>
          <w:tcPr>
            <w:tcW w:w="1160" w:type="dxa"/>
            <w:vAlign w:val="bottom"/>
            <w:gridSpan w:val="3"/>
          </w:tcPr>
          <w:p>
            <w:pPr>
              <w:jc w:val="right"/>
              <w:ind w:right="280"/>
              <w:spacing w:after="0"/>
              <w:rPr>
                <w:sz w:val="20"/>
                <w:szCs w:val="20"/>
                <w:color w:val="auto"/>
              </w:rPr>
            </w:pPr>
            <w:r>
              <w:rPr>
                <w:rFonts w:ascii="Arial" w:cs="Arial" w:eastAsia="Arial" w:hAnsi="Arial"/>
                <w:sz w:val="18"/>
                <w:szCs w:val="18"/>
                <w:color w:val="auto"/>
              </w:rPr>
              <w:t>(86,928)</w:t>
            </w:r>
          </w:p>
        </w:tc>
        <w:tc>
          <w:tcPr>
            <w:tcW w:w="1140" w:type="dxa"/>
            <w:vAlign w:val="bottom"/>
            <w:gridSpan w:val="3"/>
          </w:tcPr>
          <w:p>
            <w:pPr>
              <w:jc w:val="right"/>
              <w:ind w:right="260"/>
              <w:spacing w:after="0"/>
              <w:rPr>
                <w:sz w:val="20"/>
                <w:szCs w:val="20"/>
                <w:color w:val="auto"/>
              </w:rPr>
            </w:pPr>
            <w:r>
              <w:rPr>
                <w:rFonts w:ascii="Arial" w:cs="Arial" w:eastAsia="Arial" w:hAnsi="Arial"/>
                <w:sz w:val="18"/>
                <w:szCs w:val="18"/>
                <w:color w:val="auto"/>
              </w:rPr>
              <w:t>(203,082)</w:t>
            </w:r>
          </w:p>
        </w:tc>
        <w:tc>
          <w:tcPr>
            <w:tcW w:w="1120" w:type="dxa"/>
            <w:vAlign w:val="bottom"/>
            <w:gridSpan w:val="4"/>
          </w:tcPr>
          <w:p>
            <w:pPr>
              <w:jc w:val="right"/>
              <w:ind w:right="260"/>
              <w:spacing w:after="0"/>
              <w:rPr>
                <w:sz w:val="20"/>
                <w:szCs w:val="20"/>
                <w:color w:val="auto"/>
              </w:rPr>
            </w:pPr>
            <w:r>
              <w:rPr>
                <w:rFonts w:ascii="Arial" w:cs="Arial" w:eastAsia="Arial" w:hAnsi="Arial"/>
                <w:sz w:val="18"/>
                <w:szCs w:val="18"/>
                <w:color w:val="auto"/>
              </w:rPr>
              <w:t>(137,768)</w:t>
            </w:r>
          </w:p>
        </w:tc>
        <w:tc>
          <w:tcPr>
            <w:tcW w:w="1040" w:type="dxa"/>
            <w:vAlign w:val="bottom"/>
            <w:gridSpan w:val="4"/>
          </w:tcPr>
          <w:p>
            <w:pPr>
              <w:jc w:val="right"/>
              <w:ind w:right="180"/>
              <w:spacing w:after="0"/>
              <w:rPr>
                <w:sz w:val="20"/>
                <w:szCs w:val="20"/>
                <w:color w:val="auto"/>
              </w:rPr>
            </w:pPr>
            <w:r>
              <w:rPr>
                <w:rFonts w:ascii="Arial" w:cs="Arial" w:eastAsia="Arial" w:hAnsi="Arial"/>
                <w:sz w:val="18"/>
                <w:szCs w:val="18"/>
                <w:color w:val="auto"/>
              </w:rPr>
              <w:t>(114,261)</w:t>
            </w:r>
          </w:p>
        </w:tc>
        <w:tc>
          <w:tcPr>
            <w:tcW w:w="1080" w:type="dxa"/>
            <w:vAlign w:val="bottom"/>
            <w:gridSpan w:val="5"/>
          </w:tcPr>
          <w:p>
            <w:pPr>
              <w:jc w:val="right"/>
              <w:ind w:right="140"/>
              <w:spacing w:after="0"/>
              <w:rPr>
                <w:sz w:val="20"/>
                <w:szCs w:val="20"/>
                <w:color w:val="auto"/>
              </w:rPr>
            </w:pPr>
            <w:r>
              <w:rPr>
                <w:rFonts w:ascii="Arial" w:cs="Arial" w:eastAsia="Arial" w:hAnsi="Arial"/>
                <w:sz w:val="18"/>
                <w:szCs w:val="18"/>
                <w:color w:val="auto"/>
              </w:rPr>
              <w:t>(51,402)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Gain on debt restructuring</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(80,071)</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Amortization of capitalized</w:t>
            </w: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720" w:type="dxa"/>
            <w:vAlign w:val="bottom"/>
            <w:gridSpan w:val="3"/>
          </w:tcPr>
          <w:p>
            <w:pPr>
              <w:spacing w:after="0"/>
              <w:rPr>
                <w:sz w:val="20"/>
                <w:szCs w:val="20"/>
                <w:color w:val="auto"/>
              </w:rPr>
            </w:pPr>
            <w:r>
              <w:rPr>
                <w:rFonts w:ascii="Arial" w:cs="Arial" w:eastAsia="Arial" w:hAnsi="Arial"/>
                <w:sz w:val="18"/>
                <w:szCs w:val="18"/>
                <w:color w:val="auto"/>
              </w:rPr>
              <w:t>interest (a)</w:t>
            </w:r>
          </w:p>
        </w:tc>
        <w:tc>
          <w:tcPr>
            <w:tcW w:w="800" w:type="dxa"/>
            <w:vAlign w:val="bottom"/>
          </w:tcPr>
          <w:p>
            <w:pPr>
              <w:jc w:val="right"/>
              <w:spacing w:after="0"/>
              <w:rPr>
                <w:sz w:val="20"/>
                <w:szCs w:val="20"/>
                <w:color w:val="auto"/>
              </w:rPr>
            </w:pPr>
            <w:r>
              <w:rPr>
                <w:rFonts w:ascii="Arial" w:cs="Arial" w:eastAsia="Arial" w:hAnsi="Arial"/>
                <w:sz w:val="18"/>
                <w:szCs w:val="18"/>
                <w:color w:val="auto"/>
              </w:rPr>
              <w:t>5,215</w:t>
            </w:r>
          </w:p>
        </w:tc>
        <w:tc>
          <w:tcPr>
            <w:tcW w:w="34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5,654</w:t>
            </w:r>
          </w:p>
        </w:tc>
        <w:tc>
          <w:tcPr>
            <w:tcW w:w="34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4,206</w:t>
            </w:r>
          </w:p>
        </w:tc>
        <w:tc>
          <w:tcPr>
            <w:tcW w:w="320" w:type="dxa"/>
            <w:vAlign w:val="bottom"/>
          </w:tcPr>
          <w:p>
            <w:pPr>
              <w:spacing w:after="0"/>
              <w:rPr>
                <w:sz w:val="19"/>
                <w:szCs w:val="19"/>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3,557</w:t>
            </w:r>
          </w:p>
        </w:tc>
        <w:tc>
          <w:tcPr>
            <w:tcW w:w="320" w:type="dxa"/>
            <w:vAlign w:val="bottom"/>
          </w:tcPr>
          <w:p>
            <w:pPr>
              <w:spacing w:after="0"/>
              <w:rPr>
                <w:sz w:val="19"/>
                <w:szCs w:val="19"/>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954</w:t>
            </w:r>
          </w:p>
        </w:tc>
        <w:tc>
          <w:tcPr>
            <w:tcW w:w="240" w:type="dxa"/>
            <w:vAlign w:val="bottom"/>
          </w:tcPr>
          <w:p>
            <w:pPr>
              <w:spacing w:after="0"/>
              <w:rPr>
                <w:sz w:val="19"/>
                <w:szCs w:val="19"/>
                <w:color w:val="auto"/>
              </w:rPr>
            </w:pPr>
          </w:p>
        </w:tc>
        <w:tc>
          <w:tcPr>
            <w:tcW w:w="88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capitalized (d)</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(7,266)</w:t>
            </w:r>
          </w:p>
        </w:tc>
        <w:tc>
          <w:tcPr>
            <w:tcW w:w="11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(5,692)</w:t>
            </w:r>
          </w:p>
        </w:tc>
        <w:tc>
          <w:tcPr>
            <w:tcW w:w="11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(2,793)</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(14,042)</w:t>
            </w:r>
          </w:p>
        </w:tc>
        <w:tc>
          <w:tcPr>
            <w:tcW w:w="108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(12,300)</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8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820" w:type="dxa"/>
            <w:vAlign w:val="bottom"/>
            <w:tcBorders>
              <w:bottom w:val="single" w:sz="8" w:color="808080"/>
            </w:tcBorders>
            <w:gridSpan w:val="2"/>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Borders>
              <w:bottom w:val="single" w:sz="8" w:color="808080"/>
            </w:tcBorders>
            <w:gridSpan w:val="2"/>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Borders>
              <w:bottom w:val="single" w:sz="8" w:color="808080"/>
            </w:tcBorders>
            <w:gridSpan w:val="2"/>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gridSpan w:val="2"/>
          </w:tcPr>
          <w:p>
            <w:pPr>
              <w:spacing w:after="0"/>
              <w:rPr>
                <w:sz w:val="9"/>
                <w:szCs w:val="9"/>
                <w:color w:val="auto"/>
              </w:rPr>
            </w:pPr>
          </w:p>
        </w:tc>
        <w:tc>
          <w:tcPr>
            <w:tcW w:w="780" w:type="dxa"/>
            <w:vAlign w:val="bottom"/>
            <w:tcBorders>
              <w:bottom w:val="single" w:sz="8" w:color="808080"/>
            </w:tcBorders>
            <w:gridSpan w:val="2"/>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2"/>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(107,304)</w:t>
            </w:r>
          </w:p>
        </w:tc>
        <w:tc>
          <w:tcPr>
            <w:tcW w:w="1160" w:type="dxa"/>
            <w:vAlign w:val="bottom"/>
            <w:gridSpan w:val="3"/>
          </w:tcPr>
          <w:p>
            <w:pPr>
              <w:jc w:val="right"/>
              <w:ind w:right="280"/>
              <w:spacing w:after="0"/>
              <w:rPr>
                <w:sz w:val="20"/>
                <w:szCs w:val="20"/>
                <w:color w:val="auto"/>
              </w:rPr>
            </w:pPr>
            <w:r>
              <w:rPr>
                <w:rFonts w:ascii="Arial" w:cs="Arial" w:eastAsia="Arial" w:hAnsi="Arial"/>
                <w:sz w:val="18"/>
                <w:szCs w:val="18"/>
                <w:color w:val="auto"/>
              </w:rPr>
              <w:t>(167,037)</w:t>
            </w:r>
          </w:p>
        </w:tc>
        <w:tc>
          <w:tcPr>
            <w:tcW w:w="1140" w:type="dxa"/>
            <w:vAlign w:val="bottom"/>
            <w:gridSpan w:val="3"/>
          </w:tcPr>
          <w:p>
            <w:pPr>
              <w:jc w:val="right"/>
              <w:ind w:right="260"/>
              <w:spacing w:after="0"/>
              <w:rPr>
                <w:sz w:val="20"/>
                <w:szCs w:val="20"/>
                <w:color w:val="auto"/>
              </w:rPr>
            </w:pPr>
            <w:r>
              <w:rPr>
                <w:rFonts w:ascii="Arial" w:cs="Arial" w:eastAsia="Arial" w:hAnsi="Arial"/>
                <w:sz w:val="18"/>
                <w:szCs w:val="18"/>
                <w:color w:val="auto"/>
              </w:rPr>
              <w:t>(201,669)</w:t>
            </w:r>
          </w:p>
        </w:tc>
        <w:tc>
          <w:tcPr>
            <w:tcW w:w="1120" w:type="dxa"/>
            <w:vAlign w:val="bottom"/>
            <w:gridSpan w:val="4"/>
          </w:tcPr>
          <w:p>
            <w:pPr>
              <w:jc w:val="right"/>
              <w:ind w:right="260"/>
              <w:spacing w:after="0"/>
              <w:rPr>
                <w:sz w:val="20"/>
                <w:szCs w:val="20"/>
                <w:color w:val="auto"/>
              </w:rPr>
            </w:pPr>
            <w:r>
              <w:rPr>
                <w:rFonts w:ascii="Arial" w:cs="Arial" w:eastAsia="Arial" w:hAnsi="Arial"/>
                <w:sz w:val="18"/>
                <w:szCs w:val="18"/>
                <w:color w:val="auto"/>
              </w:rPr>
              <w:t>(134,211)</w:t>
            </w:r>
          </w:p>
        </w:tc>
        <w:tc>
          <w:tcPr>
            <w:tcW w:w="1040" w:type="dxa"/>
            <w:vAlign w:val="bottom"/>
            <w:gridSpan w:val="4"/>
          </w:tcPr>
          <w:p>
            <w:pPr>
              <w:jc w:val="right"/>
              <w:ind w:right="180"/>
              <w:spacing w:after="0"/>
              <w:rPr>
                <w:sz w:val="20"/>
                <w:szCs w:val="20"/>
                <w:color w:val="auto"/>
              </w:rPr>
            </w:pPr>
            <w:r>
              <w:rPr>
                <w:rFonts w:ascii="Arial" w:cs="Arial" w:eastAsia="Arial" w:hAnsi="Arial"/>
                <w:sz w:val="18"/>
                <w:szCs w:val="18"/>
                <w:color w:val="auto"/>
              </w:rPr>
              <w:t>(127,349)</w:t>
            </w:r>
          </w:p>
        </w:tc>
        <w:tc>
          <w:tcPr>
            <w:tcW w:w="1080" w:type="dxa"/>
            <w:vAlign w:val="bottom"/>
            <w:gridSpan w:val="5"/>
          </w:tcPr>
          <w:p>
            <w:pPr>
              <w:jc w:val="right"/>
              <w:ind w:right="140"/>
              <w:spacing w:after="0"/>
              <w:rPr>
                <w:sz w:val="20"/>
                <w:szCs w:val="20"/>
                <w:color w:val="auto"/>
              </w:rPr>
            </w:pPr>
            <w:r>
              <w:rPr>
                <w:rFonts w:ascii="Arial" w:cs="Arial" w:eastAsia="Arial" w:hAnsi="Arial"/>
                <w:sz w:val="18"/>
                <w:szCs w:val="18"/>
                <w:color w:val="auto"/>
              </w:rPr>
              <w:t>(63,702)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68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Fixed Charges:</w:t>
            </w: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Amortization of expenses related to indebtedness (b)</w:t>
            </w:r>
          </w:p>
        </w:tc>
        <w:tc>
          <w:tcPr>
            <w:tcW w:w="800" w:type="dxa"/>
            <w:vAlign w:val="bottom"/>
          </w:tcPr>
          <w:p>
            <w:pPr>
              <w:jc w:val="right"/>
              <w:spacing w:after="0"/>
              <w:rPr>
                <w:sz w:val="20"/>
                <w:szCs w:val="20"/>
                <w:color w:val="auto"/>
              </w:rPr>
            </w:pPr>
            <w:r>
              <w:rPr>
                <w:rFonts w:ascii="Arial" w:cs="Arial" w:eastAsia="Arial" w:hAnsi="Arial"/>
                <w:sz w:val="18"/>
                <w:szCs w:val="18"/>
                <w:color w:val="auto"/>
              </w:rPr>
              <w:t>5,630</w:t>
            </w:r>
          </w:p>
        </w:tc>
        <w:tc>
          <w:tcPr>
            <w:tcW w:w="3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4,589</w:t>
            </w:r>
          </w:p>
        </w:tc>
        <w:tc>
          <w:tcPr>
            <w:tcW w:w="3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523</w:t>
            </w:r>
          </w:p>
        </w:tc>
        <w:tc>
          <w:tcPr>
            <w:tcW w:w="32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524</w:t>
            </w:r>
          </w:p>
        </w:tc>
        <w:tc>
          <w:tcPr>
            <w:tcW w:w="32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271</w:t>
            </w:r>
          </w:p>
        </w:tc>
        <w:tc>
          <w:tcPr>
            <w:tcW w:w="240" w:type="dxa"/>
            <w:vAlign w:val="bottom"/>
          </w:tcPr>
          <w:p>
            <w:pPr>
              <w:spacing w:after="0"/>
              <w:rPr>
                <w:sz w:val="18"/>
                <w:szCs w:val="18"/>
                <w:color w:val="auto"/>
              </w:rPr>
            </w:pPr>
          </w:p>
        </w:tc>
        <w:tc>
          <w:tcPr>
            <w:tcW w:w="88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expenses (c)</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24,345</w:t>
            </w:r>
          </w:p>
        </w:tc>
        <w:tc>
          <w:tcPr>
            <w:tcW w:w="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39,264</w:t>
            </w:r>
          </w:p>
        </w:tc>
        <w:tc>
          <w:tcPr>
            <w:tcW w:w="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32,360</w:t>
            </w:r>
          </w:p>
        </w:tc>
        <w:tc>
          <w:tcPr>
            <w:tcW w:w="3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26,582</w:t>
            </w:r>
          </w:p>
        </w:tc>
        <w:tc>
          <w:tcPr>
            <w:tcW w:w="3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7,891</w:t>
            </w:r>
          </w:p>
        </w:tc>
        <w:tc>
          <w:tcPr>
            <w:tcW w:w="24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Interest capitalized (d)</w:t>
            </w:r>
          </w:p>
        </w:tc>
        <w:tc>
          <w:tcPr>
            <w:tcW w:w="800" w:type="dxa"/>
            <w:vAlign w:val="bottom"/>
          </w:tcPr>
          <w:p>
            <w:pPr>
              <w:jc w:val="right"/>
              <w:spacing w:after="0"/>
              <w:rPr>
                <w:sz w:val="20"/>
                <w:szCs w:val="20"/>
                <w:color w:val="auto"/>
              </w:rPr>
            </w:pPr>
            <w:r>
              <w:rPr>
                <w:rFonts w:ascii="Arial" w:cs="Arial" w:eastAsia="Arial" w:hAnsi="Arial"/>
                <w:sz w:val="18"/>
                <w:szCs w:val="18"/>
                <w:color w:val="auto"/>
              </w:rPr>
              <w:t>7,266</w:t>
            </w:r>
          </w:p>
        </w:tc>
        <w:tc>
          <w:tcPr>
            <w:tcW w:w="34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5,692</w:t>
            </w:r>
          </w:p>
        </w:tc>
        <w:tc>
          <w:tcPr>
            <w:tcW w:w="34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2,793</w:t>
            </w:r>
          </w:p>
        </w:tc>
        <w:tc>
          <w:tcPr>
            <w:tcW w:w="320" w:type="dxa"/>
            <w:vAlign w:val="bottom"/>
          </w:tcPr>
          <w:p>
            <w:pPr>
              <w:spacing w:after="0"/>
              <w:rPr>
                <w:sz w:val="19"/>
                <w:szCs w:val="19"/>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14,042</w:t>
            </w:r>
          </w:p>
        </w:tc>
        <w:tc>
          <w:tcPr>
            <w:tcW w:w="240" w:type="dxa"/>
            <w:vAlign w:val="bottom"/>
          </w:tcPr>
          <w:p>
            <w:pPr>
              <w:spacing w:after="0"/>
              <w:rPr>
                <w:sz w:val="19"/>
                <w:szCs w:val="19"/>
                <w:color w:val="auto"/>
              </w:rPr>
            </w:pPr>
          </w:p>
        </w:tc>
        <w:tc>
          <w:tcPr>
            <w:tcW w:w="880" w:type="dxa"/>
            <w:vAlign w:val="bottom"/>
            <w:gridSpan w:val="4"/>
          </w:tcPr>
          <w:p>
            <w:pPr>
              <w:jc w:val="right"/>
              <w:spacing w:after="0"/>
              <w:rPr>
                <w:sz w:val="20"/>
                <w:szCs w:val="20"/>
                <w:color w:val="auto"/>
              </w:rPr>
            </w:pPr>
            <w:r>
              <w:rPr>
                <w:rFonts w:ascii="Arial" w:cs="Arial" w:eastAsia="Arial" w:hAnsi="Arial"/>
                <w:sz w:val="18"/>
                <w:szCs w:val="18"/>
                <w:color w:val="auto"/>
              </w:rPr>
              <w:t>12,300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8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Fixed Charges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37,241</w:t>
            </w:r>
          </w:p>
        </w:tc>
        <w:tc>
          <w:tcPr>
            <w:tcW w:w="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49,545</w:t>
            </w:r>
          </w:p>
        </w:tc>
        <w:tc>
          <w:tcPr>
            <w:tcW w:w="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35,676</w:t>
            </w:r>
          </w:p>
        </w:tc>
        <w:tc>
          <w:tcPr>
            <w:tcW w:w="3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27,106</w:t>
            </w:r>
          </w:p>
        </w:tc>
        <w:tc>
          <w:tcPr>
            <w:tcW w:w="3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22,204</w:t>
            </w:r>
          </w:p>
        </w:tc>
        <w:tc>
          <w:tcPr>
            <w:tcW w:w="24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13,008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4700" w:type="dxa"/>
            <w:vAlign w:val="bottom"/>
            <w:gridSpan w:val="2"/>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Borders>
              <w:bottom w:val="single" w:sz="8" w:color="808080"/>
            </w:tcBorders>
            <w:gridSpan w:val="2"/>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Borders>
              <w:bottom w:val="single" w:sz="8" w:color="808080"/>
            </w:tcBorders>
            <w:gridSpan w:val="2"/>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Borders>
              <w:bottom w:val="single" w:sz="8" w:color="808080"/>
            </w:tcBorders>
            <w:gridSpan w:val="2"/>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Borders>
              <w:bottom w:val="single" w:sz="8" w:color="808080"/>
            </w:tcBorders>
            <w:gridSpan w:val="2"/>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gridSpan w:val="2"/>
          </w:tcPr>
          <w:p>
            <w:pPr>
              <w:spacing w:after="0"/>
              <w:rPr>
                <w:sz w:val="11"/>
                <w:szCs w:val="11"/>
                <w:color w:val="auto"/>
              </w:rPr>
            </w:pPr>
          </w:p>
        </w:tc>
        <w:tc>
          <w:tcPr>
            <w:tcW w:w="780" w:type="dxa"/>
            <w:vAlign w:val="bottom"/>
            <w:tcBorders>
              <w:bottom w:val="single" w:sz="8" w:color="808080"/>
            </w:tcBorders>
            <w:gridSpan w:val="2"/>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5"/>
        </w:trPr>
        <w:tc>
          <w:tcPr>
            <w:tcW w:w="4720" w:type="dxa"/>
            <w:vAlign w:val="bottom"/>
            <w:gridSpan w:val="3"/>
          </w:tcPr>
          <w:p>
            <w:pPr>
              <w:spacing w:after="0"/>
              <w:rPr>
                <w:sz w:val="20"/>
                <w:szCs w:val="20"/>
                <w:color w:val="auto"/>
              </w:rPr>
            </w:pPr>
            <w:r>
              <w:rPr>
                <w:rFonts w:ascii="Arial" w:cs="Arial" w:eastAsia="Arial" w:hAnsi="Arial"/>
                <w:sz w:val="18"/>
                <w:szCs w:val="18"/>
                <w:b w:val="1"/>
                <w:bCs w:val="1"/>
                <w:color w:val="auto"/>
              </w:rPr>
              <w:t>Earnings (losses), as adjusted</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(70,063)</w:t>
            </w:r>
          </w:p>
        </w:tc>
        <w:tc>
          <w:tcPr>
            <w:tcW w:w="1160" w:type="dxa"/>
            <w:vAlign w:val="bottom"/>
            <w:gridSpan w:val="3"/>
          </w:tcPr>
          <w:p>
            <w:pPr>
              <w:jc w:val="right"/>
              <w:ind w:right="280"/>
              <w:spacing w:after="0"/>
              <w:rPr>
                <w:sz w:val="20"/>
                <w:szCs w:val="20"/>
                <w:color w:val="auto"/>
              </w:rPr>
            </w:pPr>
            <w:r>
              <w:rPr>
                <w:rFonts w:ascii="Arial" w:cs="Arial" w:eastAsia="Arial" w:hAnsi="Arial"/>
                <w:sz w:val="18"/>
                <w:szCs w:val="18"/>
                <w:color w:val="auto"/>
              </w:rPr>
              <w:t>(117,492)</w:t>
            </w:r>
          </w:p>
        </w:tc>
        <w:tc>
          <w:tcPr>
            <w:tcW w:w="1140" w:type="dxa"/>
            <w:vAlign w:val="bottom"/>
            <w:gridSpan w:val="3"/>
          </w:tcPr>
          <w:p>
            <w:pPr>
              <w:jc w:val="right"/>
              <w:ind w:right="260"/>
              <w:spacing w:after="0"/>
              <w:rPr>
                <w:sz w:val="20"/>
                <w:szCs w:val="20"/>
                <w:color w:val="auto"/>
              </w:rPr>
            </w:pPr>
            <w:r>
              <w:rPr>
                <w:rFonts w:ascii="Arial" w:cs="Arial" w:eastAsia="Arial" w:hAnsi="Arial"/>
                <w:sz w:val="18"/>
                <w:szCs w:val="18"/>
                <w:color w:val="auto"/>
              </w:rPr>
              <w:t>(165,993)</w:t>
            </w:r>
          </w:p>
        </w:tc>
        <w:tc>
          <w:tcPr>
            <w:tcW w:w="1120" w:type="dxa"/>
            <w:vAlign w:val="bottom"/>
            <w:gridSpan w:val="4"/>
          </w:tcPr>
          <w:p>
            <w:pPr>
              <w:jc w:val="right"/>
              <w:ind w:right="260"/>
              <w:spacing w:after="0"/>
              <w:rPr>
                <w:sz w:val="20"/>
                <w:szCs w:val="20"/>
                <w:color w:val="auto"/>
              </w:rPr>
            </w:pPr>
            <w:r>
              <w:rPr>
                <w:rFonts w:ascii="Arial" w:cs="Arial" w:eastAsia="Arial" w:hAnsi="Arial"/>
                <w:sz w:val="18"/>
                <w:szCs w:val="18"/>
                <w:color w:val="auto"/>
              </w:rPr>
              <w:t>(107,105)</w:t>
            </w:r>
          </w:p>
        </w:tc>
        <w:tc>
          <w:tcPr>
            <w:tcW w:w="1040" w:type="dxa"/>
            <w:vAlign w:val="bottom"/>
            <w:gridSpan w:val="4"/>
          </w:tcPr>
          <w:p>
            <w:pPr>
              <w:jc w:val="right"/>
              <w:ind w:right="180"/>
              <w:spacing w:after="0"/>
              <w:rPr>
                <w:sz w:val="20"/>
                <w:szCs w:val="20"/>
                <w:color w:val="auto"/>
              </w:rPr>
            </w:pPr>
            <w:r>
              <w:rPr>
                <w:rFonts w:ascii="Arial" w:cs="Arial" w:eastAsia="Arial" w:hAnsi="Arial"/>
                <w:sz w:val="18"/>
                <w:szCs w:val="18"/>
                <w:color w:val="auto"/>
              </w:rPr>
              <w:t>(105,145)</w:t>
            </w:r>
          </w:p>
        </w:tc>
        <w:tc>
          <w:tcPr>
            <w:tcW w:w="1080" w:type="dxa"/>
            <w:vAlign w:val="bottom"/>
            <w:gridSpan w:val="5"/>
          </w:tcPr>
          <w:p>
            <w:pPr>
              <w:jc w:val="right"/>
              <w:ind w:right="140"/>
              <w:spacing w:after="0"/>
              <w:rPr>
                <w:sz w:val="20"/>
                <w:szCs w:val="20"/>
                <w:color w:val="auto"/>
              </w:rPr>
            </w:pPr>
            <w:r>
              <w:rPr>
                <w:rFonts w:ascii="Arial" w:cs="Arial" w:eastAsia="Arial" w:hAnsi="Arial"/>
                <w:sz w:val="18"/>
                <w:szCs w:val="18"/>
                <w:color w:val="auto"/>
              </w:rPr>
              <w:t>(50,694)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Ratio of earnings to fixed charges</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11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w:t>
            </w:r>
          </w:p>
        </w:tc>
        <w:tc>
          <w:tcPr>
            <w:tcW w:w="11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w:t>
            </w:r>
          </w:p>
        </w:tc>
        <w:tc>
          <w:tcPr>
            <w:tcW w:w="112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(4)</w:t>
            </w:r>
          </w:p>
        </w:tc>
        <w:tc>
          <w:tcPr>
            <w:tcW w:w="104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(5)</w:t>
            </w:r>
          </w:p>
        </w:tc>
        <w:tc>
          <w:tcPr>
            <w:tcW w:w="108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(6)</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3493135</wp:posOffset>
            </wp:positionH>
            <wp:positionV relativeFrom="paragraph">
              <wp:posOffset>-507365</wp:posOffset>
            </wp:positionV>
            <wp:extent cx="12700"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-507365</wp:posOffset>
            </wp:positionV>
            <wp:extent cx="12700"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-507365</wp:posOffset>
            </wp:positionV>
            <wp:extent cx="12700"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-507365</wp:posOffset>
            </wp:positionV>
            <wp:extent cx="12700"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-507365</wp:posOffset>
            </wp:positionV>
            <wp:extent cx="12700"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-507365</wp:posOffset>
            </wp:positionV>
            <wp:extent cx="12700"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-507365</wp:posOffset>
            </wp:positionV>
            <wp:extent cx="12700"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-507365</wp:posOffset>
            </wp:positionV>
            <wp:extent cx="12700"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-507365</wp:posOffset>
            </wp:positionV>
            <wp:extent cx="12700"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-507365</wp:posOffset>
            </wp:positionV>
            <wp:extent cx="12700"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-507365</wp:posOffset>
            </wp:positionV>
            <wp:extent cx="12700"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6614795</wp:posOffset>
            </wp:positionH>
            <wp:positionV relativeFrom="paragraph">
              <wp:posOffset>-507365</wp:posOffset>
            </wp:positionV>
            <wp:extent cx="12700"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15" w:lineRule="exact"/>
        <w:rPr>
          <w:sz w:val="20"/>
          <w:szCs w:val="20"/>
          <w:color w:val="auto"/>
        </w:rPr>
      </w:pPr>
    </w:p>
    <w:p>
      <w:pPr>
        <w:ind w:left="580" w:right="500" w:hanging="572"/>
        <w:spacing w:after="0" w:line="194" w:lineRule="auto"/>
        <w:tabs>
          <w:tab w:leader="none" w:pos="580" w:val="left"/>
        </w:tabs>
        <w:numPr>
          <w:ilvl w:val="0"/>
          <w:numId w:val="90"/>
        </w:numPr>
        <w:rPr>
          <w:rFonts w:ascii="Arial" w:cs="Arial" w:eastAsia="Arial" w:hAnsi="Arial"/>
          <w:sz w:val="29"/>
          <w:szCs w:val="29"/>
          <w:color w:val="auto"/>
          <w:vertAlign w:val="superscript"/>
        </w:rPr>
      </w:pPr>
      <w:r>
        <w:rPr>
          <w:rFonts w:ascii="Arial" w:cs="Arial" w:eastAsia="Arial" w:hAnsi="Arial"/>
          <w:sz w:val="18"/>
          <w:szCs w:val="18"/>
          <w:color w:val="auto"/>
        </w:rPr>
        <w:t>Includes amortization of deferred financing charges in connection with obtaining long-term bank loans which are comprised mainly of stock-based compensation related to warrants issued to banks.</w:t>
      </w:r>
    </w:p>
    <w:p>
      <w:pPr>
        <w:spacing w:after="0" w:line="127" w:lineRule="exact"/>
        <w:rPr>
          <w:rFonts w:ascii="Arial" w:cs="Arial" w:eastAsia="Arial" w:hAnsi="Arial"/>
          <w:sz w:val="29"/>
          <w:szCs w:val="29"/>
          <w:color w:val="auto"/>
          <w:vertAlign w:val="superscript"/>
        </w:rPr>
      </w:pPr>
    </w:p>
    <w:p>
      <w:pPr>
        <w:ind w:left="580" w:hanging="572"/>
        <w:spacing w:after="0"/>
        <w:tabs>
          <w:tab w:leader="none" w:pos="580" w:val="left"/>
        </w:tabs>
        <w:numPr>
          <w:ilvl w:val="0"/>
          <w:numId w:val="90"/>
        </w:numPr>
        <w:rPr>
          <w:rFonts w:ascii="Arial" w:cs="Arial" w:eastAsia="Arial" w:hAnsi="Arial"/>
          <w:sz w:val="29"/>
          <w:szCs w:val="29"/>
          <w:color w:val="auto"/>
          <w:vertAlign w:val="superscript"/>
        </w:rPr>
      </w:pPr>
      <w:r>
        <w:rPr>
          <w:rFonts w:ascii="Arial" w:cs="Arial" w:eastAsia="Arial" w:hAnsi="Arial"/>
          <w:sz w:val="18"/>
          <w:szCs w:val="18"/>
          <w:color w:val="auto"/>
        </w:rPr>
        <w:t>Includes amortization of convertible debentures discount and deferred issuance expenses.</w:t>
      </w:r>
    </w:p>
    <w:p>
      <w:pPr>
        <w:spacing w:after="0" w:line="236" w:lineRule="exact"/>
        <w:rPr>
          <w:rFonts w:ascii="Arial" w:cs="Arial" w:eastAsia="Arial" w:hAnsi="Arial"/>
          <w:sz w:val="29"/>
          <w:szCs w:val="29"/>
          <w:color w:val="auto"/>
          <w:vertAlign w:val="superscript"/>
        </w:rPr>
      </w:pPr>
    </w:p>
    <w:p>
      <w:pPr>
        <w:ind w:left="580" w:right="180" w:hanging="572"/>
        <w:spacing w:after="0" w:line="194" w:lineRule="auto"/>
        <w:tabs>
          <w:tab w:leader="none" w:pos="580" w:val="left"/>
        </w:tabs>
        <w:numPr>
          <w:ilvl w:val="0"/>
          <w:numId w:val="90"/>
        </w:numPr>
        <w:rPr>
          <w:rFonts w:ascii="Arial" w:cs="Arial" w:eastAsia="Arial" w:hAnsi="Arial"/>
          <w:sz w:val="29"/>
          <w:szCs w:val="29"/>
          <w:color w:val="auto"/>
          <w:vertAlign w:val="superscript"/>
        </w:rPr>
      </w:pPr>
      <w:r>
        <w:rPr>
          <w:rFonts w:ascii="Arial" w:cs="Arial" w:eastAsia="Arial" w:hAnsi="Arial"/>
          <w:sz w:val="18"/>
          <w:szCs w:val="18"/>
          <w:color w:val="auto"/>
        </w:rPr>
        <w:t>Includes, mainly, the effective interest of long-term loans based on their terms and the effect of hedge agreements with knock-out and knock-in features and interest expenses in relation to convertible debentures.</w:t>
      </w:r>
    </w:p>
    <w:p>
      <w:pPr>
        <w:spacing w:after="0" w:line="238" w:lineRule="exact"/>
        <w:rPr>
          <w:rFonts w:ascii="Arial" w:cs="Arial" w:eastAsia="Arial" w:hAnsi="Arial"/>
          <w:sz w:val="29"/>
          <w:szCs w:val="29"/>
          <w:color w:val="auto"/>
          <w:vertAlign w:val="superscript"/>
        </w:rPr>
      </w:pPr>
    </w:p>
    <w:p>
      <w:pPr>
        <w:ind w:left="580" w:right="240" w:hanging="572"/>
        <w:spacing w:after="0" w:line="210" w:lineRule="auto"/>
        <w:tabs>
          <w:tab w:leader="none" w:pos="580" w:val="left"/>
        </w:tabs>
        <w:numPr>
          <w:ilvl w:val="0"/>
          <w:numId w:val="90"/>
        </w:numPr>
        <w:rPr>
          <w:rFonts w:ascii="Arial" w:cs="Arial" w:eastAsia="Arial" w:hAnsi="Arial"/>
          <w:sz w:val="29"/>
          <w:szCs w:val="29"/>
          <w:color w:val="auto"/>
          <w:vertAlign w:val="superscript"/>
        </w:rPr>
      </w:pPr>
      <w:r>
        <w:rPr>
          <w:rFonts w:ascii="Arial" w:cs="Arial" w:eastAsia="Arial" w:hAnsi="Arial"/>
          <w:sz w:val="18"/>
          <w:szCs w:val="18"/>
          <w:color w:val="auto"/>
        </w:rPr>
        <w:t>Includes, mainly, the effective capitalized interest of long-term loans based on their terms and the effect of hedge agreements with a knock-out feature, capitalized interest in relation to convertible debentures and deferred financing charges in connection with obtaining long-term bank loans which are comprised mainly of stock-based compensation related to warrants issued to banks.</w:t>
      </w:r>
    </w:p>
    <w:p>
      <w:pPr>
        <w:spacing w:after="0" w:line="126" w:lineRule="exact"/>
        <w:rPr>
          <w:sz w:val="20"/>
          <w:szCs w:val="20"/>
          <w:color w:val="auto"/>
        </w:rPr>
      </w:pPr>
    </w:p>
    <w:p>
      <w:pPr>
        <w:ind w:left="580" w:hanging="572"/>
        <w:spacing w:after="0"/>
        <w:tabs>
          <w:tab w:leader="none" w:pos="580" w:val="left"/>
        </w:tabs>
        <w:numPr>
          <w:ilvl w:val="0"/>
          <w:numId w:val="91"/>
        </w:numPr>
        <w:rPr>
          <w:rFonts w:ascii="Arial" w:cs="Arial" w:eastAsia="Arial" w:hAnsi="Arial"/>
          <w:sz w:val="29"/>
          <w:szCs w:val="29"/>
          <w:color w:val="auto"/>
          <w:vertAlign w:val="superscript"/>
        </w:rPr>
      </w:pPr>
      <w:r>
        <w:rPr>
          <w:rFonts w:ascii="Arial" w:cs="Arial" w:eastAsia="Arial" w:hAnsi="Arial"/>
          <w:sz w:val="18"/>
          <w:szCs w:val="18"/>
          <w:color w:val="auto"/>
        </w:rPr>
        <w:t>Earnings as adjusted were inadequate to cover fixed charges by $107.3 million for the nine months ended September 30, 2007.</w:t>
      </w:r>
    </w:p>
    <w:p>
      <w:pPr>
        <w:spacing w:after="0" w:line="7" w:lineRule="exact"/>
        <w:rPr>
          <w:rFonts w:ascii="Arial" w:cs="Arial" w:eastAsia="Arial" w:hAnsi="Arial"/>
          <w:sz w:val="29"/>
          <w:szCs w:val="29"/>
          <w:color w:val="auto"/>
          <w:vertAlign w:val="superscript"/>
        </w:rPr>
      </w:pPr>
    </w:p>
    <w:p>
      <w:pPr>
        <w:ind w:left="580" w:hanging="572"/>
        <w:spacing w:after="0" w:line="181" w:lineRule="auto"/>
        <w:tabs>
          <w:tab w:leader="none" w:pos="580" w:val="left"/>
        </w:tabs>
        <w:numPr>
          <w:ilvl w:val="0"/>
          <w:numId w:val="91"/>
        </w:numPr>
        <w:rPr>
          <w:rFonts w:ascii="Arial" w:cs="Arial" w:eastAsia="Arial" w:hAnsi="Arial"/>
          <w:sz w:val="24"/>
          <w:szCs w:val="24"/>
          <w:color w:val="auto"/>
          <w:vertAlign w:val="superscript"/>
        </w:rPr>
      </w:pPr>
      <w:r>
        <w:rPr>
          <w:rFonts w:ascii="Arial" w:cs="Arial" w:eastAsia="Arial" w:hAnsi="Arial"/>
          <w:sz w:val="15"/>
          <w:szCs w:val="15"/>
          <w:color w:val="auto"/>
        </w:rPr>
        <w:t>Earnings as adjusted were inadequate to cover fixed charges by $167.0 million in 2006.</w:t>
      </w:r>
    </w:p>
    <w:p>
      <w:pPr>
        <w:spacing w:after="0" w:line="7" w:lineRule="exact"/>
        <w:rPr>
          <w:rFonts w:ascii="Arial" w:cs="Arial" w:eastAsia="Arial" w:hAnsi="Arial"/>
          <w:sz w:val="24"/>
          <w:szCs w:val="24"/>
          <w:color w:val="auto"/>
          <w:vertAlign w:val="superscript"/>
        </w:rPr>
      </w:pPr>
    </w:p>
    <w:p>
      <w:pPr>
        <w:ind w:left="580" w:hanging="572"/>
        <w:spacing w:after="0" w:line="181" w:lineRule="auto"/>
        <w:tabs>
          <w:tab w:leader="none" w:pos="580" w:val="left"/>
        </w:tabs>
        <w:numPr>
          <w:ilvl w:val="0"/>
          <w:numId w:val="91"/>
        </w:numPr>
        <w:rPr>
          <w:rFonts w:ascii="Arial" w:cs="Arial" w:eastAsia="Arial" w:hAnsi="Arial"/>
          <w:sz w:val="24"/>
          <w:szCs w:val="24"/>
          <w:color w:val="auto"/>
          <w:vertAlign w:val="superscript"/>
        </w:rPr>
      </w:pPr>
      <w:r>
        <w:rPr>
          <w:rFonts w:ascii="Arial" w:cs="Arial" w:eastAsia="Arial" w:hAnsi="Arial"/>
          <w:sz w:val="15"/>
          <w:szCs w:val="15"/>
          <w:color w:val="auto"/>
        </w:rPr>
        <w:t>Earnings as adjusted were inadequate to cover fixed charges by $201.7 million in 2005.</w:t>
      </w:r>
    </w:p>
    <w:p>
      <w:pPr>
        <w:spacing w:after="0" w:line="7" w:lineRule="exact"/>
        <w:rPr>
          <w:rFonts w:ascii="Arial" w:cs="Arial" w:eastAsia="Arial" w:hAnsi="Arial"/>
          <w:sz w:val="24"/>
          <w:szCs w:val="24"/>
          <w:color w:val="auto"/>
          <w:vertAlign w:val="superscript"/>
        </w:rPr>
      </w:pPr>
    </w:p>
    <w:p>
      <w:pPr>
        <w:ind w:left="580" w:hanging="572"/>
        <w:spacing w:after="0" w:line="181" w:lineRule="auto"/>
        <w:tabs>
          <w:tab w:leader="none" w:pos="580" w:val="left"/>
        </w:tabs>
        <w:numPr>
          <w:ilvl w:val="0"/>
          <w:numId w:val="91"/>
        </w:numPr>
        <w:rPr>
          <w:rFonts w:ascii="Arial" w:cs="Arial" w:eastAsia="Arial" w:hAnsi="Arial"/>
          <w:sz w:val="24"/>
          <w:szCs w:val="24"/>
          <w:color w:val="auto"/>
          <w:vertAlign w:val="superscript"/>
        </w:rPr>
      </w:pPr>
      <w:r>
        <w:rPr>
          <w:rFonts w:ascii="Arial" w:cs="Arial" w:eastAsia="Arial" w:hAnsi="Arial"/>
          <w:sz w:val="15"/>
          <w:szCs w:val="15"/>
          <w:color w:val="auto"/>
        </w:rPr>
        <w:t>Earnings as adjusted were inadequate to cover fixed charges by $134.2 million in 2004.</w:t>
      </w:r>
    </w:p>
    <w:p>
      <w:pPr>
        <w:spacing w:after="0" w:line="7" w:lineRule="exact"/>
        <w:rPr>
          <w:rFonts w:ascii="Arial" w:cs="Arial" w:eastAsia="Arial" w:hAnsi="Arial"/>
          <w:sz w:val="24"/>
          <w:szCs w:val="24"/>
          <w:color w:val="auto"/>
          <w:vertAlign w:val="superscript"/>
        </w:rPr>
      </w:pPr>
    </w:p>
    <w:p>
      <w:pPr>
        <w:ind w:left="580" w:hanging="572"/>
        <w:spacing w:after="0" w:line="181" w:lineRule="auto"/>
        <w:tabs>
          <w:tab w:leader="none" w:pos="580" w:val="left"/>
        </w:tabs>
        <w:numPr>
          <w:ilvl w:val="0"/>
          <w:numId w:val="91"/>
        </w:numPr>
        <w:rPr>
          <w:rFonts w:ascii="Arial" w:cs="Arial" w:eastAsia="Arial" w:hAnsi="Arial"/>
          <w:sz w:val="24"/>
          <w:szCs w:val="24"/>
          <w:color w:val="auto"/>
          <w:vertAlign w:val="superscript"/>
        </w:rPr>
      </w:pPr>
      <w:r>
        <w:rPr>
          <w:rFonts w:ascii="Arial" w:cs="Arial" w:eastAsia="Arial" w:hAnsi="Arial"/>
          <w:sz w:val="15"/>
          <w:szCs w:val="15"/>
          <w:color w:val="auto"/>
        </w:rPr>
        <w:t>Earnings as adjusted were inadequate to cover fixed charges by $127.3 million in 2003.</w:t>
      </w:r>
    </w:p>
    <w:p>
      <w:pPr>
        <w:spacing w:after="0" w:line="7" w:lineRule="exact"/>
        <w:rPr>
          <w:rFonts w:ascii="Arial" w:cs="Arial" w:eastAsia="Arial" w:hAnsi="Arial"/>
          <w:sz w:val="24"/>
          <w:szCs w:val="24"/>
          <w:color w:val="auto"/>
          <w:vertAlign w:val="superscript"/>
        </w:rPr>
      </w:pPr>
    </w:p>
    <w:p>
      <w:pPr>
        <w:ind w:left="580" w:hanging="572"/>
        <w:spacing w:after="0" w:line="181" w:lineRule="auto"/>
        <w:tabs>
          <w:tab w:leader="none" w:pos="580" w:val="left"/>
        </w:tabs>
        <w:numPr>
          <w:ilvl w:val="0"/>
          <w:numId w:val="91"/>
        </w:numPr>
        <w:rPr>
          <w:rFonts w:ascii="Arial" w:cs="Arial" w:eastAsia="Arial" w:hAnsi="Arial"/>
          <w:sz w:val="24"/>
          <w:szCs w:val="24"/>
          <w:color w:val="auto"/>
          <w:vertAlign w:val="superscript"/>
        </w:rPr>
      </w:pPr>
      <w:r>
        <w:rPr>
          <w:rFonts w:ascii="Arial" w:cs="Arial" w:eastAsia="Arial" w:hAnsi="Arial"/>
          <w:sz w:val="15"/>
          <w:szCs w:val="15"/>
          <w:color w:val="auto"/>
        </w:rPr>
        <w:t>Earnings as adjusted were inadequate to cover fixed charges by $63.7 million in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265430</wp:posOffset>
            </wp:positionV>
            <wp:extent cx="7250430"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3858260</wp:posOffset>
            </wp:positionV>
            <wp:extent cx="726757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3810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63" w:name="page64"/>
    <w:bookmarkEnd w:id="63"/>
    <w:p>
      <w:pPr>
        <w:jc w:val="right"/>
        <w:spacing w:after="0"/>
        <w:rPr>
          <w:sz w:val="20"/>
          <w:szCs w:val="20"/>
          <w:color w:val="auto"/>
        </w:rPr>
      </w:pPr>
      <w:r>
        <w:rPr>
          <w:rFonts w:ascii="Arial" w:cs="Arial" w:eastAsia="Arial" w:hAnsi="Arial"/>
          <w:sz w:val="16"/>
          <w:szCs w:val="16"/>
          <w:b w:val="1"/>
          <w:bCs w:val="1"/>
          <w:u w:val="single" w:color="auto"/>
          <w:color w:val="auto"/>
        </w:rPr>
        <w:t>EXHIBIT 23.3</w:t>
      </w:r>
    </w:p>
    <w:p>
      <w:pPr>
        <w:sectPr>
          <w:pgSz w:w="11900" w:h="16838" w:orient="portrait"/>
          <w:cols w:equalWidth="0" w:num="1">
            <w:col w:w="11420"/>
          </w:cols>
          <w:pgMar w:left="240" w:top="125" w:right="239" w:bottom="1440" w:gutter="0" w:footer="0" w:header="0"/>
        </w:sectPr>
      </w:pPr>
    </w:p>
    <w:p>
      <w:pPr>
        <w:spacing w:after="0" w:line="241" w:lineRule="exact"/>
        <w:rPr>
          <w:sz w:val="20"/>
          <w:szCs w:val="20"/>
          <w:color w:val="auto"/>
        </w:rPr>
      </w:pPr>
    </w:p>
    <w:p>
      <w:pPr>
        <w:spacing w:after="0"/>
        <w:rPr>
          <w:sz w:val="20"/>
          <w:szCs w:val="20"/>
          <w:color w:val="auto"/>
        </w:rPr>
      </w:pPr>
      <w:r>
        <w:rPr>
          <w:rFonts w:ascii="Arial" w:cs="Arial" w:eastAsia="Arial" w:hAnsi="Arial"/>
          <w:sz w:val="19"/>
          <w:szCs w:val="19"/>
          <w:color w:val="auto"/>
        </w:rPr>
        <w:t>Deloitte</w:t>
      </w:r>
    </w:p>
    <w:p>
      <w:pPr>
        <w:spacing w:after="0" w:line="20" w:lineRule="exact"/>
        <w:rPr>
          <w:sz w:val="20"/>
          <w:szCs w:val="20"/>
          <w:color w:val="auto"/>
        </w:rPr>
      </w:pPr>
      <w:r>
        <w:rPr>
          <w:sz w:val="20"/>
          <w:szCs w:val="20"/>
          <w:color w:val="auto"/>
        </w:rPr>
        <w:br w:type="column"/>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Brightman Almagor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 Azrielli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Aviv 67021</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P.O.B. 16593, Tel Aviv 61164</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Israel</w:t>
      </w:r>
    </w:p>
    <w:p>
      <w:pPr>
        <w:spacing w:after="0" w:line="200" w:lineRule="exact"/>
        <w:rPr>
          <w:sz w:val="20"/>
          <w:szCs w:val="20"/>
          <w:color w:val="auto"/>
        </w:rPr>
      </w:pPr>
    </w:p>
    <w:p>
      <w:pPr>
        <w:sectPr>
          <w:pgSz w:w="11900" w:h="16838" w:orient="portrait"/>
          <w:cols w:equalWidth="0" w:num="2">
            <w:col w:w="7280" w:space="720"/>
            <w:col w:w="3420"/>
          </w:cols>
          <w:pgMar w:left="240" w:top="125" w:right="239" w:bottom="1440" w:gutter="0" w:footer="0" w:header="0"/>
          <w:type w:val="continuous"/>
        </w:sectPr>
      </w:pPr>
    </w:p>
    <w:p>
      <w:pPr>
        <w:spacing w:after="0" w:line="19" w:lineRule="exact"/>
        <w:rPr>
          <w:sz w:val="20"/>
          <w:szCs w:val="20"/>
          <w:color w:val="auto"/>
        </w:rPr>
      </w:pPr>
    </w:p>
    <w:p>
      <w:pPr>
        <w:ind w:left="8000"/>
        <w:spacing w:after="0"/>
        <w:rPr>
          <w:sz w:val="20"/>
          <w:szCs w:val="20"/>
          <w:color w:val="auto"/>
        </w:rPr>
      </w:pPr>
      <w:r>
        <w:rPr>
          <w:rFonts w:ascii="Arial" w:cs="Arial" w:eastAsia="Arial" w:hAnsi="Arial"/>
          <w:sz w:val="16"/>
          <w:szCs w:val="16"/>
          <w:color w:val="auto"/>
        </w:rPr>
        <w:t>Tel: +972 (3) 608 5555</w:t>
      </w:r>
    </w:p>
    <w:p>
      <w:pPr>
        <w:spacing w:after="0" w:line="38" w:lineRule="exact"/>
        <w:rPr>
          <w:sz w:val="20"/>
          <w:szCs w:val="20"/>
          <w:color w:val="auto"/>
        </w:rPr>
      </w:pPr>
    </w:p>
    <w:p>
      <w:pPr>
        <w:ind w:left="8000"/>
        <w:spacing w:after="0"/>
        <w:rPr>
          <w:sz w:val="20"/>
          <w:szCs w:val="20"/>
          <w:color w:val="auto"/>
        </w:rPr>
      </w:pPr>
      <w:r>
        <w:rPr>
          <w:rFonts w:ascii="Arial" w:cs="Arial" w:eastAsia="Arial" w:hAnsi="Arial"/>
          <w:sz w:val="16"/>
          <w:szCs w:val="16"/>
          <w:color w:val="auto"/>
        </w:rPr>
        <w:t>Fax: +972 (3) 609 4022</w:t>
      </w:r>
    </w:p>
    <w:p>
      <w:pPr>
        <w:spacing w:after="0" w:line="32"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info@deloitte.co.il</w:t>
      </w:r>
    </w:p>
    <w:p>
      <w:pPr>
        <w:spacing w:after="0" w:line="9"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www.deloitte.com</w:t>
      </w:r>
    </w:p>
    <w:p>
      <w:pPr>
        <w:sectPr>
          <w:pgSz w:w="11900" w:h="16838" w:orient="portrait"/>
          <w:cols w:equalWidth="0" w:num="1">
            <w:col w:w="11420"/>
          </w:cols>
          <w:pgMar w:left="240" w:top="125" w:right="239" w:bottom="1440" w:gutter="0" w:footer="0" w:header="0"/>
          <w:type w:val="continuous"/>
        </w:sect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ind w:right="60" w:firstLine="348"/>
        <w:spacing w:after="0" w:line="306" w:lineRule="auto"/>
        <w:rPr>
          <w:sz w:val="20"/>
          <w:szCs w:val="20"/>
          <w:color w:val="auto"/>
        </w:rPr>
      </w:pPr>
      <w:r>
        <w:rPr>
          <w:rFonts w:ascii="Arial" w:cs="Arial" w:eastAsia="Arial" w:hAnsi="Arial"/>
          <w:sz w:val="16"/>
          <w:szCs w:val="16"/>
          <w:color w:val="auto"/>
        </w:rPr>
        <w:t>We consent to the incorporation by reference in this Registration Statement on Form F-3 of our report dated February 7, 2007, relating to the financial statements of Tower Semiconductor Ltd. appearing in the Annual Report on Form 20-F of Tower Semiconductor Ltd. for the year ended December 31, 2006 filed on June 25, 2007. We also consent to the reference to us under the heading “Experts” in this Registration Statement.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/s/ Brightman Almagor &amp; Co.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Brightman Almagor &amp; 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Certified Public Accountants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 Member Firm of Deloitte Touche Tohmatsu</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Tel Aviv, Israel</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January 17, 2008</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Audit Tax Consulting Financial Advisory</w:t>
            </w:r>
          </w:p>
        </w:tc>
        <w:tc>
          <w:tcPr>
            <w:tcW w:w="5960" w:type="dxa"/>
            <w:vAlign w:val="bottom"/>
          </w:tcPr>
          <w:p>
            <w:pPr>
              <w:ind w:left="2540"/>
              <w:spacing w:after="0"/>
              <w:rPr>
                <w:sz w:val="20"/>
                <w:szCs w:val="20"/>
                <w:color w:val="auto"/>
              </w:rPr>
            </w:pPr>
            <w:r>
              <w:rPr>
                <w:rFonts w:ascii="Arial" w:cs="Arial" w:eastAsia="Arial" w:hAnsi="Arial"/>
                <w:sz w:val="18"/>
                <w:szCs w:val="18"/>
                <w:color w:val="auto"/>
              </w:rPr>
              <w:t>Member of</w:t>
            </w:r>
          </w:p>
        </w:tc>
      </w:tr>
      <w:tr>
        <w:trPr>
          <w:trHeight w:val="222"/>
        </w:trPr>
        <w:tc>
          <w:tcPr>
            <w:tcW w:w="5460" w:type="dxa"/>
            <w:vAlign w:val="bottom"/>
          </w:tcPr>
          <w:p>
            <w:pPr>
              <w:spacing w:after="0"/>
              <w:rPr>
                <w:sz w:val="19"/>
                <w:szCs w:val="19"/>
                <w:color w:val="auto"/>
              </w:rPr>
            </w:pPr>
          </w:p>
        </w:tc>
        <w:tc>
          <w:tcPr>
            <w:tcW w:w="5960" w:type="dxa"/>
            <w:vAlign w:val="bottom"/>
          </w:tcPr>
          <w:p>
            <w:pPr>
              <w:ind w:left="2540"/>
              <w:spacing w:after="0"/>
              <w:rPr>
                <w:sz w:val="20"/>
                <w:szCs w:val="20"/>
                <w:color w:val="auto"/>
              </w:rPr>
            </w:pPr>
            <w:r>
              <w:rPr>
                <w:rFonts w:ascii="Arial" w:cs="Arial" w:eastAsia="Arial" w:hAnsi="Arial"/>
                <w:sz w:val="18"/>
                <w:szCs w:val="18"/>
                <w:color w:val="auto"/>
              </w:rPr>
              <w:t>Deloitte Touche Tomatsu</w:t>
            </w:r>
          </w:p>
        </w:tc>
      </w:tr>
      <w:tr>
        <w:trPr>
          <w:trHeight w:val="417"/>
        </w:trPr>
        <w:tc>
          <w:tcPr>
            <w:tcW w:w="5460" w:type="dxa"/>
            <w:vAlign w:val="bottom"/>
          </w:tcPr>
          <w:p>
            <w:pPr>
              <w:spacing w:after="0"/>
              <w:rPr>
                <w:sz w:val="24"/>
                <w:szCs w:val="24"/>
                <w:color w:val="auto"/>
              </w:rPr>
            </w:pPr>
          </w:p>
        </w:tc>
        <w:tc>
          <w:tcPr>
            <w:tcW w:w="5960" w:type="dxa"/>
            <w:vAlign w:val="bottom"/>
          </w:tcPr>
          <w:p>
            <w:pPr>
              <w:spacing w:after="0"/>
              <w:rPr>
                <w:sz w:val="24"/>
                <w:szCs w:val="24"/>
                <w:color w:val="auto"/>
              </w:rPr>
            </w:pPr>
          </w:p>
        </w:tc>
      </w:tr>
      <w:tr>
        <w:trPr>
          <w:trHeight w:val="61"/>
        </w:trPr>
        <w:tc>
          <w:tcPr>
            <w:tcW w:w="5460" w:type="dxa"/>
            <w:vAlign w:val="bottom"/>
            <w:shd w:val="clear" w:color="auto" w:fill="808080"/>
          </w:tcPr>
          <w:p>
            <w:pPr>
              <w:spacing w:after="0"/>
              <w:rPr>
                <w:sz w:val="5"/>
                <w:szCs w:val="5"/>
                <w:color w:val="auto"/>
              </w:rPr>
            </w:pPr>
          </w:p>
        </w:tc>
        <w:tc>
          <w:tcPr>
            <w:tcW w:w="5960" w:type="dxa"/>
            <w:vAlign w:val="bottom"/>
            <w:shd w:val="clear" w:color="auto" w:fill="808080"/>
          </w:tcPr>
          <w:p>
            <w:pPr>
              <w:spacing w:after="0"/>
              <w:rPr>
                <w:sz w:val="5"/>
                <w:szCs w:val="5"/>
                <w:color w:val="auto"/>
              </w:rPr>
            </w:pPr>
          </w:p>
        </w:tc>
      </w:tr>
    </w:tbl>
    <w:p>
      <w:pPr>
        <w:spacing w:after="0" w:line="1" w:lineRule="exact"/>
        <w:rPr>
          <w:sz w:val="20"/>
          <w:szCs w:val="20"/>
          <w:color w:val="auto"/>
        </w:rPr>
      </w:pPr>
    </w:p>
    <w:sectPr>
      <w:pgSz w:w="11900" w:h="16838" w:orient="portrait"/>
      <w:cols w:equalWidth="0" w:num="1">
        <w:col w:w="11420"/>
      </w:cols>
      <w:pgMar w:left="240" w:top="125"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B588F54"/>
    <w:multiLevelType w:val="hybridMultilevel"/>
    <w:lvl w:ilvl="0">
      <w:lvlJc w:val="left"/>
      <w:lvlText w:val="(%1)"/>
      <w:numFmt w:val="decimal"/>
      <w:start w:val="1"/>
    </w:lvl>
  </w:abstractNum>
  <w:abstractNum w:abstractNumId="1">
    <w:nsid w:val="542289EC"/>
    <w:multiLevelType w:val="hybridMultilevel"/>
    <w:lvl w:ilvl="0">
      <w:lvlJc w:val="left"/>
      <w:lvlText w:val="\emdash "/>
      <w:numFmt w:val="bullet"/>
      <w:start w:val="1"/>
    </w:lvl>
  </w:abstractNum>
  <w:abstractNum w:abstractNumId="2">
    <w:nsid w:val="6DE91B18"/>
    <w:multiLevelType w:val="hybridMultilevel"/>
    <w:lvl w:ilvl="0">
      <w:lvlJc w:val="left"/>
      <w:lvlText w:val="\emdash "/>
      <w:numFmt w:val="bullet"/>
      <w:start w:val="1"/>
    </w:lvl>
  </w:abstractNum>
  <w:abstractNum w:abstractNumId="3">
    <w:nsid w:val="38437FDB"/>
    <w:multiLevelType w:val="hybridMultilevel"/>
    <w:lvl w:ilvl="0">
      <w:lvlJc w:val="left"/>
      <w:lvlText w:val="\emdash "/>
      <w:numFmt w:val="bullet"/>
      <w:start w:val="1"/>
    </w:lvl>
  </w:abstractNum>
  <w:abstractNum w:abstractNumId="4">
    <w:nsid w:val="7644A45C"/>
    <w:multiLevelType w:val="hybridMultilevel"/>
    <w:lvl w:ilvl="0">
      <w:lvlJc w:val="left"/>
      <w:lvlText w:val="(%1)"/>
      <w:numFmt w:val="lowerRoman"/>
      <w:start w:val="6"/>
    </w:lvl>
  </w:abstractNum>
  <w:abstractNum w:abstractNumId="5">
    <w:nsid w:val="32FFF902"/>
    <w:multiLevelType w:val="hybridMultilevel"/>
    <w:lvl w:ilvl="0">
      <w:lvlJc w:val="left"/>
      <w:lvlText w:val="(%1)"/>
      <w:numFmt w:val="lowerRoman"/>
      <w:start w:val="13"/>
    </w:lvl>
  </w:abstractNum>
  <w:abstractNum w:abstractNumId="6">
    <w:nsid w:val="684A481A"/>
    <w:multiLevelType w:val="hybridMultilevel"/>
    <w:lvl w:ilvl="0">
      <w:lvlJc w:val="left"/>
      <w:lvlText w:val="(%1)"/>
      <w:numFmt w:val="lowerRoman"/>
      <w:start w:val="18"/>
    </w:lvl>
  </w:abstractNum>
  <w:abstractNum w:abstractNumId="7">
    <w:nsid w:val="579478FE"/>
    <w:multiLevelType w:val="hybridMultilevel"/>
    <w:lvl w:ilvl="0">
      <w:lvlJc w:val="left"/>
      <w:lvlText w:val="\emdash "/>
      <w:numFmt w:val="bullet"/>
      <w:start w:val="1"/>
    </w:lvl>
  </w:abstractNum>
  <w:abstractNum w:abstractNumId="8">
    <w:nsid w:val="749ABB43"/>
    <w:multiLevelType w:val="hybridMultilevel"/>
    <w:lvl w:ilvl="0">
      <w:lvlJc w:val="left"/>
      <w:lvlText w:val="\emdash "/>
      <w:numFmt w:val="bullet"/>
      <w:start w:val="1"/>
    </w:lvl>
  </w:abstractNum>
  <w:abstractNum w:abstractNumId="9">
    <w:nsid w:val="3DC240FB"/>
    <w:multiLevelType w:val="hybridMultilevel"/>
    <w:lvl w:ilvl="0">
      <w:lvlJc w:val="left"/>
      <w:lvlText w:val="(%1)"/>
      <w:numFmt w:val="decimal"/>
      <w:start w:val="1"/>
    </w:lvl>
  </w:abstractNum>
  <w:abstractNum w:abstractNumId="10">
    <w:nsid w:val="1BA026FA"/>
    <w:multiLevelType w:val="hybridMultilevel"/>
    <w:lvl w:ilvl="0">
      <w:lvlJc w:val="left"/>
      <w:lvlText w:val="(%1)"/>
      <w:numFmt w:val="lowerRoman"/>
      <w:start w:val="1"/>
    </w:lvl>
  </w:abstractNum>
  <w:abstractNum w:abstractNumId="11">
    <w:nsid w:val="79A1DEAA"/>
    <w:multiLevelType w:val="hybridMultilevel"/>
    <w:lvl w:ilvl="0">
      <w:lvlJc w:val="left"/>
      <w:lvlText w:val="(%1)"/>
      <w:numFmt w:val="lowerRoman"/>
      <w:start w:val="4"/>
    </w:lvl>
  </w:abstractNum>
  <w:abstractNum w:abstractNumId="12">
    <w:nsid w:val="75C6C33A"/>
    <w:multiLevelType w:val="hybridMultilevel"/>
    <w:lvl w:ilvl="0">
      <w:lvlJc w:val="left"/>
      <w:lvlText w:val="(%1)"/>
      <w:numFmt w:val="lowerRoman"/>
      <w:start w:val="5"/>
    </w:lvl>
  </w:abstractNum>
  <w:abstractNum w:abstractNumId="13">
    <w:nsid w:val="12E685FB"/>
    <w:multiLevelType w:val="hybridMultilevel"/>
    <w:lvl w:ilvl="0">
      <w:lvlJc w:val="left"/>
      <w:lvlText w:val="\emdash "/>
      <w:numFmt w:val="bullet"/>
      <w:start w:val="1"/>
    </w:lvl>
  </w:abstractNum>
  <w:abstractNum w:abstractNumId="14">
    <w:nsid w:val="70C6A529"/>
    <w:multiLevelType w:val="hybridMultilevel"/>
    <w:lvl w:ilvl="0">
      <w:lvlJc w:val="left"/>
      <w:lvlText w:val="\emdash "/>
      <w:numFmt w:val="bullet"/>
      <w:start w:val="1"/>
    </w:lvl>
  </w:abstractNum>
  <w:abstractNum w:abstractNumId="15">
    <w:nsid w:val="520EEDD1"/>
    <w:multiLevelType w:val="hybridMultilevel"/>
    <w:lvl w:ilvl="0">
      <w:lvlJc w:val="left"/>
      <w:lvlText w:val="\emdash "/>
      <w:numFmt w:val="bullet"/>
      <w:start w:val="1"/>
    </w:lvl>
  </w:abstractNum>
  <w:abstractNum w:abstractNumId="16">
    <w:nsid w:val="374A3FE6"/>
    <w:multiLevelType w:val="hybridMultilevel"/>
    <w:lvl w:ilvl="0">
      <w:lvlJc w:val="left"/>
      <w:lvlText w:val="\emdash "/>
      <w:numFmt w:val="bullet"/>
      <w:start w:val="1"/>
    </w:lvl>
  </w:abstractNum>
  <w:abstractNum w:abstractNumId="17">
    <w:nsid w:val="4F4EF005"/>
    <w:multiLevelType w:val="hybridMultilevel"/>
    <w:lvl w:ilvl="0">
      <w:lvlJc w:val="left"/>
      <w:lvlText w:val="\emdash "/>
      <w:numFmt w:val="bullet"/>
      <w:start w:val="1"/>
    </w:lvl>
  </w:abstractNum>
  <w:abstractNum w:abstractNumId="18">
    <w:nsid w:val="23F9C13C"/>
    <w:multiLevelType w:val="hybridMultilevel"/>
    <w:lvl w:ilvl="0">
      <w:lvlJc w:val="left"/>
      <w:lvlText w:val="\emdash "/>
      <w:numFmt w:val="bullet"/>
      <w:start w:val="1"/>
    </w:lvl>
  </w:abstractNum>
  <w:abstractNum w:abstractNumId="19">
    <w:nsid w:val="649BB77C"/>
    <w:multiLevelType w:val="hybridMultilevel"/>
    <w:lvl w:ilvl="0">
      <w:lvlJc w:val="left"/>
      <w:lvlText w:val="\emdash "/>
      <w:numFmt w:val="bullet"/>
      <w:start w:val="1"/>
    </w:lvl>
  </w:abstractNum>
  <w:abstractNum w:abstractNumId="20">
    <w:nsid w:val="275AC794"/>
    <w:multiLevelType w:val="hybridMultilevel"/>
    <w:lvl w:ilvl="0">
      <w:lvlJc w:val="left"/>
      <w:lvlText w:val="\emdash "/>
      <w:numFmt w:val="bullet"/>
      <w:start w:val="1"/>
    </w:lvl>
  </w:abstractNum>
  <w:abstractNum w:abstractNumId="21">
    <w:nsid w:val="39386575"/>
    <w:multiLevelType w:val="hybridMultilevel"/>
    <w:lvl w:ilvl="0">
      <w:lvlJc w:val="left"/>
      <w:lvlText w:val="\emdash "/>
      <w:numFmt w:val="bullet"/>
      <w:start w:val="1"/>
    </w:lvl>
  </w:abstractNum>
  <w:abstractNum w:abstractNumId="22">
    <w:nsid w:val="1CF10FD8"/>
    <w:multiLevelType w:val="hybridMultilevel"/>
    <w:lvl w:ilvl="0">
      <w:lvlJc w:val="left"/>
      <w:lvlText w:val="\emdash "/>
      <w:numFmt w:val="bullet"/>
      <w:start w:val="1"/>
    </w:lvl>
  </w:abstractNum>
  <w:abstractNum w:abstractNumId="23">
    <w:nsid w:val="180115BE"/>
    <w:multiLevelType w:val="hybridMultilevel"/>
    <w:lvl w:ilvl="0">
      <w:lvlJc w:val="left"/>
      <w:lvlText w:val="\emdash "/>
      <w:numFmt w:val="bullet"/>
      <w:start w:val="1"/>
    </w:lvl>
  </w:abstractNum>
  <w:abstractNum w:abstractNumId="24">
    <w:nsid w:val="235BA861"/>
    <w:multiLevelType w:val="hybridMultilevel"/>
    <w:lvl w:ilvl="0">
      <w:lvlJc w:val="left"/>
      <w:lvlText w:val="\emdash "/>
      <w:numFmt w:val="bullet"/>
      <w:start w:val="1"/>
    </w:lvl>
  </w:abstractNum>
  <w:abstractNum w:abstractNumId="25">
    <w:nsid w:val="47398C89"/>
    <w:multiLevelType w:val="hybridMultilevel"/>
    <w:lvl w:ilvl="0">
      <w:lvlJc w:val="left"/>
      <w:lvlText w:val="\emdash "/>
      <w:numFmt w:val="bullet"/>
      <w:start w:val="1"/>
    </w:lvl>
  </w:abstractNum>
  <w:abstractNum w:abstractNumId="26">
    <w:nsid w:val="354FE9F9"/>
    <w:multiLevelType w:val="hybridMultilevel"/>
    <w:lvl w:ilvl="0">
      <w:lvlJc w:val="left"/>
      <w:lvlText w:val="\emdash "/>
      <w:numFmt w:val="bullet"/>
      <w:start w:val="1"/>
    </w:lvl>
  </w:abstractNum>
  <w:abstractNum w:abstractNumId="27">
    <w:nsid w:val="15B5AF5C"/>
    <w:multiLevelType w:val="hybridMultilevel"/>
    <w:lvl w:ilvl="0">
      <w:lvlJc w:val="left"/>
      <w:lvlText w:val="\emdash "/>
      <w:numFmt w:val="bullet"/>
      <w:start w:val="1"/>
    </w:lvl>
  </w:abstractNum>
  <w:abstractNum w:abstractNumId="28">
    <w:nsid w:val="741226BB"/>
    <w:multiLevelType w:val="hybridMultilevel"/>
    <w:lvl w:ilvl="0">
      <w:lvlJc w:val="left"/>
      <w:lvlText w:val="\emdash "/>
      <w:numFmt w:val="bullet"/>
      <w:start w:val="1"/>
    </w:lvl>
  </w:abstractNum>
  <w:abstractNum w:abstractNumId="29">
    <w:nsid w:val="D34B6A8"/>
    <w:multiLevelType w:val="hybridMultilevel"/>
    <w:lvl w:ilvl="0">
      <w:lvlJc w:val="left"/>
      <w:lvlText w:val="\emdash "/>
      <w:numFmt w:val="bullet"/>
      <w:start w:val="1"/>
    </w:lvl>
  </w:abstractNum>
  <w:abstractNum w:abstractNumId="30">
    <w:nsid w:val="10233C99"/>
    <w:multiLevelType w:val="hybridMultilevel"/>
    <w:lvl w:ilvl="0">
      <w:lvlJc w:val="left"/>
      <w:lvlText w:val="\emdash "/>
      <w:numFmt w:val="bullet"/>
      <w:start w:val="1"/>
    </w:lvl>
  </w:abstractNum>
  <w:abstractNum w:abstractNumId="31">
    <w:nsid w:val="3F6AB60F"/>
    <w:multiLevelType w:val="hybridMultilevel"/>
    <w:lvl w:ilvl="0">
      <w:lvlJc w:val="left"/>
      <w:lvlText w:val="\emdash "/>
      <w:numFmt w:val="bullet"/>
      <w:start w:val="1"/>
    </w:lvl>
  </w:abstractNum>
  <w:abstractNum w:abstractNumId="32">
    <w:nsid w:val="61574095"/>
    <w:multiLevelType w:val="hybridMultilevel"/>
    <w:lvl w:ilvl="0">
      <w:lvlJc w:val="left"/>
      <w:lvlText w:val="%1."/>
      <w:numFmt w:val="decimal"/>
      <w:start w:val="1"/>
    </w:lvl>
    <w:lvl w:ilvl="1">
      <w:lvlJc w:val="left"/>
      <w:lvlText w:val="(%2)"/>
      <w:numFmt w:val="lowerLetter"/>
      <w:start w:val="1"/>
    </w:lvl>
  </w:abstractNum>
  <w:abstractNum w:abstractNumId="33">
    <w:nsid w:val="7E0C57B1"/>
    <w:multiLevelType w:val="hybridMultilevel"/>
    <w:lvl w:ilvl="0">
      <w:lvlJc w:val="left"/>
      <w:lvlText w:val="%1."/>
      <w:numFmt w:val="lowerRoman"/>
      <w:start w:val="1"/>
    </w:lvl>
  </w:abstractNum>
  <w:abstractNum w:abstractNumId="34">
    <w:nsid w:val="77AE35EB"/>
    <w:multiLevelType w:val="hybridMultilevel"/>
    <w:lvl w:ilvl="0">
      <w:lvlJc w:val="left"/>
      <w:lvlText w:val="\emdash "/>
      <w:numFmt w:val="bullet"/>
      <w:start w:val="1"/>
    </w:lvl>
  </w:abstractNum>
  <w:abstractNum w:abstractNumId="35">
    <w:nsid w:val="579BE4F1"/>
    <w:multiLevelType w:val="hybridMultilevel"/>
    <w:lvl w:ilvl="0">
      <w:lvlJc w:val="left"/>
      <w:lvlText w:val="*"/>
      <w:numFmt w:val="bullet"/>
      <w:start w:val="1"/>
    </w:lvl>
  </w:abstractNum>
  <w:abstractNum w:abstractNumId="36">
    <w:nsid w:val="310C50B3"/>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9"/>
    </w:lvl>
  </w:abstractNum>
  <w:abstractNum w:abstractNumId="37">
    <w:nsid w:val="5FF87E05"/>
    <w:multiLevelType w:val="hybridMultilevel"/>
    <w:lvl w:ilvl="0">
      <w:lvlJc w:val="left"/>
      <w:lvlText w:val="(%1)"/>
      <w:numFmt w:val="lowerRoman"/>
      <w:start w:val="2"/>
    </w:lvl>
  </w:abstractNum>
  <w:abstractNum w:abstractNumId="38">
    <w:nsid w:val="2F305DEF"/>
    <w:multiLevelType w:val="hybridMultilevel"/>
    <w:lvl w:ilvl="0">
      <w:lvlJc w:val="left"/>
      <w:lvlText w:val="(%1)"/>
      <w:numFmt w:val="decimal"/>
      <w:start w:val="2"/>
    </w:lvl>
    <w:lvl w:ilvl="1">
      <w:lvlJc w:val="left"/>
      <w:lvlText w:val="(%2)"/>
      <w:numFmt w:val="lowerRoman"/>
      <w:start w:val="1"/>
    </w:lvl>
  </w:abstractNum>
  <w:abstractNum w:abstractNumId="39">
    <w:nsid w:val="25A70BF7"/>
    <w:multiLevelType w:val="hybridMultilevel"/>
    <w:lvl w:ilvl="0">
      <w:lvlJc w:val="left"/>
      <w:lvlText w:val="(%1)"/>
      <w:numFmt w:val="upperLetter"/>
      <w:start w:val="1"/>
    </w:lvl>
  </w:abstractNum>
  <w:abstractNum w:abstractNumId="40">
    <w:nsid w:val="1DBABF00"/>
    <w:multiLevelType w:val="hybridMultilevel"/>
    <w:lvl w:ilvl="0">
      <w:lvlJc w:val="left"/>
      <w:lvlText w:val="%1"/>
      <w:numFmt w:val="decimal"/>
      <w:start w:val="1"/>
    </w:lvl>
    <w:lvl w:ilvl="1">
      <w:lvlJc w:val="left"/>
      <w:lvlText w:val="(%2)"/>
      <w:numFmt w:val="lowerRoman"/>
      <w:start w:val="2"/>
    </w:lvl>
  </w:abstractNum>
  <w:abstractNum w:abstractNumId="41">
    <w:nsid w:val="4AD084E9"/>
    <w:multiLevelType w:val="hybridMultilevel"/>
    <w:lvl w:ilvl="0">
      <w:lvlJc w:val="left"/>
      <w:lvlText w:val="(%1)"/>
      <w:numFmt w:val="decimal"/>
      <w:start w:val="6"/>
    </w:lvl>
    <w:lvl w:ilvl="1">
      <w:lvlJc w:val="left"/>
      <w:lvlText w:val="(%2)"/>
      <w:numFmt w:val="lowerRoman"/>
      <w:start w:val="1"/>
    </w:lvl>
  </w:abstractNum>
  <w:abstractNum w:abstractNumId="42">
    <w:nsid w:val="1F48EAA1"/>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43">
    <w:nsid w:val="1381823A"/>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44">
    <w:nsid w:val="5DB70AE5"/>
    <w:multiLevelType w:val="hybridMultilevel"/>
    <w:lvl w:ilvl="0">
      <w:lvlJc w:val="left"/>
      <w:lvlText w:val="*"/>
      <w:numFmt w:val="bullet"/>
      <w:start w:val="1"/>
    </w:lvl>
  </w:abstractNum>
  <w:abstractNum w:abstractNumId="45">
    <w:nsid w:val="100F8FCA"/>
    <w:multiLevelType w:val="hybridMultilevel"/>
    <w:lvl w:ilvl="0">
      <w:lvlJc w:val="left"/>
      <w:lvlText w:val="(%1)"/>
      <w:numFmt w:val="lowerLetter"/>
      <w:start w:val="1"/>
    </w:lvl>
  </w:abstractNum>
  <w:abstractNum w:abstractNumId="46">
    <w:nsid w:val="6590700B"/>
    <w:multiLevelType w:val="hybridMultilevel"/>
    <w:lvl w:ilvl="0">
      <w:lvlJc w:val="left"/>
      <w:lvlText w:val="(%1)"/>
      <w:numFmt w:val="lowerLetter"/>
      <w:start w:val="1"/>
    </w:lvl>
  </w:abstractNum>
  <w:abstractNum w:abstractNumId="47">
    <w:nsid w:val="15014ACB"/>
    <w:multiLevelType w:val="hybridMultilevel"/>
    <w:lvl w:ilvl="0">
      <w:lvlJc w:val="left"/>
      <w:lvlText w:val="(%1)"/>
      <w:numFmt w:val="lowerLetter"/>
      <w:start w:val="3"/>
    </w:lvl>
  </w:abstractNum>
  <w:abstractNum w:abstractNumId="48">
    <w:nsid w:val="5F5E7FD0"/>
    <w:multiLevelType w:val="hybridMultilevel"/>
    <w:lvl w:ilvl="0">
      <w:lvlJc w:val="left"/>
      <w:lvlText w:val="(%1)"/>
      <w:numFmt w:val="lowerLetter"/>
      <w:start w:val="17"/>
    </w:lvl>
  </w:abstractNum>
  <w:abstractNum w:abstractNumId="49">
    <w:nsid w:val="98A3148"/>
    <w:multiLevelType w:val="hybridMultilevel"/>
    <w:lvl w:ilvl="0">
      <w:lvlJc w:val="left"/>
      <w:lvlText w:val="(%1)"/>
      <w:numFmt w:val="lowerLetter"/>
      <w:start w:val="1"/>
    </w:lvl>
  </w:abstractNum>
  <w:abstractNum w:abstractNumId="50">
    <w:nsid w:val="799D0247"/>
    <w:multiLevelType w:val="hybridMultilevel"/>
    <w:lvl w:ilvl="0">
      <w:lvlJc w:val="left"/>
      <w:lvlText w:val="(%1)"/>
      <w:numFmt w:val="lowerLetter"/>
      <w:start w:val="2"/>
    </w:lvl>
  </w:abstractNum>
  <w:abstractNum w:abstractNumId="51">
    <w:nsid w:val="6B94764"/>
    <w:multiLevelType w:val="hybridMultilevel"/>
    <w:lvl w:ilvl="0">
      <w:lvlJc w:val="left"/>
      <w:lvlText w:val="(%1)"/>
      <w:numFmt w:val="lowerLetter"/>
      <w:start w:val="1"/>
    </w:lvl>
  </w:abstractNum>
  <w:abstractNum w:abstractNumId="52">
    <w:nsid w:val="42C296BD"/>
    <w:multiLevelType w:val="hybridMultilevel"/>
    <w:lvl w:ilvl="0">
      <w:lvlJc w:val="left"/>
      <w:lvlText w:val="(%1)"/>
      <w:numFmt w:val="lowerRoman"/>
      <w:start w:val="1"/>
    </w:lvl>
  </w:abstractNum>
  <w:abstractNum w:abstractNumId="53">
    <w:nsid w:val="168E121F"/>
    <w:multiLevelType w:val="hybridMultilevel"/>
    <w:lvl w:ilvl="0">
      <w:lvlJc w:val="left"/>
      <w:lvlText w:val="(%1)"/>
      <w:numFmt w:val="lowerLetter"/>
      <w:start w:val="1"/>
    </w:lvl>
    <w:lvl w:ilvl="1">
      <w:lvlJc w:val="left"/>
      <w:lvlText w:val="(%2)"/>
      <w:numFmt w:val="lowerRoman"/>
      <w:start w:val="1"/>
    </w:lvl>
  </w:abstractNum>
  <w:abstractNum w:abstractNumId="54">
    <w:nsid w:val="1EBA5D23"/>
    <w:multiLevelType w:val="hybridMultilevel"/>
    <w:lvl w:ilvl="0">
      <w:lvlJc w:val="left"/>
      <w:lvlText w:val="(%1)"/>
      <w:numFmt w:val="lowerRoman"/>
      <w:start w:val="4"/>
    </w:lvl>
  </w:abstractNum>
  <w:abstractNum w:abstractNumId="55">
    <w:nsid w:val="661E3F1E"/>
    <w:multiLevelType w:val="hybridMultilevel"/>
    <w:lvl w:ilvl="0">
      <w:lvlJc w:val="left"/>
      <w:lvlText w:val="(%1)"/>
      <w:numFmt w:val="lowerLetter"/>
      <w:start w:val="1"/>
    </w:lvl>
  </w:abstractNum>
  <w:abstractNum w:abstractNumId="56">
    <w:nsid w:val="5DC79EA8"/>
    <w:multiLevelType w:val="hybridMultilevel"/>
    <w:lvl w:ilvl="0">
      <w:lvlJc w:val="left"/>
      <w:lvlText w:val="(%1)"/>
      <w:numFmt w:val="lowerLetter"/>
      <w:start w:val="1"/>
    </w:lvl>
  </w:abstractNum>
  <w:abstractNum w:abstractNumId="57">
    <w:nsid w:val="540A471C"/>
    <w:multiLevelType w:val="hybridMultilevel"/>
    <w:lvl w:ilvl="0">
      <w:lvlJc w:val="left"/>
      <w:lvlText w:val="(%1)"/>
      <w:numFmt w:val="lowerLetter"/>
      <w:start w:val="2"/>
    </w:lvl>
    <w:lvl w:ilvl="1">
      <w:lvlJc w:val="left"/>
      <w:lvlText w:val="(%2)"/>
      <w:numFmt w:val="lowerRoman"/>
      <w:start w:val="1"/>
    </w:lvl>
  </w:abstractNum>
  <w:abstractNum w:abstractNumId="58">
    <w:nsid w:val="7BD3EE7B"/>
    <w:multiLevelType w:val="hybridMultilevel"/>
    <w:lvl w:ilvl="0">
      <w:lvlJc w:val="left"/>
      <w:lvlText w:val="(%1)"/>
      <w:numFmt w:val="lowerLetter"/>
      <w:start w:val="1"/>
    </w:lvl>
  </w:abstractNum>
  <w:abstractNum w:abstractNumId="59">
    <w:nsid w:val="51D9C564"/>
    <w:multiLevelType w:val="hybridMultilevel"/>
    <w:lvl w:ilvl="0">
      <w:lvlJc w:val="left"/>
      <w:lvlText w:val="(%1)"/>
      <w:numFmt w:val="lowerLetter"/>
      <w:start w:val="1"/>
    </w:lvl>
  </w:abstractNum>
  <w:abstractNum w:abstractNumId="60">
    <w:nsid w:val="613EFDC5"/>
    <w:multiLevelType w:val="hybridMultilevel"/>
    <w:lvl w:ilvl="0">
      <w:lvlJc w:val="left"/>
      <w:lvlText w:val="(%1)"/>
      <w:numFmt w:val="lowerLetter"/>
      <w:start w:val="1"/>
    </w:lvl>
  </w:abstractNum>
  <w:abstractNum w:abstractNumId="61">
    <w:nsid w:val="BF72B14"/>
    <w:multiLevelType w:val="hybridMultilevel"/>
    <w:lvl w:ilvl="0">
      <w:lvlJc w:val="left"/>
      <w:lvlText w:val="(%1)"/>
      <w:numFmt w:val="lowerLetter"/>
      <w:start w:val="1"/>
    </w:lvl>
    <w:lvl w:ilvl="1">
      <w:lvlJc w:val="left"/>
      <w:lvlText w:val="(%2)"/>
      <w:numFmt w:val="lowerRoman"/>
      <w:start w:val="1"/>
    </w:lvl>
  </w:abstractNum>
  <w:abstractNum w:abstractNumId="62">
    <w:nsid w:val="11447B73"/>
    <w:multiLevelType w:val="hybridMultilevel"/>
    <w:lvl w:ilvl="0">
      <w:lvlJc w:val="left"/>
      <w:lvlText w:val="(%1)"/>
      <w:numFmt w:val="lowerLetter"/>
      <w:start w:val="4"/>
    </w:lvl>
  </w:abstractNum>
  <w:abstractNum w:abstractNumId="63">
    <w:nsid w:val="42963E5A"/>
    <w:multiLevelType w:val="hybridMultilevel"/>
    <w:lvl w:ilvl="0">
      <w:lvlJc w:val="left"/>
      <w:lvlText w:val="(%1)"/>
      <w:numFmt w:val="lowerLetter"/>
      <w:start w:val="1"/>
    </w:lvl>
  </w:abstractNum>
  <w:abstractNum w:abstractNumId="64">
    <w:nsid w:val="A0382C5"/>
    <w:multiLevelType w:val="hybridMultilevel"/>
    <w:lvl w:ilvl="0">
      <w:lvlJc w:val="left"/>
      <w:lvlText w:val="(%1)"/>
      <w:numFmt w:val="lowerLetter"/>
      <w:start w:val="1"/>
    </w:lvl>
  </w:abstractNum>
  <w:abstractNum w:abstractNumId="65">
    <w:nsid w:val="8F2B15E"/>
    <w:multiLevelType w:val="hybridMultilevel"/>
    <w:lvl w:ilvl="0">
      <w:lvlJc w:val="left"/>
      <w:lvlText w:val="(%1)"/>
      <w:numFmt w:val="lowerLetter"/>
      <w:start w:val="1"/>
    </w:lvl>
    <w:lvl w:ilvl="1">
      <w:lvlJc w:val="left"/>
      <w:lvlText w:val="(%2)"/>
      <w:numFmt w:val="lowerRoman"/>
      <w:start w:val="1"/>
    </w:lvl>
  </w:abstractNum>
  <w:abstractNum w:abstractNumId="66">
    <w:nsid w:val="1A32234B"/>
    <w:multiLevelType w:val="hybridMultilevel"/>
    <w:lvl w:ilvl="0">
      <w:lvlJc w:val="left"/>
      <w:lvlText w:val="(%1)"/>
      <w:numFmt w:val="lowerLetter"/>
      <w:start w:val="2"/>
    </w:lvl>
  </w:abstractNum>
  <w:abstractNum w:abstractNumId="67">
    <w:nsid w:val="3B0FD379"/>
    <w:multiLevelType w:val="hybridMultilevel"/>
    <w:lvl w:ilvl="0">
      <w:lvlJc w:val="left"/>
      <w:lvlText w:val="(%1)"/>
      <w:numFmt w:val="lowerLetter"/>
      <w:start w:val="1"/>
    </w:lvl>
  </w:abstractNum>
  <w:abstractNum w:abstractNumId="68">
    <w:nsid w:val="68EB2F63"/>
    <w:multiLevelType w:val="hybridMultilevel"/>
    <w:lvl w:ilvl="0">
      <w:lvlJc w:val="left"/>
      <w:lvlText w:val="(%1)"/>
      <w:numFmt w:val="lowerLetter"/>
      <w:start w:val="1"/>
    </w:lvl>
  </w:abstractNum>
  <w:abstractNum w:abstractNumId="69">
    <w:nsid w:val="4962813B"/>
    <w:multiLevelType w:val="hybridMultilevel"/>
    <w:lvl w:ilvl="0">
      <w:lvlJc w:val="left"/>
      <w:lvlText w:val="(%1)"/>
      <w:numFmt w:val="lowerLetter"/>
      <w:start w:val="4"/>
    </w:lvl>
  </w:abstractNum>
  <w:abstractNum w:abstractNumId="70">
    <w:nsid w:val="60B6DF70"/>
    <w:multiLevelType w:val="hybridMultilevel"/>
    <w:lvl w:ilvl="0">
      <w:lvlJc w:val="left"/>
      <w:lvlText w:val="(%1)"/>
      <w:numFmt w:val="lowerLetter"/>
      <w:start w:val="8"/>
    </w:lvl>
  </w:abstractNum>
  <w:abstractNum w:abstractNumId="71">
    <w:nsid w:val="6A5EE64"/>
    <w:multiLevelType w:val="hybridMultilevel"/>
    <w:lvl w:ilvl="0">
      <w:lvlJc w:val="left"/>
      <w:lvlText w:val="(%1)"/>
      <w:numFmt w:val="lowerLetter"/>
      <w:start w:val="1"/>
    </w:lvl>
  </w:abstractNum>
  <w:abstractNum w:abstractNumId="72">
    <w:nsid w:val="14330624"/>
    <w:multiLevelType w:val="hybridMultilevel"/>
    <w:lvl w:ilvl="0">
      <w:lvlJc w:val="left"/>
      <w:lvlText w:val="(%1)"/>
      <w:numFmt w:val="lowerLetter"/>
      <w:start w:val="6"/>
    </w:lvl>
  </w:abstractNum>
  <w:abstractNum w:abstractNumId="73">
    <w:nsid w:val="7FFFCA11"/>
    <w:multiLevelType w:val="hybridMultilevel"/>
    <w:lvl w:ilvl="0">
      <w:lvlJc w:val="left"/>
      <w:lvlText w:val="(%1)"/>
      <w:numFmt w:val="lowerLetter"/>
      <w:start w:val="1"/>
    </w:lvl>
  </w:abstractNum>
  <w:abstractNum w:abstractNumId="74">
    <w:nsid w:val="1A27709E"/>
    <w:multiLevelType w:val="hybridMultilevel"/>
    <w:lvl w:ilvl="0">
      <w:lvlJc w:val="left"/>
      <w:lvlText w:val="(%1)"/>
      <w:numFmt w:val="lowerLetter"/>
      <w:start w:val="9"/>
    </w:lvl>
  </w:abstractNum>
  <w:abstractNum w:abstractNumId="75">
    <w:nsid w:val="71EA1109"/>
    <w:multiLevelType w:val="hybridMultilevel"/>
    <w:lvl w:ilvl="0">
      <w:lvlJc w:val="left"/>
      <w:lvlText w:val="(%1)"/>
      <w:numFmt w:val="lowerLetter"/>
      <w:start w:val="1"/>
    </w:lvl>
  </w:abstractNum>
  <w:abstractNum w:abstractNumId="76">
    <w:nsid w:val="100F59DC"/>
    <w:multiLevelType w:val="hybridMultilevel"/>
    <w:lvl w:ilvl="0">
      <w:lvlJc w:val="left"/>
      <w:lvlText w:val="(%1)"/>
      <w:numFmt w:val="lowerLetter"/>
      <w:start w:val="1"/>
    </w:lvl>
  </w:abstractNum>
  <w:abstractNum w:abstractNumId="77">
    <w:nsid w:val="7FB7E0AA"/>
    <w:multiLevelType w:val="hybridMultilevel"/>
    <w:lvl w:ilvl="0">
      <w:lvlJc w:val="left"/>
      <w:lvlText w:val="["/>
      <w:numFmt w:val="bullet"/>
      <w:start w:val="1"/>
    </w:lvl>
  </w:abstractNum>
  <w:abstractNum w:abstractNumId="78">
    <w:nsid w:val="6EB5BD4"/>
    <w:multiLevelType w:val="hybridMultilevel"/>
    <w:lvl w:ilvl="0">
      <w:lvlJc w:val="left"/>
      <w:lvlText w:val="(%1)"/>
      <w:numFmt w:val="lowerLetter"/>
      <w:start w:val="2"/>
    </w:lvl>
  </w:abstractNum>
  <w:abstractNum w:abstractNumId="79">
    <w:nsid w:val="6F6DD9AC"/>
    <w:multiLevelType w:val="hybridMultilevel"/>
    <w:lvl w:ilvl="0">
      <w:lvlJc w:val="left"/>
      <w:lvlText w:val="(%1)"/>
      <w:numFmt w:val="lowerLetter"/>
      <w:start w:val="1"/>
    </w:lvl>
  </w:abstractNum>
  <w:abstractNum w:abstractNumId="80">
    <w:nsid w:val="94211F2"/>
    <w:multiLevelType w:val="hybridMultilevel"/>
    <w:lvl w:ilvl="0">
      <w:lvlJc w:val="left"/>
      <w:lvlText w:val="(%1)"/>
      <w:numFmt w:val="lowerLetter"/>
      <w:start w:val="1"/>
    </w:lvl>
  </w:abstractNum>
  <w:abstractNum w:abstractNumId="81">
    <w:nsid w:val="885E1B"/>
    <w:multiLevelType w:val="hybridMultilevel"/>
    <w:lvl w:ilvl="0">
      <w:lvlJc w:val="left"/>
      <w:lvlText w:val="(%1)"/>
      <w:numFmt w:val="decimal"/>
      <w:start w:val="4"/>
    </w:lvl>
  </w:abstractNum>
  <w:abstractNum w:abstractNumId="82">
    <w:nsid w:val="76272110"/>
    <w:multiLevelType w:val="hybridMultilevel"/>
    <w:lvl w:ilvl="0">
      <w:lvlJc w:val="left"/>
      <w:lvlText w:val="%1."/>
      <w:numFmt w:val="decimal"/>
      <w:start w:val="1"/>
    </w:lvl>
  </w:abstractNum>
  <w:abstractNum w:abstractNumId="83">
    <w:nsid w:val="4C04A8AF"/>
    <w:multiLevelType w:val="hybridMultilevel"/>
    <w:lvl w:ilvl="0">
      <w:lvlJc w:val="left"/>
      <w:lvlText w:val="%1."/>
      <w:numFmt w:val="decimal"/>
      <w:start w:val="4"/>
    </w:lvl>
  </w:abstractNum>
  <w:abstractNum w:abstractNumId="84">
    <w:nsid w:val="1716703B"/>
    <w:multiLevelType w:val="hybridMultilevel"/>
    <w:lvl w:ilvl="0">
      <w:lvlJc w:val="left"/>
      <w:lvlText w:val="(%1)"/>
      <w:numFmt w:val="lowerLetter"/>
      <w:start w:val="1"/>
    </w:lvl>
  </w:abstractNum>
  <w:abstractNum w:abstractNumId="85">
    <w:nsid w:val="14E17E33"/>
    <w:multiLevelType w:val="hybridMultilevel"/>
    <w:lvl w:ilvl="0">
      <w:lvlJc w:val="left"/>
      <w:lvlText w:val="(%1)"/>
      <w:numFmt w:val="decimal"/>
      <w:start w:val="4"/>
    </w:lvl>
  </w:abstractNum>
  <w:abstractNum w:abstractNumId="86">
    <w:nsid w:val="3222E7CD"/>
    <w:multiLevelType w:val="hybridMultilevel"/>
    <w:lvl w:ilvl="0">
      <w:lvlJc w:val="left"/>
      <w:lvlText w:val="%1."/>
      <w:numFmt w:val="decimal"/>
      <w:start w:val="1"/>
    </w:lvl>
  </w:abstractNum>
  <w:abstractNum w:abstractNumId="87">
    <w:nsid w:val="74DE0EE3"/>
    <w:multiLevelType w:val="hybridMultilevel"/>
    <w:lvl w:ilvl="0">
      <w:lvlJc w:val="left"/>
      <w:lvlText w:val="%1."/>
      <w:numFmt w:val="decimal"/>
      <w:start w:val="4"/>
    </w:lvl>
  </w:abstractNum>
  <w:abstractNum w:abstractNumId="88">
    <w:nsid w:val="68EBC550"/>
    <w:multiLevelType w:val="hybridMultilevel"/>
    <w:lvl w:ilvl="0">
      <w:lvlJc w:val="left"/>
      <w:lvlText w:val="(%1)"/>
      <w:numFmt w:val="lowerLetter"/>
      <w:start w:val="1"/>
    </w:lvl>
  </w:abstractNum>
  <w:abstractNum w:abstractNumId="89">
    <w:nsid w:val="2DF6D648"/>
    <w:multiLevelType w:val="hybridMultilevel"/>
    <w:lvl w:ilvl="0">
      <w:lvlJc w:val="left"/>
      <w:lvlText w:val="(%1)"/>
      <w:numFmt w:val="lowerLetter"/>
      <w:start w:val="1"/>
    </w:lvl>
  </w:abstractNum>
  <w:abstractNum w:abstractNumId="90">
    <w:nsid w:val="46B7D44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2019-12-11T15:09:44Z</dcterms:created>
  <dcterms:modified xsi:type="dcterms:W3CDTF">2019-12-11T15:09:44Z</dcterms:modified>
</cp:coreProperties>
</file>