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154305</wp:posOffset>
            </wp:positionH>
            <wp:positionV relativeFrom="page">
              <wp:posOffset>154305</wp:posOffset>
            </wp:positionV>
            <wp:extent cx="725297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3238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268605</wp:posOffset>
            </wp:positionV>
            <wp:extent cx="7252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8255"/>
                    </a:xfrm>
                    <a:prstGeom prst="rect">
                      <a:avLst/>
                    </a:prstGeom>
                    <a:noFill/>
                  </pic:spPr>
                </pic:pic>
              </a:graphicData>
            </a:graphic>
          </wp:anchor>
        </w:drawing>
        <w:t>FORM 6-K</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 the month of March 2018 No.2</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TOWER SEMICONDUCTOR LTD.</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(Translation of registrant's name into English)</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Ramat Gavriel Industrial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P.O. Box 619, Migdal Haemek, Israel 2310502</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257" w:lineRule="exact"/>
        <w:rPr>
          <w:sz w:val="24"/>
          <w:szCs w:val="24"/>
          <w:color w:val="auto"/>
        </w:rPr>
      </w:pPr>
    </w:p>
    <w:p>
      <w:pPr>
        <w:ind w:left="620"/>
        <w:spacing w:after="0"/>
        <w:rPr>
          <w:sz w:val="20"/>
          <w:szCs w:val="20"/>
          <w:color w:val="auto"/>
        </w:rPr>
      </w:pPr>
      <w:r>
        <w:rPr>
          <w:rFonts w:ascii="Arial" w:cs="Arial" w:eastAsia="Arial" w:hAnsi="Arial"/>
          <w:sz w:val="17"/>
          <w:szCs w:val="17"/>
          <w:color w:val="auto"/>
        </w:rPr>
        <w:t>Indicate by check mark whether the registrant files or will file annual reports under cover Form 20-F or Form 40-F.</w:t>
      </w:r>
    </w:p>
    <w:p>
      <w:pPr>
        <w:spacing w:after="0" w:line="235" w:lineRule="exact"/>
        <w:rPr>
          <w:sz w:val="24"/>
          <w:szCs w:val="24"/>
          <w:color w:val="auto"/>
        </w:rPr>
      </w:pPr>
    </w:p>
    <w:p>
      <w:pPr>
        <w:jc w:val="center"/>
        <w:spacing w:after="0" w:line="196" w:lineRule="exact"/>
        <w:tabs>
          <w:tab w:leader="none" w:pos="400" w:val="left"/>
        </w:tabs>
        <w:rPr>
          <w:sz w:val="20"/>
          <w:szCs w:val="20"/>
          <w:color w:val="auto"/>
        </w:rPr>
      </w:pPr>
      <w:r>
        <w:rPr>
          <w:rFonts w:ascii="Arial" w:cs="Arial" w:eastAsia="Arial" w:hAnsi="Arial"/>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Form 40-F </w:t>
      </w:r>
      <w:r>
        <w:rPr>
          <w:rFonts w:ascii="MS PGothic" w:cs="MS PGothic" w:eastAsia="MS PGothic" w:hAnsi="MS PGothic"/>
          <w:sz w:val="15"/>
          <w:szCs w:val="15"/>
          <w:color w:val="auto"/>
        </w:rPr>
        <w:t>☐</w:t>
      </w:r>
    </w:p>
    <w:p>
      <w:pPr>
        <w:spacing w:after="0" w:line="300" w:lineRule="exact"/>
        <w:rPr>
          <w:sz w:val="24"/>
          <w:szCs w:val="24"/>
          <w:color w:val="auto"/>
        </w:rPr>
      </w:pPr>
    </w:p>
    <w:p>
      <w:pPr>
        <w:ind w:firstLine="609"/>
        <w:spacing w:after="0" w:line="278" w:lineRule="auto"/>
        <w:rPr>
          <w:sz w:val="20"/>
          <w:szCs w:val="20"/>
          <w:color w:val="auto"/>
        </w:rPr>
      </w:pPr>
      <w:r>
        <w:rPr>
          <w:rFonts w:ascii="Arial" w:cs="Arial" w:eastAsia="Arial" w:hAnsi="Arial"/>
          <w:sz w:val="17"/>
          <w:szCs w:val="17"/>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84" w:lineRule="exact"/>
        <w:rPr>
          <w:sz w:val="24"/>
          <w:szCs w:val="24"/>
          <w:color w:val="auto"/>
        </w:rPr>
      </w:pPr>
    </w:p>
    <w:p>
      <w:pPr>
        <w:jc w:val="center"/>
        <w:ind w:right="-19"/>
        <w:spacing w:after="0" w:line="196" w:lineRule="exact"/>
        <w:tabs>
          <w:tab w:leader="none" w:pos="40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72529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 w:name="page2"/>
    <w:bookmarkEnd w:id="1"/>
    <w:p>
      <w:pPr>
        <w:ind w:left="620"/>
        <w:spacing w:after="0"/>
        <w:rPr>
          <w:sz w:val="20"/>
          <w:szCs w:val="20"/>
          <w:color w:val="auto"/>
        </w:rPr>
      </w:pPr>
      <w:r>
        <w:rPr>
          <w:rFonts w:ascii="Arial" w:cs="Arial" w:eastAsia="Arial" w:hAnsi="Arial"/>
          <w:sz w:val="16"/>
          <w:szCs w:val="16"/>
          <w:color w:val="auto"/>
        </w:rPr>
        <w:t>On March 6, 2018, the Registrant announced its financial results for the year ended December 31, 2017. Attached hereto is the following exhibit.</w:t>
      </w:r>
    </w:p>
    <w:p>
      <w:pPr>
        <w:spacing w:after="0" w:line="318" w:lineRule="exact"/>
        <w:rPr>
          <w:sz w:val="20"/>
          <w:szCs w:val="20"/>
          <w:color w:val="auto"/>
        </w:rPr>
      </w:pPr>
    </w:p>
    <w:p>
      <w:pPr>
        <w:ind w:left="1180" w:hanging="1144"/>
        <w:spacing w:after="0" w:line="278" w:lineRule="auto"/>
        <w:tabs>
          <w:tab w:leader="none" w:pos="1160" w:val="left"/>
        </w:tabs>
        <w:rPr>
          <w:sz w:val="20"/>
          <w:szCs w:val="20"/>
          <w:color w:val="auto"/>
        </w:rPr>
      </w:pPr>
      <w:r>
        <w:rPr>
          <w:rFonts w:ascii="Arial" w:cs="Arial" w:eastAsia="Arial" w:hAnsi="Arial"/>
          <w:sz w:val="17"/>
          <w:szCs w:val="17"/>
          <w:u w:val="single" w:color="auto"/>
          <w:color w:val="0000EE"/>
        </w:rPr>
        <w:t>Exhibit 99.1</w:t>
      </w:r>
      <w:r>
        <w:rPr>
          <w:sz w:val="20"/>
          <w:szCs w:val="20"/>
          <w:color w:val="auto"/>
        </w:rPr>
        <w:tab/>
      </w:r>
      <w:r>
        <w:rPr>
          <w:rFonts w:ascii="Arial" w:cs="Arial" w:eastAsia="Arial" w:hAnsi="Arial"/>
          <w:sz w:val="17"/>
          <w:szCs w:val="17"/>
          <w:u w:val="single" w:color="auto"/>
          <w:color w:val="0000EE"/>
        </w:rPr>
        <w:t>Registrant’s consolidated financial statements as of December 31, 2017 and the report thereon dated March 6, 2018 of Brightman Almagor Zohar &amp; Co.</w:t>
      </w:r>
    </w:p>
    <w:p>
      <w:pPr>
        <w:spacing w:after="0" w:line="36" w:lineRule="exact"/>
        <w:rPr>
          <w:sz w:val="20"/>
          <w:szCs w:val="20"/>
          <w:color w:val="auto"/>
        </w:rPr>
      </w:pPr>
    </w:p>
    <w:p>
      <w:pPr>
        <w:ind w:left="40" w:right="4040"/>
        <w:spacing w:after="0" w:line="373" w:lineRule="auto"/>
        <w:rPr>
          <w:sz w:val="20"/>
          <w:szCs w:val="20"/>
          <w:color w:val="auto"/>
        </w:rPr>
      </w:pPr>
      <w:r>
        <w:rPr>
          <w:rFonts w:ascii="Arial" w:cs="Arial" w:eastAsia="Arial" w:hAnsi="Arial"/>
          <w:sz w:val="17"/>
          <w:szCs w:val="17"/>
          <w:u w:val="single" w:color="auto"/>
          <w:color w:val="0000EE"/>
        </w:rPr>
        <w:t>Exhibit 99.2 Management’s Discussion and Analysis of Financial Condition and Results of Operations Exhibit 99.3 Consent of Independent Registered Accounting Firm</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This Form 6-K, including all exhibits hereto, is hereby incorporated by reference into all effective registration statements filed by us under the Securities Act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2529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SIGNATURES</w:t>
      </w:r>
    </w:p>
    <w:p>
      <w:pPr>
        <w:spacing w:after="0" w:line="274" w:lineRule="exact"/>
        <w:rPr>
          <w:sz w:val="20"/>
          <w:szCs w:val="20"/>
          <w:color w:val="auto"/>
        </w:rPr>
      </w:pPr>
    </w:p>
    <w:p>
      <w:pPr>
        <w:ind w:firstLine="609"/>
        <w:spacing w:after="0" w:line="27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10"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TOWER SEMICONDUCTOR LTD.</w:t>
      </w:r>
    </w:p>
    <w:p>
      <w:pPr>
        <w:spacing w:after="0" w:line="222"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March 6, 2018</w:t>
      </w:r>
      <w:r>
        <w:rPr>
          <w:sz w:val="20"/>
          <w:szCs w:val="20"/>
          <w:color w:val="auto"/>
        </w:rPr>
        <w:tab/>
      </w:r>
      <w:r>
        <w:rPr>
          <w:rFonts w:ascii="Arial" w:cs="Arial" w:eastAsia="Arial" w:hAnsi="Arial"/>
          <w:sz w:val="16"/>
          <w:szCs w:val="16"/>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173990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9900" cy="1651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 Nati Somekh</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72529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325755</wp:posOffset>
            </wp:positionV>
            <wp:extent cx="7252970"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32385"/>
                    </a:xfrm>
                    <a:prstGeom prst="rect">
                      <a:avLst/>
                    </a:prstGeom>
                    <a:noFill/>
                  </pic:spPr>
                </pic:pic>
              </a:graphicData>
            </a:graphic>
          </wp:anchor>
        </w:drawing>
      </w:r>
    </w:p>
    <w:p>
      <w:pPr>
        <w:sectPr>
          <w:pgSz w:w="11900" w:h="16838" w:orient="portrait"/>
          <w:cols w:equalWidth="0" w:num="1">
            <w:col w:w="11320"/>
          </w:cols>
          <w:pgMar w:left="240" w:top="32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52970"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3238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203200</wp:posOffset>
            </wp:positionV>
            <wp:extent cx="72529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970" cy="8255"/>
                    </a:xfrm>
                    <a:prstGeom prst="rect">
                      <a:avLst/>
                    </a:prstGeom>
                    <a:noFill/>
                  </pic:spPr>
                </pic:pic>
              </a:graphicData>
            </a:graphic>
          </wp:anchor>
        </w:drawing>
        <w:t>Exhibit 99.1</w:t>
      </w:r>
    </w:p>
    <w:p>
      <w:pPr>
        <w:spacing w:after="0" w:line="242" w:lineRule="exact"/>
        <w:rPr>
          <w:sz w:val="20"/>
          <w:szCs w:val="20"/>
          <w:color w:val="auto"/>
        </w:rPr>
      </w:pPr>
    </w:p>
    <w:p>
      <w:pPr>
        <w:jc w:val="center"/>
        <w:ind w:right="1160"/>
        <w:spacing w:after="0"/>
        <w:rPr>
          <w:sz w:val="20"/>
          <w:szCs w:val="20"/>
          <w:color w:val="auto"/>
        </w:rPr>
      </w:pPr>
      <w:r>
        <w:rPr>
          <w:rFonts w:ascii="Arial" w:cs="Arial" w:eastAsia="Arial" w:hAnsi="Arial"/>
          <w:sz w:val="17"/>
          <w:szCs w:val="17"/>
          <w:b w:val="1"/>
          <w:bCs w:val="1"/>
          <w:color w:val="auto"/>
        </w:rPr>
        <w:t>TOWER SEMICONDUCTOR LTD.</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AND SUBSIDIARIES</w:t>
      </w:r>
    </w:p>
    <w:p>
      <w:pPr>
        <w:spacing w:after="0" w:line="19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CONSOLIDATED FINANCIAL STATEMENTS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113665</wp:posOffset>
            </wp:positionV>
            <wp:extent cx="725297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0220"/>
          </w:cols>
          <w:pgMar w:left="1440" w:top="64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920" w:type="dxa"/>
            <w:vAlign w:val="bottom"/>
            <w:gridSpan w:val="4"/>
          </w:tcPr>
          <w:p>
            <w:pPr>
              <w:jc w:val="center"/>
              <w:ind w:right="2340"/>
              <w:spacing w:after="0"/>
              <w:rPr>
                <w:sz w:val="20"/>
                <w:szCs w:val="20"/>
                <w:color w:val="auto"/>
              </w:rPr>
            </w:pPr>
            <w:r>
              <w:rPr>
                <w:rFonts w:ascii="Arial" w:cs="Arial" w:eastAsia="Arial" w:hAnsi="Arial"/>
                <w:sz w:val="17"/>
                <w:szCs w:val="17"/>
                <w:b w:val="1"/>
                <w:bCs w:val="1"/>
                <w:color w:val="auto"/>
              </w:rPr>
              <w:t>TOWER SEMICONDUCTOR LTD. AND SUBSIDIARIES</w:t>
            </w:r>
          </w:p>
        </w:tc>
        <w:tc>
          <w:tcPr>
            <w:tcW w:w="580" w:type="dxa"/>
            <w:vAlign w:val="bottom"/>
          </w:tcPr>
          <w:p>
            <w:pPr>
              <w:spacing w:after="0"/>
              <w:rPr>
                <w:sz w:val="19"/>
                <w:szCs w:val="19"/>
                <w:color w:val="auto"/>
              </w:rPr>
            </w:pPr>
          </w:p>
        </w:tc>
      </w:tr>
      <w:tr>
        <w:trPr>
          <w:trHeight w:val="463"/>
        </w:trPr>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20" w:type="dxa"/>
            <w:vAlign w:val="bottom"/>
            <w:gridSpan w:val="4"/>
          </w:tcPr>
          <w:p>
            <w:pPr>
              <w:jc w:val="center"/>
              <w:ind w:right="2340"/>
              <w:spacing w:after="0"/>
              <w:rPr>
                <w:sz w:val="20"/>
                <w:szCs w:val="20"/>
                <w:color w:val="auto"/>
              </w:rPr>
            </w:pPr>
            <w:r>
              <w:rPr>
                <w:rFonts w:ascii="Arial" w:cs="Arial" w:eastAsia="Arial" w:hAnsi="Arial"/>
                <w:sz w:val="17"/>
                <w:szCs w:val="17"/>
                <w:b w:val="1"/>
                <w:bCs w:val="1"/>
                <w:color w:val="auto"/>
              </w:rPr>
              <w:t>INDEX TO CONSOLIDATED FINANCIAL STATEMENTS</w:t>
            </w:r>
          </w:p>
        </w:tc>
        <w:tc>
          <w:tcPr>
            <w:tcW w:w="580" w:type="dxa"/>
            <w:vAlign w:val="bottom"/>
          </w:tcPr>
          <w:p>
            <w:pPr>
              <w:spacing w:after="0"/>
              <w:rPr>
                <w:sz w:val="24"/>
                <w:szCs w:val="24"/>
                <w:color w:val="auto"/>
              </w:rPr>
            </w:pPr>
          </w:p>
        </w:tc>
      </w:tr>
      <w:tr>
        <w:trPr>
          <w:trHeight w:val="470"/>
        </w:trPr>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Page</w:t>
            </w:r>
          </w:p>
        </w:tc>
      </w:tr>
      <w:tr>
        <w:trPr>
          <w:trHeight w:val="386"/>
        </w:trPr>
        <w:tc>
          <w:tcPr>
            <w:tcW w:w="10840" w:type="dxa"/>
            <w:vAlign w:val="bottom"/>
            <w:gridSpan w:val="8"/>
          </w:tcPr>
          <w:p>
            <w:pPr>
              <w:spacing w:after="0"/>
              <w:rPr>
                <w:sz w:val="20"/>
                <w:szCs w:val="20"/>
                <w:color w:val="auto"/>
              </w:rPr>
            </w:pPr>
            <w:r>
              <w:rPr>
                <w:rFonts w:ascii="Arial" w:cs="Arial" w:eastAsia="Arial" w:hAnsi="Arial"/>
                <w:sz w:val="17"/>
                <w:szCs w:val="17"/>
                <w:color w:val="0000EE"/>
              </w:rPr>
              <w:t>REPORT OF INDEPENDENT REGISTERED PUBLIC ACCOUNTING FIRM</w:t>
            </w: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1</w:t>
            </w:r>
          </w:p>
        </w:tc>
      </w:tr>
      <w:tr>
        <w:trPr>
          <w:trHeight w:val="392"/>
        </w:trPr>
        <w:tc>
          <w:tcPr>
            <w:tcW w:w="5520" w:type="dxa"/>
            <w:vAlign w:val="bottom"/>
            <w:tcBorders>
              <w:top w:val="single" w:sz="8" w:color="0000EE"/>
            </w:tcBorders>
            <w:gridSpan w:val="7"/>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BALANCE SHEETS</w:t>
              </w:r>
            </w:hyperlink>
          </w:p>
        </w:tc>
        <w:tc>
          <w:tcPr>
            <w:tcW w:w="53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2</w:t>
            </w:r>
          </w:p>
        </w:tc>
      </w:tr>
      <w:tr>
        <w:trPr>
          <w:trHeight w:val="20"/>
        </w:trPr>
        <w:tc>
          <w:tcPr>
            <w:tcW w:w="14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92"/>
        </w:trPr>
        <w:tc>
          <w:tcPr>
            <w:tcW w:w="2440" w:type="dxa"/>
            <w:vAlign w:val="bottom"/>
            <w:tcBorders>
              <w:bottom w:val="single" w:sz="8" w:color="0000EE"/>
            </w:tcBorders>
            <w:gridSpan w:val="2"/>
          </w:tcPr>
          <w:p>
            <w:pPr>
              <w:spacing w:after="0"/>
              <w:rPr>
                <w:rFonts w:ascii="Arial" w:cs="Arial" w:eastAsia="Arial" w:hAnsi="Arial"/>
                <w:sz w:val="17"/>
                <w:szCs w:val="17"/>
                <w:color w:val="0000EE"/>
                <w:w w:val="93"/>
              </w:rPr>
            </w:pPr>
            <w:hyperlink w:anchor="page8">
              <w:r>
                <w:rPr>
                  <w:rFonts w:ascii="Arial" w:cs="Arial" w:eastAsia="Arial" w:hAnsi="Arial"/>
                  <w:sz w:val="17"/>
                  <w:szCs w:val="17"/>
                  <w:color w:val="0000EE"/>
                  <w:w w:val="93"/>
                </w:rPr>
                <w:t>STATEMENTS OF OPERATIONS</w:t>
              </w:r>
            </w:hyperlink>
          </w:p>
        </w:tc>
        <w:tc>
          <w:tcPr>
            <w:tcW w:w="8400" w:type="dxa"/>
            <w:vAlign w:val="bottom"/>
            <w:gridSpan w:val="6"/>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3</w:t>
            </w:r>
          </w:p>
        </w:tc>
      </w:tr>
      <w:tr>
        <w:trPr>
          <w:trHeight w:val="392"/>
        </w:trPr>
        <w:tc>
          <w:tcPr>
            <w:tcW w:w="10840" w:type="dxa"/>
            <w:vAlign w:val="bottom"/>
            <w:gridSpan w:val="8"/>
          </w:tcPr>
          <w:p>
            <w:pPr>
              <w:spacing w:after="0"/>
              <w:rPr>
                <w:rFonts w:ascii="Arial" w:cs="Arial" w:eastAsia="Arial" w:hAnsi="Arial"/>
                <w:sz w:val="17"/>
                <w:szCs w:val="17"/>
                <w:color w:val="0000EE"/>
              </w:rPr>
            </w:pPr>
            <w:hyperlink w:anchor="page9">
              <w:r>
                <w:rPr>
                  <w:rFonts w:ascii="Arial" w:cs="Arial" w:eastAsia="Arial" w:hAnsi="Arial"/>
                  <w:sz w:val="17"/>
                  <w:szCs w:val="17"/>
                  <w:color w:val="0000EE"/>
                </w:rPr>
                <w:t>STATEMENTS OF COMPREHENSIVE INCOME (LOSS)</w:t>
              </w:r>
            </w:hyperlink>
          </w:p>
        </w:tc>
        <w:tc>
          <w:tcPr>
            <w:tcW w:w="580" w:type="dxa"/>
            <w:vAlign w:val="bottom"/>
          </w:tcPr>
          <w:p>
            <w:pPr>
              <w:jc w:val="center"/>
              <w:spacing w:after="0"/>
              <w:rPr>
                <w:sz w:val="20"/>
                <w:szCs w:val="20"/>
                <w:color w:val="auto"/>
              </w:rPr>
            </w:pPr>
            <w:r>
              <w:rPr>
                <w:rFonts w:ascii="Arial" w:cs="Arial" w:eastAsia="Arial" w:hAnsi="Arial"/>
                <w:sz w:val="17"/>
                <w:szCs w:val="17"/>
                <w:color w:val="auto"/>
                <w:w w:val="84"/>
              </w:rPr>
              <w:t>4</w:t>
            </w:r>
          </w:p>
        </w:tc>
      </w:tr>
      <w:tr>
        <w:trPr>
          <w:trHeight w:val="20"/>
        </w:trPr>
        <w:tc>
          <w:tcPr>
            <w:tcW w:w="24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7"/>
        </w:trPr>
        <w:tc>
          <w:tcPr>
            <w:tcW w:w="4560" w:type="dxa"/>
            <w:vAlign w:val="bottom"/>
            <w:tcBorders>
              <w:bottom w:val="single" w:sz="8" w:color="0000EE"/>
            </w:tcBorders>
            <w:gridSpan w:val="6"/>
          </w:tcPr>
          <w:p>
            <w:pPr>
              <w:spacing w:after="0"/>
              <w:rPr>
                <w:rFonts w:ascii="Arial" w:cs="Arial" w:eastAsia="Arial" w:hAnsi="Arial"/>
                <w:sz w:val="17"/>
                <w:szCs w:val="17"/>
                <w:color w:val="0000EE"/>
                <w:w w:val="96"/>
              </w:rPr>
            </w:pPr>
            <w:hyperlink w:anchor="page10">
              <w:r>
                <w:rPr>
                  <w:rFonts w:ascii="Arial" w:cs="Arial" w:eastAsia="Arial" w:hAnsi="Arial"/>
                  <w:sz w:val="17"/>
                  <w:szCs w:val="17"/>
                  <w:color w:val="0000EE"/>
                  <w:w w:val="96"/>
                </w:rPr>
                <w:t>STATEMENTS OF CHANGES IN SHAREHOLDERS’ EQUITY</w:t>
              </w:r>
            </w:hyperlink>
          </w:p>
        </w:tc>
        <w:tc>
          <w:tcPr>
            <w:tcW w:w="6280" w:type="dxa"/>
            <w:vAlign w:val="bottom"/>
            <w:gridSpan w:val="2"/>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84"/>
              </w:rPr>
              <w:t>5</w:t>
            </w:r>
          </w:p>
        </w:tc>
      </w:tr>
      <w:tr>
        <w:trPr>
          <w:trHeight w:val="392"/>
        </w:trPr>
        <w:tc>
          <w:tcPr>
            <w:tcW w:w="2480" w:type="dxa"/>
            <w:vAlign w:val="bottom"/>
            <w:tcBorders>
              <w:bottom w:val="single" w:sz="8" w:color="0000EE"/>
            </w:tcBorders>
            <w:gridSpan w:val="3"/>
          </w:tcPr>
          <w:p>
            <w:pPr>
              <w:spacing w:after="0"/>
              <w:rPr>
                <w:rFonts w:ascii="Arial" w:cs="Arial" w:eastAsia="Arial" w:hAnsi="Arial"/>
                <w:sz w:val="17"/>
                <w:szCs w:val="17"/>
                <w:color w:val="0000EE"/>
                <w:w w:val="94"/>
              </w:rPr>
            </w:pPr>
            <w:hyperlink w:anchor="page11">
              <w:r>
                <w:rPr>
                  <w:rFonts w:ascii="Arial" w:cs="Arial" w:eastAsia="Arial" w:hAnsi="Arial"/>
                  <w:sz w:val="17"/>
                  <w:szCs w:val="17"/>
                  <w:color w:val="0000EE"/>
                  <w:w w:val="94"/>
                </w:rPr>
                <w:t>STATEMENTS OF CASH FLOWS</w:t>
              </w:r>
            </w:hyperlink>
          </w:p>
        </w:tc>
        <w:tc>
          <w:tcPr>
            <w:tcW w:w="8360" w:type="dxa"/>
            <w:vAlign w:val="bottom"/>
            <w:gridSpan w:val="5"/>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89"/>
              </w:rPr>
              <w:t>6-7</w:t>
            </w:r>
          </w:p>
        </w:tc>
      </w:tr>
      <w:tr>
        <w:trPr>
          <w:trHeight w:val="392"/>
        </w:trPr>
        <w:tc>
          <w:tcPr>
            <w:tcW w:w="10840" w:type="dxa"/>
            <w:vAlign w:val="bottom"/>
            <w:gridSpan w:val="8"/>
          </w:tcPr>
          <w:p>
            <w:pPr>
              <w:spacing w:after="0"/>
              <w:rPr>
                <w:rFonts w:ascii="Arial" w:cs="Arial" w:eastAsia="Arial" w:hAnsi="Arial"/>
                <w:sz w:val="17"/>
                <w:szCs w:val="17"/>
                <w:color w:val="0000EE"/>
              </w:rPr>
            </w:pPr>
            <w:hyperlink w:anchor="page13">
              <w:r>
                <w:rPr>
                  <w:rFonts w:ascii="Arial" w:cs="Arial" w:eastAsia="Arial" w:hAnsi="Arial"/>
                  <w:sz w:val="17"/>
                  <w:szCs w:val="17"/>
                  <w:color w:val="0000EE"/>
                </w:rPr>
                <w:t>NOTES TO FINANCIAL STATEMENTS</w:t>
              </w:r>
            </w:hyperlink>
          </w:p>
        </w:tc>
        <w:tc>
          <w:tcPr>
            <w:tcW w:w="580" w:type="dxa"/>
            <w:vAlign w:val="bottom"/>
          </w:tcPr>
          <w:p>
            <w:pPr>
              <w:jc w:val="center"/>
              <w:spacing w:after="0"/>
              <w:rPr>
                <w:sz w:val="20"/>
                <w:szCs w:val="20"/>
                <w:color w:val="auto"/>
              </w:rPr>
            </w:pPr>
            <w:r>
              <w:rPr>
                <w:rFonts w:ascii="Arial" w:cs="Arial" w:eastAsia="Arial" w:hAnsi="Arial"/>
                <w:sz w:val="17"/>
                <w:szCs w:val="17"/>
                <w:color w:val="auto"/>
                <w:w w:val="93"/>
              </w:rPr>
              <w:t>8-60</w:t>
            </w:r>
          </w:p>
        </w:tc>
      </w:tr>
      <w:tr>
        <w:trPr>
          <w:trHeight w:val="397"/>
        </w:trPr>
        <w:tc>
          <w:tcPr>
            <w:tcW w:w="148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78"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154305</wp:posOffset>
            </wp:positionH>
            <wp:positionV relativeFrom="page">
              <wp:posOffset>219710</wp:posOffset>
            </wp:positionV>
            <wp:extent cx="1960245" cy="433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960245" cy="433070"/>
                    </a:xfrm>
                    <a:prstGeom prst="rect">
                      <a:avLst/>
                    </a:prstGeom>
                    <a:noFill/>
                  </pic:spPr>
                </pic:pic>
              </a:graphicData>
            </a:graphic>
          </wp:anchor>
        </w:drawing>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Tower Semiconductor Ltd.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have audited the accompanying consolidated balance sheets of Tower Semiconductor Ltd. and subsidiaries (the "Company") as of December 31, 2017 and 2016, the related consolidated statements of operations, comprehensive income, shareholders'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Brightman Almagor Zohar &amp; 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Certified Public Accountants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 Member of Deloitte Touche Tohmatsu Limited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Tel Aviv, Israel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6, 2018</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7252970" cy="1845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1845945"/>
                    </a:xfrm>
                    <a:prstGeom prst="rect">
                      <a:avLst/>
                    </a:prstGeom>
                    <a:noFill/>
                  </pic:spPr>
                </pic:pic>
              </a:graphicData>
            </a:graphic>
          </wp:anchor>
        </w:drawing>
      </w:r>
    </w:p>
    <w:p>
      <w:pPr>
        <w:sectPr>
          <w:pgSz w:w="11900" w:h="16838" w:orient="portrait"/>
          <w:cols w:equalWidth="0" w:num="1">
            <w:col w:w="11420"/>
          </w:cols>
          <w:pgMar w:left="240" w:top="121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and shares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7"/>
                <w:szCs w:val="17"/>
                <w:b w:val="1"/>
                <w:bCs w:val="1"/>
                <w:color w:val="auto"/>
              </w:rPr>
              <w:t>As of December 31,</w:t>
            </w:r>
          </w:p>
        </w:tc>
      </w:tr>
      <w:tr>
        <w:trPr>
          <w:trHeight w:val="212"/>
        </w:trPr>
        <w:tc>
          <w:tcPr>
            <w:tcW w:w="7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8"/>
                <w:szCs w:val="18"/>
                <w:color w:val="auto"/>
              </w:rPr>
            </w:pPr>
          </w:p>
        </w:tc>
      </w:tr>
      <w:tr>
        <w:trPr>
          <w:trHeight w:val="206"/>
        </w:trPr>
        <w:tc>
          <w:tcPr>
            <w:tcW w:w="7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 S S E T 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5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CURRENT ASSETS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540" w:type="dxa"/>
            <w:vAlign w:val="bottom"/>
          </w:tcPr>
          <w:p>
            <w:pPr>
              <w:ind w:left="320"/>
              <w:spacing w:after="0"/>
              <w:rPr>
                <w:sz w:val="20"/>
                <w:szCs w:val="20"/>
                <w:color w:val="auto"/>
              </w:rPr>
            </w:pPr>
            <w:r>
              <w:rPr>
                <w:rFonts w:ascii="Arial" w:cs="Arial" w:eastAsia="Arial" w:hAnsi="Arial"/>
                <w:sz w:val="17"/>
                <w:szCs w:val="17"/>
                <w:b w:val="1"/>
                <w:bCs w:val="1"/>
                <w:color w:val="auto"/>
              </w:rPr>
              <w:t>Cash and cash equivalents</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445,961</w:t>
            </w:r>
          </w:p>
        </w:tc>
        <w:tc>
          <w:tcPr>
            <w:tcW w:w="1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355,284</w:t>
            </w:r>
          </w:p>
        </w:tc>
      </w:tr>
      <w:tr>
        <w:trPr>
          <w:trHeight w:val="206"/>
        </w:trPr>
        <w:tc>
          <w:tcPr>
            <w:tcW w:w="75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Marketable securities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113,874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r>
      <w:tr>
        <w:trPr>
          <w:trHeight w:val="206"/>
        </w:trPr>
        <w:tc>
          <w:tcPr>
            <w:tcW w:w="7540" w:type="dxa"/>
            <w:vAlign w:val="bottom"/>
          </w:tcPr>
          <w:p>
            <w:pPr>
              <w:ind w:left="320"/>
              <w:spacing w:after="0"/>
              <w:rPr>
                <w:sz w:val="20"/>
                <w:szCs w:val="20"/>
                <w:color w:val="auto"/>
              </w:rPr>
            </w:pPr>
            <w:r>
              <w:rPr>
                <w:rFonts w:ascii="Arial" w:cs="Arial" w:eastAsia="Arial" w:hAnsi="Arial"/>
                <w:sz w:val="17"/>
                <w:szCs w:val="17"/>
                <w:b w:val="1"/>
                <w:bCs w:val="1"/>
                <w:color w:val="auto"/>
              </w:rPr>
              <w:t>Short term deposits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34,093</w:t>
            </w:r>
          </w:p>
        </w:tc>
      </w:tr>
      <w:tr>
        <w:trPr>
          <w:trHeight w:val="206"/>
        </w:trPr>
        <w:tc>
          <w:tcPr>
            <w:tcW w:w="75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Trade accounts receivable</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149,666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141,048</w:t>
            </w:r>
          </w:p>
        </w:tc>
      </w:tr>
      <w:tr>
        <w:trPr>
          <w:trHeight w:val="206"/>
        </w:trPr>
        <w:tc>
          <w:tcPr>
            <w:tcW w:w="7540" w:type="dxa"/>
            <w:vAlign w:val="bottom"/>
          </w:tcPr>
          <w:p>
            <w:pPr>
              <w:ind w:left="320"/>
              <w:spacing w:after="0"/>
              <w:rPr>
                <w:sz w:val="20"/>
                <w:szCs w:val="20"/>
                <w:color w:val="auto"/>
              </w:rPr>
            </w:pPr>
            <w:r>
              <w:rPr>
                <w:rFonts w:ascii="Arial" w:cs="Arial" w:eastAsia="Arial" w:hAnsi="Arial"/>
                <w:sz w:val="17"/>
                <w:szCs w:val="17"/>
                <w:b w:val="1"/>
                <w:bCs w:val="1"/>
                <w:color w:val="auto"/>
              </w:rPr>
              <w:t>Inventories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143,315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137,532</w:t>
            </w:r>
          </w:p>
        </w:tc>
      </w:tr>
      <w:tr>
        <w:trPr>
          <w:trHeight w:val="206"/>
        </w:trPr>
        <w:tc>
          <w:tcPr>
            <w:tcW w:w="75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Other current assets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21,516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30,041</w:t>
            </w:r>
          </w:p>
        </w:tc>
      </w:tr>
      <w:tr>
        <w:trPr>
          <w:trHeight w:val="26"/>
        </w:trPr>
        <w:tc>
          <w:tcPr>
            <w:tcW w:w="75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7540" w:type="dxa"/>
            <w:vAlign w:val="bottom"/>
          </w:tcPr>
          <w:p>
            <w:pPr>
              <w:ind w:left="460"/>
              <w:spacing w:after="0"/>
              <w:rPr>
                <w:sz w:val="20"/>
                <w:szCs w:val="20"/>
                <w:color w:val="auto"/>
              </w:rPr>
            </w:pPr>
            <w:r>
              <w:rPr>
                <w:rFonts w:ascii="Arial" w:cs="Arial" w:eastAsia="Arial" w:hAnsi="Arial"/>
                <w:sz w:val="17"/>
                <w:szCs w:val="17"/>
                <w:b w:val="1"/>
                <w:bCs w:val="1"/>
                <w:color w:val="auto"/>
              </w:rPr>
              <w:t>Total current assets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874,332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697,998</w:t>
            </w:r>
          </w:p>
        </w:tc>
      </w:tr>
      <w:tr>
        <w:trPr>
          <w:trHeight w:val="206"/>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540" w:type="dxa"/>
            <w:vAlign w:val="bottom"/>
          </w:tcPr>
          <w:p>
            <w:pPr>
              <w:ind w:left="160"/>
              <w:spacing w:after="0"/>
              <w:rPr>
                <w:sz w:val="20"/>
                <w:szCs w:val="20"/>
                <w:color w:val="auto"/>
              </w:rPr>
            </w:pPr>
            <w:r>
              <w:rPr>
                <w:rFonts w:ascii="Arial" w:cs="Arial" w:eastAsia="Arial" w:hAnsi="Arial"/>
                <w:sz w:val="17"/>
                <w:szCs w:val="17"/>
                <w:b w:val="1"/>
                <w:bCs w:val="1"/>
                <w:color w:val="auto"/>
              </w:rPr>
              <w:t>LONG-TERM INVESTMENTS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26,073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25,624</w:t>
            </w:r>
          </w:p>
        </w:tc>
      </w:tr>
      <w:tr>
        <w:trPr>
          <w:trHeight w:val="206"/>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540" w:type="dxa"/>
            <w:vAlign w:val="bottom"/>
          </w:tcPr>
          <w:p>
            <w:pPr>
              <w:ind w:left="160"/>
              <w:spacing w:after="0"/>
              <w:rPr>
                <w:sz w:val="20"/>
                <w:szCs w:val="20"/>
                <w:color w:val="auto"/>
              </w:rPr>
            </w:pPr>
            <w:r>
              <w:rPr>
                <w:rFonts w:ascii="Arial" w:cs="Arial" w:eastAsia="Arial" w:hAnsi="Arial"/>
                <w:sz w:val="17"/>
                <w:szCs w:val="17"/>
                <w:b w:val="1"/>
                <w:bCs w:val="1"/>
                <w:color w:val="auto"/>
              </w:rPr>
              <w:t>PROPERTY AND EQUIPMENT, NET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635,124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616,686</w:t>
            </w:r>
          </w:p>
        </w:tc>
      </w:tr>
      <w:tr>
        <w:trPr>
          <w:trHeight w:val="206"/>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540" w:type="dxa"/>
            <w:vAlign w:val="bottom"/>
          </w:tcPr>
          <w:p>
            <w:pPr>
              <w:ind w:left="160"/>
              <w:spacing w:after="0"/>
              <w:rPr>
                <w:sz w:val="20"/>
                <w:szCs w:val="20"/>
                <w:color w:val="auto"/>
              </w:rPr>
            </w:pPr>
            <w:r>
              <w:rPr>
                <w:rFonts w:ascii="Arial" w:cs="Arial" w:eastAsia="Arial" w:hAnsi="Arial"/>
                <w:sz w:val="17"/>
                <w:szCs w:val="17"/>
                <w:b w:val="1"/>
                <w:bCs w:val="1"/>
                <w:color w:val="auto"/>
              </w:rPr>
              <w:t>INTANGIBLE ASSETS, NET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19,841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28,129</w:t>
            </w:r>
          </w:p>
        </w:tc>
      </w:tr>
      <w:tr>
        <w:trPr>
          <w:trHeight w:val="206"/>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540" w:type="dxa"/>
            <w:vAlign w:val="bottom"/>
          </w:tcPr>
          <w:p>
            <w:pPr>
              <w:ind w:left="160"/>
              <w:spacing w:after="0"/>
              <w:rPr>
                <w:sz w:val="20"/>
                <w:szCs w:val="20"/>
                <w:color w:val="auto"/>
              </w:rPr>
            </w:pPr>
            <w:r>
              <w:rPr>
                <w:rFonts w:ascii="Arial" w:cs="Arial" w:eastAsia="Arial" w:hAnsi="Arial"/>
                <w:sz w:val="17"/>
                <w:szCs w:val="17"/>
                <w:b w:val="1"/>
                <w:bCs w:val="1"/>
                <w:color w:val="auto"/>
              </w:rPr>
              <w:t>GOODWILL</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7,000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7,000</w:t>
            </w:r>
          </w:p>
        </w:tc>
      </w:tr>
      <w:tr>
        <w:trPr>
          <w:trHeight w:val="206"/>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540" w:type="dxa"/>
            <w:vAlign w:val="bottom"/>
          </w:tcPr>
          <w:p>
            <w:pPr>
              <w:ind w:left="160"/>
              <w:spacing w:after="0"/>
              <w:rPr>
                <w:sz w:val="20"/>
                <w:szCs w:val="20"/>
                <w:color w:val="auto"/>
              </w:rPr>
            </w:pPr>
            <w:r>
              <w:rPr>
                <w:rFonts w:ascii="Arial" w:cs="Arial" w:eastAsia="Arial" w:hAnsi="Arial"/>
                <w:sz w:val="17"/>
                <w:szCs w:val="17"/>
                <w:b w:val="1"/>
                <w:bCs w:val="1"/>
                <w:color w:val="auto"/>
              </w:rPr>
              <w:t>DEFERRED TAX AND OTHER LONG-TERM ASSETS, NET</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111,269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4,447</w:t>
            </w:r>
          </w:p>
        </w:tc>
      </w:tr>
      <w:tr>
        <w:trPr>
          <w:trHeight w:val="20"/>
        </w:trPr>
        <w:tc>
          <w:tcPr>
            <w:tcW w:w="7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4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r>
      <w:tr>
        <w:trPr>
          <w:trHeight w:val="206"/>
        </w:trPr>
        <w:tc>
          <w:tcPr>
            <w:tcW w:w="7540" w:type="dxa"/>
            <w:vAlign w:val="bottom"/>
          </w:tcPr>
          <w:p>
            <w:pPr>
              <w:ind w:left="620"/>
              <w:spacing w:after="0"/>
              <w:rPr>
                <w:sz w:val="20"/>
                <w:szCs w:val="20"/>
                <w:color w:val="auto"/>
              </w:rPr>
            </w:pPr>
            <w:r>
              <w:rPr>
                <w:rFonts w:ascii="Arial" w:cs="Arial" w:eastAsia="Arial" w:hAnsi="Arial"/>
                <w:sz w:val="17"/>
                <w:szCs w:val="17"/>
                <w:b w:val="1"/>
                <w:bCs w:val="1"/>
                <w:color w:val="auto"/>
              </w:rPr>
              <w:t>TOTAL ASSETS</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1,673,639</w:t>
            </w:r>
          </w:p>
        </w:tc>
        <w:tc>
          <w:tcPr>
            <w:tcW w:w="16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1,379,884</w:t>
            </w:r>
          </w:p>
        </w:tc>
      </w:tr>
      <w:tr>
        <w:trPr>
          <w:trHeight w:val="20"/>
        </w:trPr>
        <w:tc>
          <w:tcPr>
            <w:tcW w:w="7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540" w:type="dxa"/>
            <w:vAlign w:val="bottom"/>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540" w:type="dxa"/>
            <w:vAlign w:val="bottom"/>
          </w:tcPr>
          <w:p>
            <w:pPr>
              <w:ind w:left="160"/>
              <w:spacing w:after="0"/>
              <w:rPr>
                <w:sz w:val="20"/>
                <w:szCs w:val="20"/>
                <w:color w:val="auto"/>
              </w:rPr>
            </w:pPr>
            <w:r>
              <w:rPr>
                <w:rFonts w:ascii="Arial" w:cs="Arial" w:eastAsia="Arial" w:hAnsi="Arial"/>
                <w:sz w:val="17"/>
                <w:szCs w:val="17"/>
                <w:b w:val="1"/>
                <w:bCs w:val="1"/>
                <w:color w:val="auto"/>
              </w:rPr>
              <w:t>CURRENT LIABILITIES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5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Current maturities of loans, leases and debentures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105,958</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48,084</w:t>
            </w:r>
          </w:p>
        </w:tc>
      </w:tr>
      <w:tr>
        <w:trPr>
          <w:trHeight w:val="206"/>
        </w:trPr>
        <w:tc>
          <w:tcPr>
            <w:tcW w:w="7540" w:type="dxa"/>
            <w:vAlign w:val="bottom"/>
          </w:tcPr>
          <w:p>
            <w:pPr>
              <w:ind w:left="320"/>
              <w:spacing w:after="0"/>
              <w:rPr>
                <w:sz w:val="20"/>
                <w:szCs w:val="20"/>
                <w:color w:val="auto"/>
              </w:rPr>
            </w:pPr>
            <w:r>
              <w:rPr>
                <w:rFonts w:ascii="Arial" w:cs="Arial" w:eastAsia="Arial" w:hAnsi="Arial"/>
                <w:sz w:val="17"/>
                <w:szCs w:val="17"/>
                <w:b w:val="1"/>
                <w:bCs w:val="1"/>
                <w:color w:val="auto"/>
              </w:rPr>
              <w:t>Trade accounts payable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115,347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99,262</w:t>
            </w:r>
          </w:p>
        </w:tc>
      </w:tr>
      <w:tr>
        <w:trPr>
          <w:trHeight w:val="206"/>
        </w:trPr>
        <w:tc>
          <w:tcPr>
            <w:tcW w:w="75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Deferred revenue and customers' advances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14,338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26,169</w:t>
            </w:r>
          </w:p>
        </w:tc>
      </w:tr>
      <w:tr>
        <w:trPr>
          <w:trHeight w:val="206"/>
        </w:trPr>
        <w:tc>
          <w:tcPr>
            <w:tcW w:w="7540" w:type="dxa"/>
            <w:vAlign w:val="bottom"/>
          </w:tcPr>
          <w:p>
            <w:pPr>
              <w:ind w:left="320"/>
              <w:spacing w:after="0"/>
              <w:rPr>
                <w:sz w:val="20"/>
                <w:szCs w:val="20"/>
                <w:color w:val="auto"/>
              </w:rPr>
            </w:pPr>
            <w:r>
              <w:rPr>
                <w:rFonts w:ascii="Arial" w:cs="Arial" w:eastAsia="Arial" w:hAnsi="Arial"/>
                <w:sz w:val="17"/>
                <w:szCs w:val="17"/>
                <w:b w:val="1"/>
                <w:bCs w:val="1"/>
                <w:color w:val="auto"/>
              </w:rPr>
              <w:t>Employee related liabilities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50,844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49,517</w:t>
            </w:r>
          </w:p>
        </w:tc>
      </w:tr>
      <w:tr>
        <w:trPr>
          <w:trHeight w:val="206"/>
        </w:trPr>
        <w:tc>
          <w:tcPr>
            <w:tcW w:w="75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Other current liabilities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15,886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24,083</w:t>
            </w:r>
          </w:p>
        </w:tc>
      </w:tr>
      <w:tr>
        <w:trPr>
          <w:trHeight w:val="26"/>
        </w:trPr>
        <w:tc>
          <w:tcPr>
            <w:tcW w:w="75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7540" w:type="dxa"/>
            <w:vAlign w:val="bottom"/>
          </w:tcPr>
          <w:p>
            <w:pPr>
              <w:ind w:left="460"/>
              <w:spacing w:after="0"/>
              <w:rPr>
                <w:sz w:val="20"/>
                <w:szCs w:val="20"/>
                <w:color w:val="auto"/>
              </w:rPr>
            </w:pPr>
            <w:r>
              <w:rPr>
                <w:rFonts w:ascii="Arial" w:cs="Arial" w:eastAsia="Arial" w:hAnsi="Arial"/>
                <w:sz w:val="17"/>
                <w:szCs w:val="17"/>
                <w:b w:val="1"/>
                <w:bCs w:val="1"/>
                <w:color w:val="auto"/>
              </w:rPr>
              <w:t>Total current liabilities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302,373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247,115</w:t>
            </w:r>
          </w:p>
        </w:tc>
      </w:tr>
      <w:tr>
        <w:trPr>
          <w:trHeight w:val="206"/>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540" w:type="dxa"/>
            <w:vAlign w:val="bottom"/>
          </w:tcPr>
          <w:p>
            <w:pPr>
              <w:ind w:left="160"/>
              <w:spacing w:after="0"/>
              <w:rPr>
                <w:sz w:val="20"/>
                <w:szCs w:val="20"/>
                <w:color w:val="auto"/>
              </w:rPr>
            </w:pPr>
            <w:r>
              <w:rPr>
                <w:rFonts w:ascii="Arial" w:cs="Arial" w:eastAsia="Arial" w:hAnsi="Arial"/>
                <w:sz w:val="17"/>
                <w:szCs w:val="17"/>
                <w:b w:val="1"/>
                <w:bCs w:val="1"/>
                <w:color w:val="auto"/>
              </w:rPr>
              <w:t>LONG-TERM DEBT</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5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Debentures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128,368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162,981</w:t>
            </w:r>
          </w:p>
        </w:tc>
      </w:tr>
      <w:tr>
        <w:trPr>
          <w:trHeight w:val="206"/>
        </w:trPr>
        <w:tc>
          <w:tcPr>
            <w:tcW w:w="7540" w:type="dxa"/>
            <w:vAlign w:val="bottom"/>
          </w:tcPr>
          <w:p>
            <w:pPr>
              <w:ind w:left="320"/>
              <w:spacing w:after="0"/>
              <w:rPr>
                <w:sz w:val="20"/>
                <w:szCs w:val="20"/>
                <w:color w:val="auto"/>
              </w:rPr>
            </w:pPr>
            <w:r>
              <w:rPr>
                <w:rFonts w:ascii="Arial" w:cs="Arial" w:eastAsia="Arial" w:hAnsi="Arial"/>
                <w:sz w:val="17"/>
                <w:szCs w:val="17"/>
                <w:b w:val="1"/>
                <w:bCs w:val="1"/>
                <w:color w:val="auto"/>
              </w:rPr>
              <w:t>Other long-term debt</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100,355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133,163</w:t>
            </w:r>
          </w:p>
        </w:tc>
      </w:tr>
      <w:tr>
        <w:trPr>
          <w:trHeight w:val="206"/>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r>
      <w:tr>
        <w:trPr>
          <w:trHeight w:val="206"/>
        </w:trPr>
        <w:tc>
          <w:tcPr>
            <w:tcW w:w="7540" w:type="dxa"/>
            <w:vAlign w:val="bottom"/>
          </w:tcPr>
          <w:p>
            <w:pPr>
              <w:ind w:left="160"/>
              <w:spacing w:after="0"/>
              <w:rPr>
                <w:sz w:val="20"/>
                <w:szCs w:val="20"/>
                <w:color w:val="auto"/>
              </w:rPr>
            </w:pPr>
            <w:r>
              <w:rPr>
                <w:rFonts w:ascii="Arial" w:cs="Arial" w:eastAsia="Arial" w:hAnsi="Arial"/>
                <w:sz w:val="17"/>
                <w:szCs w:val="17"/>
                <w:b w:val="1"/>
                <w:bCs w:val="1"/>
                <w:color w:val="auto"/>
              </w:rPr>
              <w:t>LONG-TERM CUSTOMERS' ADVANCES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31,908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41,874</w:t>
            </w:r>
          </w:p>
        </w:tc>
      </w:tr>
      <w:tr>
        <w:trPr>
          <w:trHeight w:val="206"/>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r>
      <w:tr>
        <w:trPr>
          <w:trHeight w:val="206"/>
        </w:trPr>
        <w:tc>
          <w:tcPr>
            <w:tcW w:w="7540" w:type="dxa"/>
            <w:vAlign w:val="bottom"/>
          </w:tcPr>
          <w:p>
            <w:pPr>
              <w:ind w:left="160"/>
              <w:spacing w:after="0"/>
              <w:rPr>
                <w:sz w:val="20"/>
                <w:szCs w:val="20"/>
                <w:color w:val="auto"/>
              </w:rPr>
            </w:pPr>
            <w:r>
              <w:rPr>
                <w:rFonts w:ascii="Arial" w:cs="Arial" w:eastAsia="Arial" w:hAnsi="Arial"/>
                <w:sz w:val="17"/>
                <w:szCs w:val="17"/>
                <w:b w:val="1"/>
                <w:bCs w:val="1"/>
                <w:color w:val="auto"/>
              </w:rPr>
              <w:t>EMPLOYEE RELATED LIABILITIES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14,662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14,176</w:t>
            </w:r>
          </w:p>
        </w:tc>
      </w:tr>
      <w:tr>
        <w:trPr>
          <w:trHeight w:val="206"/>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r>
      <w:tr>
        <w:trPr>
          <w:trHeight w:val="206"/>
        </w:trPr>
        <w:tc>
          <w:tcPr>
            <w:tcW w:w="7540" w:type="dxa"/>
            <w:vAlign w:val="bottom"/>
          </w:tcPr>
          <w:p>
            <w:pPr>
              <w:ind w:left="160"/>
              <w:spacing w:after="0"/>
              <w:rPr>
                <w:sz w:val="20"/>
                <w:szCs w:val="20"/>
                <w:color w:val="auto"/>
              </w:rPr>
            </w:pPr>
            <w:r>
              <w:rPr>
                <w:rFonts w:ascii="Arial" w:cs="Arial" w:eastAsia="Arial" w:hAnsi="Arial"/>
                <w:sz w:val="17"/>
                <w:szCs w:val="17"/>
                <w:b w:val="1"/>
                <w:bCs w:val="1"/>
                <w:color w:val="auto"/>
              </w:rPr>
              <w:t>DEFERRED TAX LIABILITY</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63,924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95,233</w:t>
            </w:r>
          </w:p>
        </w:tc>
      </w:tr>
      <w:tr>
        <w:trPr>
          <w:trHeight w:val="206"/>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r>
      <w:tr>
        <w:trPr>
          <w:trHeight w:val="212"/>
        </w:trPr>
        <w:tc>
          <w:tcPr>
            <w:tcW w:w="7540" w:type="dxa"/>
            <w:vAlign w:val="bottom"/>
          </w:tcPr>
          <w:p>
            <w:pPr>
              <w:ind w:left="160"/>
              <w:spacing w:after="0"/>
              <w:rPr>
                <w:sz w:val="20"/>
                <w:szCs w:val="20"/>
                <w:color w:val="auto"/>
              </w:rPr>
            </w:pPr>
            <w:r>
              <w:rPr>
                <w:rFonts w:ascii="Arial" w:cs="Arial" w:eastAsia="Arial" w:hAnsi="Arial"/>
                <w:sz w:val="17"/>
                <w:szCs w:val="17"/>
                <w:b w:val="1"/>
                <w:bCs w:val="1"/>
                <w:color w:val="auto"/>
              </w:rPr>
              <w:t>OTHER LONG-TERM LIABILITIES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2,343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2,728</w:t>
            </w:r>
          </w:p>
        </w:tc>
      </w:tr>
      <w:tr>
        <w:trPr>
          <w:trHeight w:val="206"/>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540" w:type="dxa"/>
            <w:vAlign w:val="bottom"/>
          </w:tcPr>
          <w:p>
            <w:pPr>
              <w:ind w:left="620"/>
              <w:spacing w:after="0"/>
              <w:rPr>
                <w:sz w:val="20"/>
                <w:szCs w:val="20"/>
                <w:color w:val="auto"/>
              </w:rPr>
            </w:pPr>
            <w:r>
              <w:rPr>
                <w:rFonts w:ascii="Arial" w:cs="Arial" w:eastAsia="Arial" w:hAnsi="Arial"/>
                <w:sz w:val="17"/>
                <w:szCs w:val="17"/>
                <w:b w:val="1"/>
                <w:bCs w:val="1"/>
                <w:color w:val="auto"/>
              </w:rPr>
              <w:t>TOTAL LIABILITIES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643,933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697,270</w:t>
            </w:r>
          </w:p>
        </w:tc>
      </w:tr>
      <w:tr>
        <w:trPr>
          <w:trHeight w:val="206"/>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540" w:type="dxa"/>
            <w:vAlign w:val="bottom"/>
          </w:tcPr>
          <w:p>
            <w:pPr>
              <w:ind w:left="320"/>
              <w:spacing w:after="0"/>
              <w:rPr>
                <w:sz w:val="20"/>
                <w:szCs w:val="20"/>
                <w:color w:val="auto"/>
              </w:rPr>
            </w:pPr>
            <w:r>
              <w:rPr>
                <w:rFonts w:ascii="Arial" w:cs="Arial" w:eastAsia="Arial" w:hAnsi="Arial"/>
                <w:sz w:val="17"/>
                <w:szCs w:val="17"/>
                <w:b w:val="1"/>
                <w:bCs w:val="1"/>
                <w:color w:val="auto"/>
              </w:rPr>
              <w:t>Ordinary shares of NIS 15 par value: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391,727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369,057</w:t>
            </w:r>
          </w:p>
        </w:tc>
      </w:tr>
      <w:tr>
        <w:trPr>
          <w:trHeight w:val="187"/>
        </w:trPr>
        <w:tc>
          <w:tcPr>
            <w:tcW w:w="7540" w:type="dxa"/>
            <w:vAlign w:val="bottom"/>
            <w:shd w:val="clear" w:color="auto" w:fill="CCEEFF"/>
          </w:tcPr>
          <w:p>
            <w:pPr>
              <w:ind w:left="460"/>
              <w:spacing w:after="0" w:line="188" w:lineRule="exact"/>
              <w:rPr>
                <w:sz w:val="20"/>
                <w:szCs w:val="20"/>
                <w:color w:val="auto"/>
              </w:rPr>
            </w:pPr>
            <w:r>
              <w:rPr>
                <w:rFonts w:ascii="Arial" w:cs="Arial" w:eastAsia="Arial" w:hAnsi="Arial"/>
                <w:sz w:val="17"/>
                <w:szCs w:val="17"/>
                <w:b w:val="1"/>
                <w:bCs w:val="1"/>
                <w:color w:val="auto"/>
              </w:rPr>
              <w:t>150,000 authorized as of December 31, 2017 and 2016</w:t>
            </w: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6"/>
        </w:trPr>
        <w:tc>
          <w:tcPr>
            <w:tcW w:w="754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98,544 and 98,458 issued and outstanding, respectively, as of December 31, 2017</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754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93,071 and 92,985 issued and outstanding, respectively, as of December 31, 2016</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6"/>
        </w:trPr>
        <w:tc>
          <w:tcPr>
            <w:tcW w:w="7540" w:type="dxa"/>
            <w:vAlign w:val="bottom"/>
          </w:tcPr>
          <w:p>
            <w:pPr>
              <w:ind w:left="320"/>
              <w:spacing w:after="0"/>
              <w:rPr>
                <w:sz w:val="20"/>
                <w:szCs w:val="20"/>
                <w:color w:val="auto"/>
              </w:rPr>
            </w:pPr>
            <w:r>
              <w:rPr>
                <w:rFonts w:ascii="Arial" w:cs="Arial" w:eastAsia="Arial" w:hAnsi="Arial"/>
                <w:sz w:val="17"/>
                <w:szCs w:val="17"/>
                <w:b w:val="1"/>
                <w:bCs w:val="1"/>
                <w:color w:val="auto"/>
              </w:rPr>
              <w:t>Additional paid-in capital</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1,347,866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1,318,725</w:t>
            </w:r>
          </w:p>
        </w:tc>
      </w:tr>
      <w:tr>
        <w:trPr>
          <w:trHeight w:val="206"/>
        </w:trPr>
        <w:tc>
          <w:tcPr>
            <w:tcW w:w="75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Capital notes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20,758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41,264</w:t>
            </w:r>
          </w:p>
        </w:tc>
      </w:tr>
      <w:tr>
        <w:trPr>
          <w:trHeight w:val="206"/>
        </w:trPr>
        <w:tc>
          <w:tcPr>
            <w:tcW w:w="7540" w:type="dxa"/>
            <w:vAlign w:val="bottom"/>
          </w:tcPr>
          <w:p>
            <w:pPr>
              <w:ind w:left="320"/>
              <w:spacing w:after="0"/>
              <w:rPr>
                <w:sz w:val="20"/>
                <w:szCs w:val="20"/>
                <w:color w:val="auto"/>
              </w:rPr>
            </w:pPr>
            <w:r>
              <w:rPr>
                <w:rFonts w:ascii="Arial" w:cs="Arial" w:eastAsia="Arial" w:hAnsi="Arial"/>
                <w:sz w:val="17"/>
                <w:szCs w:val="17"/>
                <w:b w:val="1"/>
                <w:bCs w:val="1"/>
                <w:color w:val="auto"/>
              </w:rPr>
              <w:t>Cumulative stock based compensation</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80,565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68,921</w:t>
            </w:r>
          </w:p>
        </w:tc>
      </w:tr>
      <w:tr>
        <w:trPr>
          <w:trHeight w:val="206"/>
        </w:trPr>
        <w:tc>
          <w:tcPr>
            <w:tcW w:w="754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Accumulated other comprehensive loss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(22,759)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(27,827)</w:t>
            </w:r>
          </w:p>
        </w:tc>
      </w:tr>
      <w:tr>
        <w:trPr>
          <w:trHeight w:val="212"/>
        </w:trPr>
        <w:tc>
          <w:tcPr>
            <w:tcW w:w="7540" w:type="dxa"/>
            <w:vAlign w:val="bottom"/>
          </w:tcPr>
          <w:p>
            <w:pPr>
              <w:ind w:left="320"/>
              <w:spacing w:after="0"/>
              <w:rPr>
                <w:sz w:val="20"/>
                <w:szCs w:val="20"/>
                <w:color w:val="auto"/>
              </w:rPr>
            </w:pPr>
            <w:r>
              <w:rPr>
                <w:rFonts w:ascii="Arial" w:cs="Arial" w:eastAsia="Arial" w:hAnsi="Arial"/>
                <w:sz w:val="17"/>
                <w:szCs w:val="17"/>
                <w:b w:val="1"/>
                <w:bCs w:val="1"/>
                <w:color w:val="auto"/>
              </w:rPr>
              <w:t>Accumulated deficit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(773,025)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(1,071,036)</w:t>
            </w:r>
          </w:p>
        </w:tc>
      </w:tr>
      <w:tr>
        <w:trPr>
          <w:trHeight w:val="206"/>
        </w:trPr>
        <w:tc>
          <w:tcPr>
            <w:tcW w:w="75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1,045,132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699,104</w:t>
            </w:r>
          </w:p>
        </w:tc>
        <w:tc>
          <w:tcPr>
            <w:tcW w:w="100" w:type="dxa"/>
            <w:vAlign w:val="bottom"/>
            <w:shd w:val="clear" w:color="auto" w:fill="CCEEFF"/>
          </w:tcPr>
          <w:p>
            <w:pPr>
              <w:spacing w:after="0"/>
              <w:rPr>
                <w:sz w:val="17"/>
                <w:szCs w:val="17"/>
                <w:color w:val="auto"/>
              </w:rPr>
            </w:pPr>
          </w:p>
        </w:tc>
      </w:tr>
      <w:tr>
        <w:trPr>
          <w:trHeight w:val="212"/>
        </w:trPr>
        <w:tc>
          <w:tcPr>
            <w:tcW w:w="7540" w:type="dxa"/>
            <w:vAlign w:val="bottom"/>
          </w:tcPr>
          <w:p>
            <w:pPr>
              <w:ind w:left="320"/>
              <w:spacing w:after="0"/>
              <w:rPr>
                <w:sz w:val="20"/>
                <w:szCs w:val="20"/>
                <w:color w:val="auto"/>
              </w:rPr>
            </w:pPr>
            <w:r>
              <w:rPr>
                <w:rFonts w:ascii="Arial" w:cs="Arial" w:eastAsia="Arial" w:hAnsi="Arial"/>
                <w:sz w:val="17"/>
                <w:szCs w:val="17"/>
                <w:b w:val="1"/>
                <w:bCs w:val="1"/>
                <w:color w:val="auto"/>
              </w:rPr>
              <w:t>Treasury stock, at cost - 86 shares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(9,072)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(9,072)</w:t>
            </w:r>
          </w:p>
        </w:tc>
      </w:tr>
      <w:tr>
        <w:trPr>
          <w:trHeight w:val="206"/>
        </w:trPr>
        <w:tc>
          <w:tcPr>
            <w:tcW w:w="75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THE COMPANY'S SHAREHOLDERS' EQUITY</w:t>
            </w:r>
          </w:p>
        </w:tc>
        <w:tc>
          <w:tcPr>
            <w:tcW w:w="1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1,036,060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690,032</w:t>
            </w:r>
          </w:p>
        </w:tc>
        <w:tc>
          <w:tcPr>
            <w:tcW w:w="100" w:type="dxa"/>
            <w:vAlign w:val="bottom"/>
            <w:shd w:val="clear" w:color="auto" w:fill="CCEEFF"/>
          </w:tcPr>
          <w:p>
            <w:pPr>
              <w:spacing w:after="0"/>
              <w:rPr>
                <w:sz w:val="17"/>
                <w:szCs w:val="17"/>
                <w:color w:val="auto"/>
              </w:rPr>
            </w:pPr>
          </w:p>
        </w:tc>
      </w:tr>
      <w:tr>
        <w:trPr>
          <w:trHeight w:val="212"/>
        </w:trPr>
        <w:tc>
          <w:tcPr>
            <w:tcW w:w="7540" w:type="dxa"/>
            <w:vAlign w:val="bottom"/>
          </w:tcPr>
          <w:p>
            <w:pPr>
              <w:ind w:left="320"/>
              <w:spacing w:after="0"/>
              <w:rPr>
                <w:sz w:val="20"/>
                <w:szCs w:val="20"/>
                <w:color w:val="auto"/>
              </w:rPr>
            </w:pPr>
            <w:r>
              <w:rPr>
                <w:rFonts w:ascii="Arial" w:cs="Arial" w:eastAsia="Arial" w:hAnsi="Arial"/>
                <w:sz w:val="17"/>
                <w:szCs w:val="17"/>
                <w:b w:val="1"/>
                <w:bCs w:val="1"/>
                <w:color w:val="auto"/>
              </w:rPr>
              <w:t>Non controlling interest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(6,354)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(7,418)</w:t>
            </w:r>
          </w:p>
        </w:tc>
      </w:tr>
      <w:tr>
        <w:trPr>
          <w:trHeight w:val="246"/>
        </w:trPr>
        <w:tc>
          <w:tcPr>
            <w:tcW w:w="75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TOTAL SHAREHOLDERS' EQUITY</w:t>
            </w: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1,029,706</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682,614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7540" w:type="dxa"/>
            <w:vAlign w:val="bottom"/>
          </w:tcPr>
          <w:p>
            <w:pPr>
              <w:spacing w:after="0"/>
              <w:rPr>
                <w:sz w:val="17"/>
                <w:szCs w:val="17"/>
                <w:color w:val="auto"/>
              </w:rPr>
            </w:pPr>
          </w:p>
        </w:tc>
        <w:tc>
          <w:tcPr>
            <w:tcW w:w="15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r>
      <w:tr>
        <w:trPr>
          <w:trHeight w:val="246"/>
        </w:trPr>
        <w:tc>
          <w:tcPr>
            <w:tcW w:w="754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TOTAL LIABILITIES AND SHAREHOLDERS' EQUITY</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1,673,639</w:t>
            </w:r>
          </w:p>
        </w:tc>
        <w:tc>
          <w:tcPr>
            <w:tcW w:w="16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1,379,884</w:t>
            </w:r>
          </w:p>
        </w:tc>
      </w:tr>
      <w:tr>
        <w:trPr>
          <w:trHeight w:val="453"/>
        </w:trPr>
        <w:tc>
          <w:tcPr>
            <w:tcW w:w="7540" w:type="dxa"/>
            <w:vAlign w:val="bottom"/>
            <w:tcBorders>
              <w:top w:val="single" w:sz="8" w:color="CCEEFF"/>
            </w:tcBorders>
          </w:tcPr>
          <w:p>
            <w:pPr>
              <w:ind w:left="160"/>
              <w:spacing w:after="0"/>
              <w:rPr>
                <w:sz w:val="20"/>
                <w:szCs w:val="20"/>
                <w:color w:val="auto"/>
              </w:rPr>
            </w:pPr>
            <w:r>
              <w:rPr>
                <w:rFonts w:ascii="Arial" w:cs="Arial" w:eastAsia="Arial" w:hAnsi="Arial"/>
                <w:sz w:val="17"/>
                <w:szCs w:val="17"/>
                <w:b w:val="1"/>
                <w:bCs w:val="1"/>
                <w:color w:val="auto"/>
              </w:rPr>
              <w:t>See notes to consolidated financial statements.</w:t>
            </w:r>
          </w:p>
        </w:tc>
        <w:tc>
          <w:tcPr>
            <w:tcW w:w="1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73"/>
        </w:trPr>
        <w:tc>
          <w:tcPr>
            <w:tcW w:w="7540" w:type="dxa"/>
            <w:vAlign w:val="bottom"/>
          </w:tcPr>
          <w:p>
            <w:pPr>
              <w:ind w:left="5580"/>
              <w:spacing w:after="0"/>
              <w:rPr>
                <w:sz w:val="20"/>
                <w:szCs w:val="20"/>
                <w:color w:val="auto"/>
              </w:rPr>
            </w:pPr>
            <w:r>
              <w:rPr>
                <w:rFonts w:ascii="Arial" w:cs="Arial" w:eastAsia="Arial" w:hAnsi="Arial"/>
                <w:sz w:val="17"/>
                <w:szCs w:val="17"/>
                <w:color w:val="auto"/>
              </w:rPr>
              <w:t>- 2 -</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9"/>
        </w:trPr>
        <w:tc>
          <w:tcPr>
            <w:tcW w:w="75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97"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and shares 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7"/>
                <w:szCs w:val="17"/>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r>
      <w:tr>
        <w:trPr>
          <w:trHeight w:val="206"/>
        </w:trPr>
        <w:tc>
          <w:tcPr>
            <w:tcW w:w="732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1,387,310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1,249,634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960,561</w:t>
            </w: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 OF REVENUES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1,033,005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946,534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755,196</w:t>
            </w:r>
          </w:p>
        </w:tc>
      </w:tr>
      <w:tr>
        <w:trPr>
          <w:trHeight w:val="206"/>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2"/>
        </w:trPr>
        <w:tc>
          <w:tcPr>
            <w:tcW w:w="732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GROSS PROFIT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354,305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303,100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205,365</w:t>
            </w:r>
          </w:p>
        </w:tc>
      </w:tr>
      <w:tr>
        <w:trPr>
          <w:trHeight w:val="206"/>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COSTS AND EXPENSES: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6"/>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Research and development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67,664</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63,134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61,669</w:t>
            </w:r>
          </w:p>
        </w:tc>
      </w:tr>
      <w:tr>
        <w:trPr>
          <w:trHeight w:val="206"/>
        </w:trPr>
        <w:tc>
          <w:tcPr>
            <w:tcW w:w="7320" w:type="dxa"/>
            <w:vAlign w:val="bottom"/>
          </w:tcPr>
          <w:p>
            <w:pPr>
              <w:ind w:left="160"/>
              <w:spacing w:after="0"/>
              <w:rPr>
                <w:sz w:val="20"/>
                <w:szCs w:val="20"/>
                <w:color w:val="auto"/>
              </w:rPr>
            </w:pPr>
            <w:r>
              <w:rPr>
                <w:rFonts w:ascii="Arial" w:cs="Arial" w:eastAsia="Arial" w:hAnsi="Arial"/>
                <w:sz w:val="17"/>
                <w:szCs w:val="17"/>
                <w:b w:val="1"/>
                <w:bCs w:val="1"/>
                <w:color w:val="auto"/>
              </w:rPr>
              <w:t>Marketing, general and administrative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66,799</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65,439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62,793</w:t>
            </w:r>
          </w:p>
        </w:tc>
      </w:tr>
      <w:tr>
        <w:trPr>
          <w:trHeight w:val="212"/>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Nishiwaki Fab restructuring and impairment cost (income),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(627)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(991)</w:t>
            </w:r>
          </w:p>
        </w:tc>
      </w:tr>
      <w:tr>
        <w:trPr>
          <w:trHeight w:val="206"/>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6"/>
        </w:trPr>
        <w:tc>
          <w:tcPr>
            <w:tcW w:w="7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134,463</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127,946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123,471</w:t>
            </w:r>
          </w:p>
        </w:tc>
      </w:tr>
      <w:tr>
        <w:trPr>
          <w:trHeight w:val="197"/>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732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OPERATING PROFIT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219,842</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175,154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81,894</w:t>
            </w: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INTEREST EXPENSE, NET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(7,840)</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(11,857)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(13,179)</w:t>
            </w: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FINANCING EXPENSE, NET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(7,607)</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(12,492)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(109,930)</w:t>
            </w: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GAIN FROM ACQUISITION, NET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50,471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(EXPENSE),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(2,627)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9,322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(190)</w:t>
            </w:r>
          </w:p>
        </w:tc>
      </w:tr>
      <w:tr>
        <w:trPr>
          <w:trHeight w:val="206"/>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73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PROFIT (LOSS) BEFORE INCOME TAX</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201,768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210,598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(41,405)</w:t>
            </w: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INCOME TAX BENEFIT (EXPENSE),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99,888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(1,432)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12,278</w:t>
            </w:r>
          </w:p>
        </w:tc>
      </w:tr>
      <w:tr>
        <w:trPr>
          <w:trHeight w:val="206"/>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73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NET PROFIT (LOSS)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301,656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209,166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(29,127)</w:t>
            </w: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2"/>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Net income attributable to non controlling interest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(3,645)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(5,242)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(520)</w:t>
            </w:r>
          </w:p>
        </w:tc>
      </w:tr>
      <w:tr>
        <w:trPr>
          <w:trHeight w:val="206"/>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6"/>
        </w:trPr>
        <w:tc>
          <w:tcPr>
            <w:tcW w:w="73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NET PROFIT (LOSS) ATTRIBUTABLE TO THE COMPANY</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298,011</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203,924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(29,647)</w:t>
            </w:r>
          </w:p>
        </w:tc>
      </w:tr>
      <w:tr>
        <w:trPr>
          <w:trHeight w:val="197"/>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BASIC EARNINGS (LOSS) PER ORDINARY SHARE: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32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46"/>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Earnings (loss) per share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3.08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2.33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(0.40)</w:t>
            </w:r>
          </w:p>
        </w:tc>
      </w:tr>
      <w:tr>
        <w:trPr>
          <w:trHeight w:val="197"/>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6"/>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Weighted average number of ordinary shares outstanding</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96,647</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87,480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74,366</w:t>
            </w:r>
          </w:p>
        </w:tc>
      </w:tr>
      <w:tr>
        <w:trPr>
          <w:trHeight w:val="197"/>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DILUTED EARNINGS PER ORDINARY SHARE: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32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6"/>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Earnings per share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2.90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97"/>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6"/>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Net profit used for diluted earnings per share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306,905</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212,160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97"/>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Weighted average number of ordinary shares outstanding</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6"/>
        </w:trPr>
        <w:tc>
          <w:tcPr>
            <w:tcW w:w="7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used for diluted 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105,947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101,303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See notes to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line="269" w:lineRule="auto"/>
        <w:rPr>
          <w:sz w:val="20"/>
          <w:szCs w:val="20"/>
          <w:color w:val="auto"/>
        </w:rPr>
      </w:pPr>
      <w:r>
        <w:rPr>
          <w:rFonts w:ascii="Arial" w:cs="Arial" w:eastAsia="Arial" w:hAnsi="Arial"/>
          <w:sz w:val="17"/>
          <w:szCs w:val="17"/>
          <w:b w:val="1"/>
          <w:bCs w:val="1"/>
          <w:color w:val="auto"/>
        </w:rPr>
        <w:t xml:space="preserve">TOWER SEMICONDUCTOR LTD. AND SUBSIDIARIES CONSOLIDATED STATEMENTS OF COMPREHENSIVE INCOME (LOSS) </w:t>
      </w:r>
      <w:r>
        <w:rPr>
          <w:rFonts w:ascii="Arial" w:cs="Arial" w:eastAsia="Arial" w:hAnsi="Arial"/>
          <w:sz w:val="17"/>
          <w:szCs w:val="17"/>
          <w:color w:val="auto"/>
        </w:rPr>
        <w:t>(dollars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7"/>
                <w:szCs w:val="17"/>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6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r>
      <w:tr>
        <w:trPr>
          <w:trHeight w:val="206"/>
        </w:trPr>
        <w:tc>
          <w:tcPr>
            <w:tcW w:w="648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6"/>
        </w:trPr>
        <w:tc>
          <w:tcPr>
            <w:tcW w:w="64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Net profit (loss)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301,656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209,166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(29,127)</w:t>
            </w:r>
          </w:p>
        </w:tc>
      </w:tr>
      <w:tr>
        <w:trPr>
          <w:trHeight w:val="206"/>
        </w:trPr>
        <w:tc>
          <w:tcPr>
            <w:tcW w:w="6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4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Other comprehensive income (loss), net of tax:</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6"/>
        </w:trPr>
        <w:tc>
          <w:tcPr>
            <w:tcW w:w="648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Foreign currency translation adjustment</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5,681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923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(2,485)</w:t>
            </w:r>
          </w:p>
        </w:tc>
      </w:tr>
      <w:tr>
        <w:trPr>
          <w:trHeight w:val="206"/>
        </w:trPr>
        <w:tc>
          <w:tcPr>
            <w:tcW w:w="6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6480" w:type="dxa"/>
            <w:vAlign w:val="bottom"/>
            <w:shd w:val="clear" w:color="auto" w:fill="CCEEFF"/>
          </w:tcPr>
          <w:p>
            <w:pPr>
              <w:ind w:left="320"/>
              <w:spacing w:after="0" w:line="188" w:lineRule="exact"/>
              <w:rPr>
                <w:sz w:val="20"/>
                <w:szCs w:val="20"/>
                <w:color w:val="auto"/>
              </w:rPr>
            </w:pPr>
            <w:r>
              <w:rPr>
                <w:rFonts w:ascii="Arial" w:cs="Arial" w:eastAsia="Arial" w:hAnsi="Arial"/>
                <w:sz w:val="17"/>
                <w:szCs w:val="17"/>
                <w:b w:val="1"/>
                <w:bCs w:val="1"/>
                <w:color w:val="auto"/>
              </w:rPr>
              <w:t>Change in employees plan assets and benefit obligations $171, $184 and</w:t>
            </w: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648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$96 for the years ended December 31, 2017, 2016 and 2015, respectively</w:t>
            </w: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511</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(546)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176</w:t>
            </w:r>
          </w:p>
        </w:tc>
      </w:tr>
      <w:tr>
        <w:trPr>
          <w:trHeight w:val="206"/>
        </w:trPr>
        <w:tc>
          <w:tcPr>
            <w:tcW w:w="6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2"/>
        </w:trPr>
        <w:tc>
          <w:tcPr>
            <w:tcW w:w="648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Unrealized gain (loss) on derivatives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1,796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(64)</w:t>
            </w:r>
          </w:p>
        </w:tc>
      </w:tr>
      <w:tr>
        <w:trPr>
          <w:trHeight w:val="206"/>
        </w:trPr>
        <w:tc>
          <w:tcPr>
            <w:tcW w:w="64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6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Comprehensive income (loss)</w:t>
            </w: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309,644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209,809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(31,500)</w:t>
            </w:r>
          </w:p>
        </w:tc>
      </w:tr>
      <w:tr>
        <w:trPr>
          <w:trHeight w:val="206"/>
        </w:trPr>
        <w:tc>
          <w:tcPr>
            <w:tcW w:w="6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2"/>
        </w:trPr>
        <w:tc>
          <w:tcPr>
            <w:tcW w:w="64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Comprehensive (income) loss attributable to non-controlling interest</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(6,565)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(6,902)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769</w:t>
            </w:r>
          </w:p>
        </w:tc>
      </w:tr>
      <w:tr>
        <w:trPr>
          <w:trHeight w:val="206"/>
        </w:trPr>
        <w:tc>
          <w:tcPr>
            <w:tcW w:w="64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6"/>
        </w:trPr>
        <w:tc>
          <w:tcPr>
            <w:tcW w:w="6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Comprehensive income (loss) attributable to the Company</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303,079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202,907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(30,731)</w:t>
            </w:r>
          </w:p>
        </w:tc>
      </w:tr>
      <w:tr>
        <w:trPr>
          <w:trHeight w:val="20"/>
        </w:trPr>
        <w:tc>
          <w:tcPr>
            <w:tcW w:w="6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725297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9" w:name="page10"/>
    <w:bookmarkEnd w:id="9"/>
    <w:p>
      <w:pPr>
        <w:jc w:val="center"/>
        <w:ind w:right="80"/>
        <w:spacing w:after="0" w:line="269" w:lineRule="auto"/>
        <w:rPr>
          <w:sz w:val="20"/>
          <w:szCs w:val="20"/>
          <w:color w:val="auto"/>
        </w:rPr>
      </w:pPr>
      <w:r>
        <w:rPr>
          <w:rFonts w:ascii="Arial" w:cs="Arial" w:eastAsia="Arial" w:hAnsi="Arial"/>
          <w:sz w:val="17"/>
          <w:szCs w:val="17"/>
          <w:b w:val="1"/>
          <w:bCs w:val="1"/>
          <w:color w:val="auto"/>
        </w:rPr>
        <w:t xml:space="preserve">TOWER SEMICONDUCTOR LTD. AND SUBSIDIARIES CONSOLIDATED STATEMENT OF CHANGES IN SHAREHOLDERS' EQUITY </w:t>
      </w:r>
      <w:r>
        <w:rPr>
          <w:rFonts w:ascii="Arial" w:cs="Arial" w:eastAsia="Arial" w:hAnsi="Arial"/>
          <w:sz w:val="17"/>
          <w:szCs w:val="17"/>
          <w:color w:val="auto"/>
        </w:rPr>
        <w:t>(dollars and share data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15"/>
          </w:tcPr>
          <w:p>
            <w:pPr>
              <w:jc w:val="right"/>
              <w:ind w:right="400"/>
              <w:spacing w:after="0"/>
              <w:rPr>
                <w:sz w:val="20"/>
                <w:szCs w:val="20"/>
                <w:color w:val="auto"/>
              </w:rPr>
            </w:pPr>
            <w:r>
              <w:rPr>
                <w:rFonts w:ascii="Arial" w:cs="Arial" w:eastAsia="Arial" w:hAnsi="Arial"/>
                <w:sz w:val="14"/>
                <w:szCs w:val="14"/>
                <w:b w:val="1"/>
                <w:bCs w:val="1"/>
                <w:color w:val="auto"/>
              </w:rPr>
              <w:t>THE COMPANY'S SHAREHOLDERS' EQUITY</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8"/>
        </w:trPr>
        <w:tc>
          <w:tcPr>
            <w:tcW w:w="2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3"/>
                <w:szCs w:val="13"/>
                <w:color w:val="auto"/>
              </w:rPr>
            </w:pPr>
          </w:p>
        </w:tc>
        <w:tc>
          <w:tcPr>
            <w:tcW w:w="7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5"/>
              </w:rPr>
              <w:t>Foreign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7"/>
        </w:trPr>
        <w:tc>
          <w:tcPr>
            <w:tcW w:w="2460" w:type="dxa"/>
            <w:vAlign w:val="bottom"/>
          </w:tcPr>
          <w:p>
            <w:pPr>
              <w:spacing w:after="0"/>
              <w:rPr>
                <w:sz w:val="14"/>
                <w:szCs w:val="14"/>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Ordinary</w:t>
            </w: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Ordinary</w:t>
            </w:r>
          </w:p>
        </w:tc>
        <w:tc>
          <w:tcPr>
            <w:tcW w:w="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Additional</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currency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2460" w:type="dxa"/>
            <w:vAlign w:val="bottom"/>
          </w:tcPr>
          <w:p>
            <w:pPr>
              <w:spacing w:after="0"/>
              <w:rPr>
                <w:sz w:val="14"/>
                <w:szCs w:val="14"/>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79"/>
              </w:rPr>
              <w:t>shares</w:t>
            </w: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shares</w:t>
            </w:r>
          </w:p>
        </w:tc>
        <w:tc>
          <w:tcPr>
            <w:tcW w:w="4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paid-in</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Unearned</w:t>
            </w:r>
          </w:p>
        </w:tc>
        <w:tc>
          <w:tcPr>
            <w:tcW w:w="980" w:type="dxa"/>
            <w:vAlign w:val="bottom"/>
            <w:gridSpan w:val="4"/>
          </w:tcPr>
          <w:p>
            <w:pPr>
              <w:ind w:left="40"/>
              <w:spacing w:after="0"/>
              <w:rPr>
                <w:sz w:val="20"/>
                <w:szCs w:val="20"/>
                <w:color w:val="auto"/>
              </w:rPr>
            </w:pPr>
            <w:r>
              <w:rPr>
                <w:rFonts w:ascii="Arial" w:cs="Arial" w:eastAsia="Arial" w:hAnsi="Arial"/>
                <w:sz w:val="14"/>
                <w:szCs w:val="14"/>
                <w:b w:val="1"/>
                <w:bCs w:val="1"/>
                <w:color w:val="auto"/>
                <w:w w:val="89"/>
              </w:rPr>
              <w:t>comprehensive</w:t>
            </w: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translation</w:t>
            </w: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w w:val="93"/>
              </w:rPr>
              <w:t>Accumulated</w:t>
            </w:r>
          </w:p>
        </w:tc>
        <w:tc>
          <w:tcPr>
            <w:tcW w:w="2340" w:type="dxa"/>
            <w:vAlign w:val="bottom"/>
            <w:gridSpan w:val="10"/>
          </w:tcPr>
          <w:p>
            <w:pPr>
              <w:ind w:left="20"/>
              <w:spacing w:after="0"/>
              <w:rPr>
                <w:sz w:val="20"/>
                <w:szCs w:val="20"/>
                <w:color w:val="auto"/>
              </w:rPr>
            </w:pPr>
            <w:r>
              <w:rPr>
                <w:rFonts w:ascii="Arial" w:cs="Arial" w:eastAsia="Arial" w:hAnsi="Arial"/>
                <w:sz w:val="14"/>
                <w:szCs w:val="14"/>
                <w:b w:val="1"/>
                <w:bCs w:val="1"/>
                <w:color w:val="auto"/>
                <w:w w:val="94"/>
              </w:rPr>
              <w:t>Treasury Comprehensive controlling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2"/>
        </w:trPr>
        <w:tc>
          <w:tcPr>
            <w:tcW w:w="2460" w:type="dxa"/>
            <w:vAlign w:val="bottom"/>
          </w:tcPr>
          <w:p>
            <w:pPr>
              <w:spacing w:after="0"/>
              <w:rPr>
                <w:sz w:val="15"/>
                <w:szCs w:val="15"/>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issued</w:t>
            </w: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5"/>
                <w:szCs w:val="15"/>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capital</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notes</w:t>
            </w: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w w:val="86"/>
              </w:rPr>
              <w:t>compensation</w:t>
            </w:r>
          </w:p>
        </w:tc>
        <w:tc>
          <w:tcPr>
            <w:tcW w:w="40" w:type="dxa"/>
            <w:vAlign w:val="bottom"/>
          </w:tcPr>
          <w:p>
            <w:pPr>
              <w:spacing w:after="0"/>
              <w:rPr>
                <w:sz w:val="15"/>
                <w:szCs w:val="15"/>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income (loss)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2"/>
              </w:rPr>
              <w:t>adjustments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3"/>
          </w:tcPr>
          <w:p>
            <w:pPr>
              <w:jc w:val="right"/>
              <w:ind w:right="211"/>
              <w:spacing w:after="0"/>
              <w:rPr>
                <w:sz w:val="20"/>
                <w:szCs w:val="20"/>
                <w:color w:val="auto"/>
              </w:rPr>
            </w:pPr>
            <w:r>
              <w:rPr>
                <w:rFonts w:ascii="Arial" w:cs="Arial" w:eastAsia="Arial" w:hAnsi="Arial"/>
                <w:sz w:val="14"/>
                <w:szCs w:val="14"/>
                <w:b w:val="1"/>
                <w:bCs w:val="1"/>
                <w:color w:val="auto"/>
                <w:w w:val="81"/>
              </w:rPr>
              <w:t>stock</w:t>
            </w: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1"/>
              </w:rPr>
              <w:t>income (loss)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interest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r>
      <w:tr>
        <w:trPr>
          <w:trHeight w:val="141"/>
        </w:trPr>
        <w:tc>
          <w:tcPr>
            <w:tcW w:w="24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58"/>
        </w:trPr>
        <w:tc>
          <w:tcPr>
            <w:tcW w:w="2460" w:type="dxa"/>
            <w:vAlign w:val="bottom"/>
            <w:shd w:val="clear" w:color="auto" w:fill="CCEEFF"/>
          </w:tcPr>
          <w:p>
            <w:pPr>
              <w:ind w:left="320"/>
              <w:spacing w:after="0" w:line="158" w:lineRule="exact"/>
              <w:rPr>
                <w:sz w:val="20"/>
                <w:szCs w:val="20"/>
                <w:color w:val="auto"/>
              </w:rPr>
            </w:pPr>
            <w:r>
              <w:rPr>
                <w:rFonts w:ascii="Arial" w:cs="Arial" w:eastAsia="Arial" w:hAnsi="Arial"/>
                <w:sz w:val="14"/>
                <w:szCs w:val="14"/>
                <w:b w:val="1"/>
                <w:bCs w:val="1"/>
                <w:color w:val="auto"/>
              </w:rPr>
              <w:t>BALANCE AS OF JANUARY 1,</w:t>
            </w: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7"/>
        </w:trPr>
        <w:tc>
          <w:tcPr>
            <w:tcW w:w="24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2015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58,120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86"/>
              </w:rPr>
              <w:t>$ 235,117</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4"/>
              </w:rPr>
              <w:t>$1,137,946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88"/>
              </w:rPr>
              <w:t>$ 60,704</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50,017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(376)</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(25,350)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4"/>
              </w:rPr>
              <w:t>(1,244,007)</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(9,072)</w:t>
            </w:r>
          </w:p>
        </w:tc>
        <w:tc>
          <w:tcPr>
            <w:tcW w:w="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(9,418)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195,561</w:t>
            </w:r>
          </w:p>
        </w:tc>
      </w:tr>
      <w:tr>
        <w:trPr>
          <w:trHeight w:val="141"/>
        </w:trPr>
        <w:tc>
          <w:tcPr>
            <w:tcW w:w="2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Changes during the period:</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41"/>
        </w:trPr>
        <w:tc>
          <w:tcPr>
            <w:tcW w:w="2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8"/>
        </w:trPr>
        <w:tc>
          <w:tcPr>
            <w:tcW w:w="24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w w:val="87"/>
              </w:rPr>
              <w:t>Conversion of debentures and exercise of</w:t>
            </w: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7"/>
        </w:trPr>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warrants into share capital</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20,904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79,443</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126,989</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206,432</w:t>
            </w:r>
          </w:p>
        </w:tc>
      </w:tr>
      <w:tr>
        <w:trPr>
          <w:trHeight w:val="167"/>
        </w:trPr>
        <w:tc>
          <w:tcPr>
            <w:tcW w:w="2460" w:type="dxa"/>
            <w:vAlign w:val="bottom"/>
          </w:tcPr>
          <w:p>
            <w:pPr>
              <w:spacing w:after="0"/>
              <w:rPr>
                <w:sz w:val="20"/>
                <w:szCs w:val="20"/>
                <w:color w:val="auto"/>
              </w:rPr>
            </w:pPr>
            <w:r>
              <w:rPr>
                <w:rFonts w:ascii="Arial" w:cs="Arial" w:eastAsia="Arial" w:hAnsi="Arial"/>
                <w:sz w:val="14"/>
                <w:szCs w:val="14"/>
                <w:b w:val="1"/>
                <w:bCs w:val="1"/>
                <w:color w:val="auto"/>
              </w:rPr>
              <w:t>Exercise of options</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1,620</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6,261</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1,730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7,991</w:t>
            </w:r>
          </w:p>
        </w:tc>
      </w:tr>
      <w:tr>
        <w:trPr>
          <w:trHeight w:val="158"/>
        </w:trPr>
        <w:tc>
          <w:tcPr>
            <w:tcW w:w="24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Capital notes converted into share</w:t>
            </w: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7"/>
        </w:trPr>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capital</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1,500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5,751</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6,400</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(12,151)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r>
      <w:tr>
        <w:trPr>
          <w:trHeight w:val="167"/>
        </w:trPr>
        <w:tc>
          <w:tcPr>
            <w:tcW w:w="2460" w:type="dxa"/>
            <w:vAlign w:val="bottom"/>
          </w:tcPr>
          <w:p>
            <w:pPr>
              <w:spacing w:after="0"/>
              <w:rPr>
                <w:sz w:val="20"/>
                <w:szCs w:val="20"/>
                <w:color w:val="auto"/>
              </w:rPr>
            </w:pPr>
            <w:r>
              <w:rPr>
                <w:rFonts w:ascii="Arial" w:cs="Arial" w:eastAsia="Arial" w:hAnsi="Arial"/>
                <w:sz w:val="14"/>
                <w:szCs w:val="14"/>
                <w:b w:val="1"/>
                <w:bCs w:val="1"/>
                <w:color w:val="auto"/>
                <w:w w:val="97"/>
              </w:rPr>
              <w:t>Employee stock-based compensation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8,192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8,192</w:t>
            </w:r>
          </w:p>
        </w:tc>
      </w:tr>
      <w:tr>
        <w:trPr>
          <w:trHeight w:val="158"/>
        </w:trPr>
        <w:tc>
          <w:tcPr>
            <w:tcW w:w="24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w w:val="89"/>
              </w:rPr>
              <w:t>Stock-based compensation related to the</w:t>
            </w: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7"/>
        </w:trPr>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Facility Agreement with the Banks</w:t>
            </w: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480</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480</w:t>
            </w:r>
          </w:p>
        </w:tc>
      </w:tr>
      <w:tr>
        <w:trPr>
          <w:trHeight w:val="167"/>
        </w:trPr>
        <w:tc>
          <w:tcPr>
            <w:tcW w:w="2460" w:type="dxa"/>
            <w:vAlign w:val="bottom"/>
          </w:tcPr>
          <w:p>
            <w:pPr>
              <w:spacing w:after="0"/>
              <w:rPr>
                <w:sz w:val="20"/>
                <w:szCs w:val="20"/>
                <w:color w:val="auto"/>
              </w:rPr>
            </w:pPr>
            <w:r>
              <w:rPr>
                <w:rFonts w:ascii="Arial" w:cs="Arial" w:eastAsia="Arial" w:hAnsi="Arial"/>
                <w:sz w:val="14"/>
                <w:szCs w:val="14"/>
                <w:b w:val="1"/>
                <w:bCs w:val="1"/>
                <w:color w:val="auto"/>
              </w:rPr>
              <w:t>Dividend to Panasonic</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(1,570)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(1,570)</w:t>
            </w:r>
          </w:p>
        </w:tc>
      </w:tr>
      <w:tr>
        <w:trPr>
          <w:trHeight w:val="167"/>
        </w:trPr>
        <w:tc>
          <w:tcPr>
            <w:tcW w:w="246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Other comprehensive loss:</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7"/>
        </w:trPr>
        <w:tc>
          <w:tcPr>
            <w:tcW w:w="2460" w:type="dxa"/>
            <w:vAlign w:val="bottom"/>
          </w:tcPr>
          <w:p>
            <w:pPr>
              <w:ind w:left="320"/>
              <w:spacing w:after="0"/>
              <w:rPr>
                <w:sz w:val="20"/>
                <w:szCs w:val="20"/>
                <w:color w:val="auto"/>
              </w:rPr>
            </w:pPr>
            <w:r>
              <w:rPr>
                <w:rFonts w:ascii="Arial" w:cs="Arial" w:eastAsia="Arial" w:hAnsi="Arial"/>
                <w:sz w:val="14"/>
                <w:szCs w:val="14"/>
                <w:b w:val="1"/>
                <w:bCs w:val="1"/>
                <w:color w:val="auto"/>
              </w:rPr>
              <w:t>Profit (loss)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(29,647)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(29,647)</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520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(29,127)</w:t>
            </w:r>
          </w:p>
        </w:tc>
      </w:tr>
      <w:tr>
        <w:trPr>
          <w:trHeight w:val="158"/>
        </w:trPr>
        <w:tc>
          <w:tcPr>
            <w:tcW w:w="2460" w:type="dxa"/>
            <w:vAlign w:val="bottom"/>
            <w:shd w:val="clear" w:color="auto" w:fill="CCEEFF"/>
          </w:tcPr>
          <w:p>
            <w:pPr>
              <w:ind w:left="320"/>
              <w:spacing w:after="0" w:line="158" w:lineRule="exact"/>
              <w:rPr>
                <w:sz w:val="20"/>
                <w:szCs w:val="20"/>
                <w:color w:val="auto"/>
              </w:rPr>
            </w:pPr>
            <w:r>
              <w:rPr>
                <w:rFonts w:ascii="Arial" w:cs="Arial" w:eastAsia="Arial" w:hAnsi="Arial"/>
                <w:sz w:val="14"/>
                <w:szCs w:val="14"/>
                <w:b w:val="1"/>
                <w:bCs w:val="1"/>
                <w:color w:val="auto"/>
              </w:rPr>
              <w:t>Foreign currency translation</w:t>
            </w: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7"/>
        </w:trPr>
        <w:tc>
          <w:tcPr>
            <w:tcW w:w="24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adjustments</w:t>
            </w: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(1,196)</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(1,196)</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(1,289)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(2,485)</w:t>
            </w:r>
          </w:p>
        </w:tc>
      </w:tr>
      <w:tr>
        <w:trPr>
          <w:trHeight w:val="158"/>
        </w:trPr>
        <w:tc>
          <w:tcPr>
            <w:tcW w:w="2460" w:type="dxa"/>
            <w:vAlign w:val="bottom"/>
          </w:tcPr>
          <w:p>
            <w:pPr>
              <w:ind w:left="320"/>
              <w:spacing w:after="0" w:line="158" w:lineRule="exact"/>
              <w:rPr>
                <w:sz w:val="20"/>
                <w:szCs w:val="20"/>
                <w:color w:val="auto"/>
              </w:rPr>
            </w:pPr>
            <w:r>
              <w:rPr>
                <w:rFonts w:ascii="Arial" w:cs="Arial" w:eastAsia="Arial" w:hAnsi="Arial"/>
                <w:sz w:val="14"/>
                <w:szCs w:val="14"/>
                <w:b w:val="1"/>
                <w:bCs w:val="1"/>
                <w:color w:val="auto"/>
                <w:w w:val="94"/>
              </w:rPr>
              <w:t>Change in employees plan assets</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7"/>
        </w:trPr>
        <w:tc>
          <w:tcPr>
            <w:tcW w:w="2460" w:type="dxa"/>
            <w:vAlign w:val="bottom"/>
          </w:tcPr>
          <w:p>
            <w:pPr>
              <w:ind w:left="320"/>
              <w:spacing w:after="0"/>
              <w:rPr>
                <w:sz w:val="20"/>
                <w:szCs w:val="20"/>
                <w:color w:val="auto"/>
              </w:rPr>
            </w:pPr>
            <w:r>
              <w:rPr>
                <w:rFonts w:ascii="Arial" w:cs="Arial" w:eastAsia="Arial" w:hAnsi="Arial"/>
                <w:sz w:val="14"/>
                <w:szCs w:val="14"/>
                <w:b w:val="1"/>
                <w:bCs w:val="1"/>
                <w:color w:val="auto"/>
              </w:rPr>
              <w:t>and benefit obligations</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176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176</w:t>
            </w:r>
          </w:p>
        </w:tc>
      </w:tr>
      <w:tr>
        <w:trPr>
          <w:trHeight w:val="167"/>
        </w:trPr>
        <w:tc>
          <w:tcPr>
            <w:tcW w:w="24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Unrealized loss on derivatives</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(64)</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(64)</w:t>
            </w:r>
          </w:p>
        </w:tc>
      </w:tr>
      <w:tr>
        <w:trPr>
          <w:trHeight w:val="26"/>
        </w:trPr>
        <w:tc>
          <w:tcPr>
            <w:tcW w:w="24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b w:val="1"/>
                <w:bCs w:val="1"/>
                <w:color w:val="auto"/>
              </w:rPr>
              <w:t>Comprehensive loss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(30,731)</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9"/>
        </w:trPr>
        <w:tc>
          <w:tcPr>
            <w:tcW w:w="24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r>
      <w:tr>
        <w:trPr>
          <w:trHeight w:val="158"/>
        </w:trPr>
        <w:tc>
          <w:tcPr>
            <w:tcW w:w="2460" w:type="dxa"/>
            <w:vAlign w:val="bottom"/>
          </w:tcPr>
          <w:p>
            <w:pPr>
              <w:ind w:left="320"/>
              <w:spacing w:after="0" w:line="158" w:lineRule="exact"/>
              <w:rPr>
                <w:sz w:val="20"/>
                <w:szCs w:val="20"/>
                <w:color w:val="auto"/>
              </w:rPr>
            </w:pPr>
            <w:r>
              <w:rPr>
                <w:rFonts w:ascii="Arial" w:cs="Arial" w:eastAsia="Arial" w:hAnsi="Arial"/>
                <w:sz w:val="14"/>
                <w:szCs w:val="14"/>
                <w:b w:val="1"/>
                <w:bCs w:val="1"/>
                <w:color w:val="auto"/>
              </w:rPr>
              <w:t>BALANCE AS OF DECEMBER</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7"/>
        </w:trPr>
        <w:tc>
          <w:tcPr>
            <w:tcW w:w="2460" w:type="dxa"/>
            <w:vAlign w:val="bottom"/>
          </w:tcPr>
          <w:p>
            <w:pPr>
              <w:ind w:left="320"/>
              <w:spacing w:after="0"/>
              <w:rPr>
                <w:sz w:val="20"/>
                <w:szCs w:val="20"/>
                <w:color w:val="auto"/>
              </w:rPr>
            </w:pPr>
            <w:r>
              <w:rPr>
                <w:rFonts w:ascii="Arial" w:cs="Arial" w:eastAsia="Arial" w:hAnsi="Arial"/>
                <w:sz w:val="14"/>
                <w:szCs w:val="14"/>
                <w:b w:val="1"/>
                <w:bCs w:val="1"/>
                <w:color w:val="auto"/>
              </w:rPr>
              <w:t>31, 2015</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82,144</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$ 326,572</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1,273,545</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8"/>
              </w:rPr>
              <w:t>$ 48,553</w:t>
            </w:r>
          </w:p>
        </w:tc>
        <w:tc>
          <w:tcPr>
            <w:tcW w:w="100" w:type="dxa"/>
            <w:vAlign w:val="bottom"/>
            <w:gridSpan w:val="2"/>
          </w:tcPr>
          <w:p>
            <w:pPr>
              <w:ind w:left="20"/>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58,209</w:t>
            </w: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(264)</w:t>
            </w: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(26,546) $</w:t>
            </w:r>
          </w:p>
        </w:tc>
        <w:tc>
          <w:tcPr>
            <w:tcW w:w="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6"/>
              </w:rPr>
              <w:t>(1,273,654) $</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(9,072)</w:t>
            </w:r>
          </w:p>
        </w:tc>
        <w:tc>
          <w:tcPr>
            <w:tcW w:w="80" w:type="dxa"/>
            <w:vAlign w:val="bottom"/>
          </w:tcPr>
          <w:p>
            <w:pPr>
              <w:spacing w:after="0"/>
              <w:rPr>
                <w:sz w:val="15"/>
                <w:szCs w:val="15"/>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rPr>
              <w:t>(11,757) $</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385,586</w:t>
            </w:r>
          </w:p>
        </w:tc>
      </w:tr>
      <w:tr>
        <w:trPr>
          <w:trHeight w:val="20"/>
        </w:trPr>
        <w:tc>
          <w:tcPr>
            <w:tcW w:w="2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b w:val="1"/>
                <w:bCs w:val="1"/>
                <w:color w:val="auto"/>
              </w:rPr>
              <w:t>Changes during the period: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1"/>
        </w:trPr>
        <w:tc>
          <w:tcPr>
            <w:tcW w:w="2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rPr>
                <w:sz w:val="12"/>
                <w:szCs w:val="12"/>
                <w:color w:val="auto"/>
              </w:rPr>
            </w:pPr>
          </w:p>
        </w:tc>
        <w:tc>
          <w:tcPr>
            <w:tcW w:w="600" w:type="dxa"/>
            <w:vAlign w:val="bottom"/>
            <w:gridSpan w:val="2"/>
            <w:shd w:val="clear" w:color="auto" w:fill="CCEEFF"/>
          </w:tcPr>
          <w:p>
            <w:pPr>
              <w:spacing w:after="0"/>
              <w:rPr>
                <w:sz w:val="12"/>
                <w:szCs w:val="12"/>
                <w:color w:val="auto"/>
              </w:rPr>
            </w:pPr>
          </w:p>
        </w:tc>
        <w:tc>
          <w:tcPr>
            <w:tcW w:w="740" w:type="dxa"/>
            <w:vAlign w:val="bottom"/>
            <w:gridSpan w:val="3"/>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spacing w:after="0"/>
              <w:rPr>
                <w:sz w:val="12"/>
                <w:szCs w:val="12"/>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b w:val="1"/>
                <w:bCs w:val="1"/>
                <w:color w:val="auto"/>
              </w:rPr>
              <w:t>Issuance of shares</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3,297</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12,504</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27,496</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40,000</w:t>
            </w:r>
          </w:p>
        </w:tc>
      </w:tr>
      <w:tr>
        <w:trPr>
          <w:trHeight w:val="158"/>
        </w:trPr>
        <w:tc>
          <w:tcPr>
            <w:tcW w:w="24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w w:val="87"/>
              </w:rPr>
              <w:t>Conversion of debentures and exercise of</w:t>
            </w: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7"/>
        </w:trPr>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warrants into share capital</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3,080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12,069</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10,223</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22,292</w:t>
            </w:r>
          </w:p>
        </w:tc>
      </w:tr>
      <w:tr>
        <w:trPr>
          <w:trHeight w:val="167"/>
        </w:trPr>
        <w:tc>
          <w:tcPr>
            <w:tcW w:w="2460" w:type="dxa"/>
            <w:vAlign w:val="bottom"/>
          </w:tcPr>
          <w:p>
            <w:pPr>
              <w:spacing w:after="0"/>
              <w:rPr>
                <w:sz w:val="20"/>
                <w:szCs w:val="20"/>
                <w:color w:val="auto"/>
              </w:rPr>
            </w:pPr>
            <w:r>
              <w:rPr>
                <w:rFonts w:ascii="Arial" w:cs="Arial" w:eastAsia="Arial" w:hAnsi="Arial"/>
                <w:sz w:val="14"/>
                <w:szCs w:val="14"/>
                <w:b w:val="1"/>
                <w:bCs w:val="1"/>
                <w:color w:val="auto"/>
              </w:rPr>
              <w:t>Exercise of options</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3,650</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14,412</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3,192</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17,604</w:t>
            </w:r>
          </w:p>
        </w:tc>
      </w:tr>
      <w:tr>
        <w:trPr>
          <w:trHeight w:val="158"/>
        </w:trPr>
        <w:tc>
          <w:tcPr>
            <w:tcW w:w="24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Capital notes converted into share</w:t>
            </w: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7"/>
        </w:trPr>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capital</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900</w:t>
            </w: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3,500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3,789</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(7,289)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r>
      <w:tr>
        <w:trPr>
          <w:trHeight w:val="167"/>
        </w:trPr>
        <w:tc>
          <w:tcPr>
            <w:tcW w:w="2460" w:type="dxa"/>
            <w:vAlign w:val="bottom"/>
          </w:tcPr>
          <w:p>
            <w:pPr>
              <w:spacing w:after="0"/>
              <w:rPr>
                <w:sz w:val="20"/>
                <w:szCs w:val="20"/>
                <w:color w:val="auto"/>
              </w:rPr>
            </w:pPr>
            <w:r>
              <w:rPr>
                <w:rFonts w:ascii="Arial" w:cs="Arial" w:eastAsia="Arial" w:hAnsi="Arial"/>
                <w:sz w:val="14"/>
                <w:szCs w:val="14"/>
                <w:b w:val="1"/>
                <w:bCs w:val="1"/>
                <w:color w:val="auto"/>
                <w:w w:val="97"/>
              </w:rPr>
              <w:t>Employee stock-based compensation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9,406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9,406</w:t>
            </w:r>
          </w:p>
        </w:tc>
      </w:tr>
      <w:tr>
        <w:trPr>
          <w:trHeight w:val="158"/>
        </w:trPr>
        <w:tc>
          <w:tcPr>
            <w:tcW w:w="24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w w:val="89"/>
              </w:rPr>
              <w:t>Stock-based compensation related to the</w:t>
            </w: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7"/>
        </w:trPr>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Facility Agreement with the Banks</w:t>
            </w: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480</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480</w:t>
            </w:r>
          </w:p>
        </w:tc>
      </w:tr>
      <w:tr>
        <w:trPr>
          <w:trHeight w:val="167"/>
        </w:trPr>
        <w:tc>
          <w:tcPr>
            <w:tcW w:w="2460" w:type="dxa"/>
            <w:vAlign w:val="bottom"/>
          </w:tcPr>
          <w:p>
            <w:pPr>
              <w:spacing w:after="0"/>
              <w:rPr>
                <w:sz w:val="20"/>
                <w:szCs w:val="20"/>
                <w:color w:val="auto"/>
              </w:rPr>
            </w:pPr>
            <w:r>
              <w:rPr>
                <w:rFonts w:ascii="Arial" w:cs="Arial" w:eastAsia="Arial" w:hAnsi="Arial"/>
                <w:sz w:val="14"/>
                <w:szCs w:val="14"/>
                <w:b w:val="1"/>
                <w:bCs w:val="1"/>
                <w:color w:val="auto"/>
              </w:rPr>
              <w:t>Dividend to Panasonic</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(2,563)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(2,563)</w:t>
            </w:r>
          </w:p>
        </w:tc>
      </w:tr>
      <w:tr>
        <w:trPr>
          <w:trHeight w:val="158"/>
        </w:trPr>
        <w:tc>
          <w:tcPr>
            <w:tcW w:w="24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w w:val="90"/>
              </w:rPr>
              <w:t>Accumulated amount due to adoption of</w:t>
            </w: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7"/>
        </w:trPr>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ASU No. 2016-09, Compensation -</w:t>
            </w: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67"/>
        </w:trPr>
        <w:tc>
          <w:tcPr>
            <w:tcW w:w="2460" w:type="dxa"/>
            <w:vAlign w:val="bottom"/>
          </w:tcPr>
          <w:p>
            <w:pPr>
              <w:ind w:left="80"/>
              <w:spacing w:after="0"/>
              <w:rPr>
                <w:sz w:val="20"/>
                <w:szCs w:val="20"/>
                <w:color w:val="auto"/>
              </w:rPr>
            </w:pPr>
            <w:r>
              <w:rPr>
                <w:rFonts w:ascii="Arial" w:cs="Arial" w:eastAsia="Arial" w:hAnsi="Arial"/>
                <w:sz w:val="14"/>
                <w:szCs w:val="14"/>
                <w:b w:val="1"/>
                <w:bCs w:val="1"/>
                <w:color w:val="auto"/>
              </w:rPr>
              <w:t>Stock Compensation (Topic 718)</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1,306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(1,306)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r>
      <w:tr>
        <w:trPr>
          <w:trHeight w:val="167"/>
        </w:trPr>
        <w:tc>
          <w:tcPr>
            <w:tcW w:w="246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Other comprehensive income:</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7"/>
        </w:trPr>
        <w:tc>
          <w:tcPr>
            <w:tcW w:w="2460" w:type="dxa"/>
            <w:vAlign w:val="bottom"/>
          </w:tcPr>
          <w:p>
            <w:pPr>
              <w:ind w:left="320"/>
              <w:spacing w:after="0"/>
              <w:rPr>
                <w:sz w:val="20"/>
                <w:szCs w:val="20"/>
                <w:color w:val="auto"/>
              </w:rPr>
            </w:pPr>
            <w:r>
              <w:rPr>
                <w:rFonts w:ascii="Arial" w:cs="Arial" w:eastAsia="Arial" w:hAnsi="Arial"/>
                <w:sz w:val="14"/>
                <w:szCs w:val="14"/>
                <w:b w:val="1"/>
                <w:bCs w:val="1"/>
                <w:color w:val="auto"/>
              </w:rPr>
              <w:t>Profit</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203,924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203,924</w:t>
            </w: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5,242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209,166</w:t>
            </w:r>
          </w:p>
        </w:tc>
      </w:tr>
      <w:tr>
        <w:trPr>
          <w:trHeight w:val="158"/>
        </w:trPr>
        <w:tc>
          <w:tcPr>
            <w:tcW w:w="2460" w:type="dxa"/>
            <w:vAlign w:val="bottom"/>
            <w:shd w:val="clear" w:color="auto" w:fill="CCEEFF"/>
          </w:tcPr>
          <w:p>
            <w:pPr>
              <w:ind w:left="320"/>
              <w:spacing w:after="0" w:line="158" w:lineRule="exact"/>
              <w:rPr>
                <w:sz w:val="20"/>
                <w:szCs w:val="20"/>
                <w:color w:val="auto"/>
              </w:rPr>
            </w:pPr>
            <w:r>
              <w:rPr>
                <w:rFonts w:ascii="Arial" w:cs="Arial" w:eastAsia="Arial" w:hAnsi="Arial"/>
                <w:sz w:val="14"/>
                <w:szCs w:val="14"/>
                <w:b w:val="1"/>
                <w:bCs w:val="1"/>
                <w:color w:val="auto"/>
              </w:rPr>
              <w:t>Foreign currency translation</w:t>
            </w: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7"/>
        </w:trPr>
        <w:tc>
          <w:tcPr>
            <w:tcW w:w="24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adjustments</w:t>
            </w: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(737)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(737)</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1,660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923</w:t>
            </w:r>
          </w:p>
        </w:tc>
      </w:tr>
      <w:tr>
        <w:trPr>
          <w:trHeight w:val="158"/>
        </w:trPr>
        <w:tc>
          <w:tcPr>
            <w:tcW w:w="2460" w:type="dxa"/>
            <w:vAlign w:val="bottom"/>
          </w:tcPr>
          <w:p>
            <w:pPr>
              <w:ind w:left="320"/>
              <w:spacing w:after="0" w:line="158" w:lineRule="exact"/>
              <w:rPr>
                <w:sz w:val="20"/>
                <w:szCs w:val="20"/>
                <w:color w:val="auto"/>
              </w:rPr>
            </w:pPr>
            <w:r>
              <w:rPr>
                <w:rFonts w:ascii="Arial" w:cs="Arial" w:eastAsia="Arial" w:hAnsi="Arial"/>
                <w:sz w:val="14"/>
                <w:szCs w:val="14"/>
                <w:b w:val="1"/>
                <w:bCs w:val="1"/>
                <w:color w:val="auto"/>
                <w:w w:val="94"/>
              </w:rPr>
              <w:t>Change in employees plan assets</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7"/>
        </w:trPr>
        <w:tc>
          <w:tcPr>
            <w:tcW w:w="2460" w:type="dxa"/>
            <w:vAlign w:val="bottom"/>
          </w:tcPr>
          <w:p>
            <w:pPr>
              <w:ind w:left="320"/>
              <w:spacing w:after="0"/>
              <w:rPr>
                <w:sz w:val="20"/>
                <w:szCs w:val="20"/>
                <w:color w:val="auto"/>
              </w:rPr>
            </w:pPr>
            <w:r>
              <w:rPr>
                <w:rFonts w:ascii="Arial" w:cs="Arial" w:eastAsia="Arial" w:hAnsi="Arial"/>
                <w:sz w:val="14"/>
                <w:szCs w:val="14"/>
                <w:b w:val="1"/>
                <w:bCs w:val="1"/>
                <w:color w:val="auto"/>
              </w:rPr>
              <w:t>and benefit obligations</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(546)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(546)</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(546)</w:t>
            </w:r>
          </w:p>
        </w:tc>
      </w:tr>
      <w:tr>
        <w:trPr>
          <w:trHeight w:val="173"/>
        </w:trPr>
        <w:tc>
          <w:tcPr>
            <w:tcW w:w="2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b w:val="1"/>
                <w:bCs w:val="1"/>
                <w:color w:val="auto"/>
              </w:rPr>
              <w:t>Unrealized loss on derivatives</w:t>
            </w:r>
          </w:p>
        </w:tc>
        <w:tc>
          <w:tcPr>
            <w:tcW w:w="5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266</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266</w:t>
            </w:r>
          </w:p>
        </w:tc>
      </w:tr>
      <w:tr>
        <w:trPr>
          <w:trHeight w:val="167"/>
        </w:trPr>
        <w:tc>
          <w:tcPr>
            <w:tcW w:w="2460" w:type="dxa"/>
            <w:vAlign w:val="bottom"/>
          </w:tcPr>
          <w:p>
            <w:pPr>
              <w:spacing w:after="0"/>
              <w:rPr>
                <w:sz w:val="20"/>
                <w:szCs w:val="20"/>
                <w:color w:val="auto"/>
              </w:rPr>
            </w:pPr>
            <w:r>
              <w:rPr>
                <w:rFonts w:ascii="Arial" w:cs="Arial" w:eastAsia="Arial" w:hAnsi="Arial"/>
                <w:sz w:val="14"/>
                <w:szCs w:val="14"/>
                <w:b w:val="1"/>
                <w:bCs w:val="1"/>
                <w:color w:val="auto"/>
              </w:rPr>
              <w:t>Comprehensive income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202,907</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9"/>
        </w:trPr>
        <w:tc>
          <w:tcPr>
            <w:tcW w:w="24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r>
      <w:tr>
        <w:trPr>
          <w:trHeight w:val="158"/>
        </w:trPr>
        <w:tc>
          <w:tcPr>
            <w:tcW w:w="2460" w:type="dxa"/>
            <w:vAlign w:val="bottom"/>
          </w:tcPr>
          <w:p>
            <w:pPr>
              <w:ind w:left="320"/>
              <w:spacing w:after="0" w:line="158" w:lineRule="exact"/>
              <w:rPr>
                <w:sz w:val="20"/>
                <w:szCs w:val="20"/>
                <w:color w:val="auto"/>
              </w:rPr>
            </w:pPr>
            <w:r>
              <w:rPr>
                <w:rFonts w:ascii="Arial" w:cs="Arial" w:eastAsia="Arial" w:hAnsi="Arial"/>
                <w:sz w:val="14"/>
                <w:szCs w:val="14"/>
                <w:b w:val="1"/>
                <w:bCs w:val="1"/>
                <w:color w:val="auto"/>
              </w:rPr>
              <w:t>BALANCE AS OF DECEMBER</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7"/>
        </w:trPr>
        <w:tc>
          <w:tcPr>
            <w:tcW w:w="2460" w:type="dxa"/>
            <w:vAlign w:val="bottom"/>
          </w:tcPr>
          <w:p>
            <w:pPr>
              <w:ind w:left="320"/>
              <w:spacing w:after="0"/>
              <w:rPr>
                <w:sz w:val="20"/>
                <w:szCs w:val="20"/>
                <w:color w:val="auto"/>
              </w:rPr>
            </w:pPr>
            <w:r>
              <w:rPr>
                <w:rFonts w:ascii="Arial" w:cs="Arial" w:eastAsia="Arial" w:hAnsi="Arial"/>
                <w:sz w:val="14"/>
                <w:szCs w:val="14"/>
                <w:b w:val="1"/>
                <w:bCs w:val="1"/>
                <w:color w:val="auto"/>
              </w:rPr>
              <w:t>31, 2016</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93,071</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$ 369,057</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1,318,725</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8"/>
              </w:rPr>
              <w:t>$ 41,264</w:t>
            </w:r>
          </w:p>
        </w:tc>
        <w:tc>
          <w:tcPr>
            <w:tcW w:w="100" w:type="dxa"/>
            <w:vAlign w:val="bottom"/>
            <w:gridSpan w:val="2"/>
          </w:tcPr>
          <w:p>
            <w:pPr>
              <w:ind w:left="20"/>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68,921</w:t>
            </w: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(544)</w:t>
            </w: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(27,283) $</w:t>
            </w:r>
          </w:p>
        </w:tc>
        <w:tc>
          <w:tcPr>
            <w:tcW w:w="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6"/>
              </w:rPr>
              <w:t>(1,071,036) $</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(9,072)</w:t>
            </w:r>
          </w:p>
        </w:tc>
        <w:tc>
          <w:tcPr>
            <w:tcW w:w="80" w:type="dxa"/>
            <w:vAlign w:val="bottom"/>
          </w:tcPr>
          <w:p>
            <w:pPr>
              <w:spacing w:after="0"/>
              <w:rPr>
                <w:sz w:val="15"/>
                <w:szCs w:val="15"/>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rPr>
              <w:t>(7,418) $</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682,614</w:t>
            </w:r>
          </w:p>
        </w:tc>
      </w:tr>
      <w:tr>
        <w:trPr>
          <w:trHeight w:val="20"/>
        </w:trPr>
        <w:tc>
          <w:tcPr>
            <w:tcW w:w="2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b w:val="1"/>
                <w:bCs w:val="1"/>
                <w:color w:val="auto"/>
              </w:rPr>
              <w:t>Changes during the period: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1"/>
        </w:trPr>
        <w:tc>
          <w:tcPr>
            <w:tcW w:w="24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rPr>
                <w:sz w:val="12"/>
                <w:szCs w:val="12"/>
                <w:color w:val="auto"/>
              </w:rPr>
            </w:pPr>
          </w:p>
        </w:tc>
        <w:tc>
          <w:tcPr>
            <w:tcW w:w="600" w:type="dxa"/>
            <w:vAlign w:val="bottom"/>
            <w:gridSpan w:val="2"/>
            <w:shd w:val="clear" w:color="auto" w:fill="CCEEFF"/>
          </w:tcPr>
          <w:p>
            <w:pPr>
              <w:spacing w:after="0"/>
              <w:rPr>
                <w:sz w:val="12"/>
                <w:szCs w:val="12"/>
                <w:color w:val="auto"/>
              </w:rPr>
            </w:pPr>
          </w:p>
        </w:tc>
        <w:tc>
          <w:tcPr>
            <w:tcW w:w="740" w:type="dxa"/>
            <w:vAlign w:val="bottom"/>
            <w:gridSpan w:val="3"/>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spacing w:after="0"/>
              <w:rPr>
                <w:sz w:val="12"/>
                <w:szCs w:val="12"/>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b w:val="1"/>
                <w:bCs w:val="1"/>
                <w:color w:val="auto"/>
              </w:rPr>
              <w:t>Issuance of shares</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2,914</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12,128</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4,247</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16,375</w:t>
            </w:r>
          </w:p>
        </w:tc>
      </w:tr>
      <w:tr>
        <w:trPr>
          <w:trHeight w:val="167"/>
        </w:trPr>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Exercise of options</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1,629</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6,750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8,180</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14,930</w:t>
            </w:r>
          </w:p>
        </w:tc>
      </w:tr>
      <w:tr>
        <w:trPr>
          <w:trHeight w:val="158"/>
        </w:trPr>
        <w:tc>
          <w:tcPr>
            <w:tcW w:w="2460" w:type="dxa"/>
            <w:vAlign w:val="bottom"/>
          </w:tcPr>
          <w:p>
            <w:pPr>
              <w:spacing w:after="0" w:line="158" w:lineRule="exact"/>
              <w:rPr>
                <w:sz w:val="20"/>
                <w:szCs w:val="20"/>
                <w:color w:val="auto"/>
              </w:rPr>
            </w:pPr>
            <w:r>
              <w:rPr>
                <w:rFonts w:ascii="Arial" w:cs="Arial" w:eastAsia="Arial" w:hAnsi="Arial"/>
                <w:sz w:val="14"/>
                <w:szCs w:val="14"/>
                <w:b w:val="1"/>
                <w:bCs w:val="1"/>
                <w:color w:val="auto"/>
              </w:rPr>
              <w:t>Capital notes converted into share</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7"/>
        </w:trPr>
        <w:tc>
          <w:tcPr>
            <w:tcW w:w="2460" w:type="dxa"/>
            <w:vAlign w:val="bottom"/>
          </w:tcPr>
          <w:p>
            <w:pPr>
              <w:spacing w:after="0"/>
              <w:rPr>
                <w:sz w:val="20"/>
                <w:szCs w:val="20"/>
                <w:color w:val="auto"/>
              </w:rPr>
            </w:pPr>
            <w:r>
              <w:rPr>
                <w:rFonts w:ascii="Arial" w:cs="Arial" w:eastAsia="Arial" w:hAnsi="Arial"/>
                <w:sz w:val="14"/>
                <w:szCs w:val="14"/>
                <w:b w:val="1"/>
                <w:bCs w:val="1"/>
                <w:color w:val="auto"/>
              </w:rPr>
              <w:t>capital</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930</w:t>
            </w:r>
          </w:p>
        </w:tc>
        <w:tc>
          <w:tcPr>
            <w:tcW w:w="6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3,792</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16,714</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(20,506)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r>
      <w:tr>
        <w:trPr>
          <w:trHeight w:val="167"/>
        </w:trPr>
        <w:tc>
          <w:tcPr>
            <w:tcW w:w="2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97"/>
              </w:rPr>
              <w:t>Employee stock-based compensation</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11,644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11,644</w:t>
            </w:r>
          </w:p>
        </w:tc>
      </w:tr>
      <w:tr>
        <w:trPr>
          <w:trHeight w:val="167"/>
        </w:trPr>
        <w:tc>
          <w:tcPr>
            <w:tcW w:w="2460" w:type="dxa"/>
            <w:vAlign w:val="bottom"/>
          </w:tcPr>
          <w:p>
            <w:pPr>
              <w:spacing w:after="0"/>
              <w:rPr>
                <w:sz w:val="20"/>
                <w:szCs w:val="20"/>
                <w:color w:val="auto"/>
              </w:rPr>
            </w:pPr>
            <w:r>
              <w:rPr>
                <w:rFonts w:ascii="Arial" w:cs="Arial" w:eastAsia="Arial" w:hAnsi="Arial"/>
                <w:sz w:val="14"/>
                <w:szCs w:val="14"/>
                <w:b w:val="1"/>
                <w:bCs w:val="1"/>
                <w:color w:val="auto"/>
              </w:rPr>
              <w:t>Dividend to Panasonic</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(5,501)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(5,501)</w:t>
            </w:r>
          </w:p>
        </w:tc>
      </w:tr>
      <w:tr>
        <w:trPr>
          <w:trHeight w:val="167"/>
        </w:trPr>
        <w:tc>
          <w:tcPr>
            <w:tcW w:w="246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Other comprehensive income:</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7"/>
        </w:trPr>
        <w:tc>
          <w:tcPr>
            <w:tcW w:w="2460" w:type="dxa"/>
            <w:vAlign w:val="bottom"/>
          </w:tcPr>
          <w:p>
            <w:pPr>
              <w:ind w:left="320"/>
              <w:spacing w:after="0"/>
              <w:rPr>
                <w:sz w:val="20"/>
                <w:szCs w:val="20"/>
                <w:color w:val="auto"/>
              </w:rPr>
            </w:pPr>
            <w:r>
              <w:rPr>
                <w:rFonts w:ascii="Arial" w:cs="Arial" w:eastAsia="Arial" w:hAnsi="Arial"/>
                <w:sz w:val="14"/>
                <w:szCs w:val="14"/>
                <w:b w:val="1"/>
                <w:bCs w:val="1"/>
                <w:color w:val="auto"/>
              </w:rPr>
              <w:t>Profit</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298,011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298,011</w:t>
            </w: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3,645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301,656</w:t>
            </w:r>
          </w:p>
        </w:tc>
      </w:tr>
      <w:tr>
        <w:trPr>
          <w:trHeight w:val="158"/>
        </w:trPr>
        <w:tc>
          <w:tcPr>
            <w:tcW w:w="2460" w:type="dxa"/>
            <w:vAlign w:val="bottom"/>
            <w:shd w:val="clear" w:color="auto" w:fill="CCEEFF"/>
          </w:tcPr>
          <w:p>
            <w:pPr>
              <w:ind w:left="320"/>
              <w:spacing w:after="0" w:line="158" w:lineRule="exact"/>
              <w:rPr>
                <w:sz w:val="20"/>
                <w:szCs w:val="20"/>
                <w:color w:val="auto"/>
              </w:rPr>
            </w:pPr>
            <w:r>
              <w:rPr>
                <w:rFonts w:ascii="Arial" w:cs="Arial" w:eastAsia="Arial" w:hAnsi="Arial"/>
                <w:sz w:val="14"/>
                <w:szCs w:val="14"/>
                <w:b w:val="1"/>
                <w:bCs w:val="1"/>
                <w:color w:val="auto"/>
              </w:rPr>
              <w:t>Foreign currency translation</w:t>
            </w: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7"/>
        </w:trPr>
        <w:tc>
          <w:tcPr>
            <w:tcW w:w="24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adjustments</w:t>
            </w: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2,761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2,761</w:t>
            </w: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2,920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5,681</w:t>
            </w:r>
          </w:p>
        </w:tc>
      </w:tr>
      <w:tr>
        <w:trPr>
          <w:trHeight w:val="158"/>
        </w:trPr>
        <w:tc>
          <w:tcPr>
            <w:tcW w:w="2460" w:type="dxa"/>
            <w:vAlign w:val="bottom"/>
          </w:tcPr>
          <w:p>
            <w:pPr>
              <w:ind w:left="320"/>
              <w:spacing w:after="0" w:line="158" w:lineRule="exact"/>
              <w:rPr>
                <w:sz w:val="20"/>
                <w:szCs w:val="20"/>
                <w:color w:val="auto"/>
              </w:rPr>
            </w:pPr>
            <w:r>
              <w:rPr>
                <w:rFonts w:ascii="Arial" w:cs="Arial" w:eastAsia="Arial" w:hAnsi="Arial"/>
                <w:sz w:val="14"/>
                <w:szCs w:val="14"/>
                <w:b w:val="1"/>
                <w:bCs w:val="1"/>
                <w:color w:val="auto"/>
                <w:w w:val="94"/>
              </w:rPr>
              <w:t>Change in employees plan assets</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7"/>
        </w:trPr>
        <w:tc>
          <w:tcPr>
            <w:tcW w:w="2460" w:type="dxa"/>
            <w:vAlign w:val="bottom"/>
          </w:tcPr>
          <w:p>
            <w:pPr>
              <w:ind w:left="320"/>
              <w:spacing w:after="0"/>
              <w:rPr>
                <w:sz w:val="20"/>
                <w:szCs w:val="20"/>
                <w:color w:val="auto"/>
              </w:rPr>
            </w:pPr>
            <w:r>
              <w:rPr>
                <w:rFonts w:ascii="Arial" w:cs="Arial" w:eastAsia="Arial" w:hAnsi="Arial"/>
                <w:sz w:val="14"/>
                <w:szCs w:val="14"/>
                <w:b w:val="1"/>
                <w:bCs w:val="1"/>
                <w:color w:val="auto"/>
              </w:rPr>
              <w:t>and benefit obligations</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511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511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511</w:t>
            </w:r>
          </w:p>
        </w:tc>
      </w:tr>
      <w:tr>
        <w:trPr>
          <w:trHeight w:val="167"/>
        </w:trPr>
        <w:tc>
          <w:tcPr>
            <w:tcW w:w="246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Unrealized loss on derivatives</w:t>
            </w: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1,796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1,796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1,796</w:t>
            </w:r>
          </w:p>
        </w:tc>
      </w:tr>
      <w:tr>
        <w:trPr>
          <w:trHeight w:val="26"/>
        </w:trPr>
        <w:tc>
          <w:tcPr>
            <w:tcW w:w="24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67"/>
        </w:trPr>
        <w:tc>
          <w:tcPr>
            <w:tcW w:w="2460" w:type="dxa"/>
            <w:vAlign w:val="bottom"/>
          </w:tcPr>
          <w:p>
            <w:pPr>
              <w:spacing w:after="0"/>
              <w:rPr>
                <w:sz w:val="20"/>
                <w:szCs w:val="20"/>
                <w:color w:val="auto"/>
              </w:rPr>
            </w:pPr>
            <w:r>
              <w:rPr>
                <w:rFonts w:ascii="Arial" w:cs="Arial" w:eastAsia="Arial" w:hAnsi="Arial"/>
                <w:sz w:val="14"/>
                <w:szCs w:val="14"/>
                <w:b w:val="1"/>
                <w:bCs w:val="1"/>
                <w:color w:val="auto"/>
              </w:rPr>
              <w:t>Comprehensive income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303,079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2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9"/>
        </w:trPr>
        <w:tc>
          <w:tcPr>
            <w:tcW w:w="24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r>
      <w:tr>
        <w:trPr>
          <w:trHeight w:val="158"/>
        </w:trPr>
        <w:tc>
          <w:tcPr>
            <w:tcW w:w="2460" w:type="dxa"/>
            <w:vAlign w:val="bottom"/>
          </w:tcPr>
          <w:p>
            <w:pPr>
              <w:ind w:left="320"/>
              <w:spacing w:after="0" w:line="158" w:lineRule="exact"/>
              <w:rPr>
                <w:sz w:val="20"/>
                <w:szCs w:val="20"/>
                <w:color w:val="auto"/>
              </w:rPr>
            </w:pPr>
            <w:r>
              <w:rPr>
                <w:rFonts w:ascii="Arial" w:cs="Arial" w:eastAsia="Arial" w:hAnsi="Arial"/>
                <w:sz w:val="14"/>
                <w:szCs w:val="14"/>
                <w:b w:val="1"/>
                <w:bCs w:val="1"/>
                <w:color w:val="auto"/>
              </w:rPr>
              <w:t>BALANCE AS OF DECEMBER</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7"/>
        </w:trPr>
        <w:tc>
          <w:tcPr>
            <w:tcW w:w="2460" w:type="dxa"/>
            <w:vAlign w:val="bottom"/>
          </w:tcPr>
          <w:p>
            <w:pPr>
              <w:ind w:left="320"/>
              <w:spacing w:after="0"/>
              <w:rPr>
                <w:sz w:val="20"/>
                <w:szCs w:val="20"/>
                <w:color w:val="auto"/>
              </w:rPr>
            </w:pPr>
            <w:r>
              <w:rPr>
                <w:rFonts w:ascii="Arial" w:cs="Arial" w:eastAsia="Arial" w:hAnsi="Arial"/>
                <w:sz w:val="14"/>
                <w:szCs w:val="14"/>
                <w:b w:val="1"/>
                <w:bCs w:val="1"/>
                <w:color w:val="auto"/>
              </w:rPr>
              <w:t>31, 2017</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98,544</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$ 391,727</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1,347,866</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8"/>
              </w:rPr>
              <w:t>$ 20,758</w:t>
            </w:r>
          </w:p>
        </w:tc>
        <w:tc>
          <w:tcPr>
            <w:tcW w:w="100" w:type="dxa"/>
            <w:vAlign w:val="bottom"/>
            <w:gridSpan w:val="2"/>
          </w:tcPr>
          <w:p>
            <w:pPr>
              <w:ind w:left="20"/>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80,565</w:t>
            </w: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1,763</w:t>
            </w: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(24,522) $</w:t>
            </w:r>
          </w:p>
        </w:tc>
        <w:tc>
          <w:tcPr>
            <w:tcW w:w="8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(773,025) $</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(9,072)</w:t>
            </w:r>
          </w:p>
        </w:tc>
        <w:tc>
          <w:tcPr>
            <w:tcW w:w="80" w:type="dxa"/>
            <w:vAlign w:val="bottom"/>
          </w:tcPr>
          <w:p>
            <w:pPr>
              <w:spacing w:after="0"/>
              <w:rPr>
                <w:sz w:val="15"/>
                <w:szCs w:val="15"/>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rPr>
              <w:t xml:space="preserve">(6,354) </w:t>
            </w:r>
            <w:r>
              <w:rPr>
                <w:rFonts w:ascii="Arial" w:cs="Arial" w:eastAsia="Arial" w:hAnsi="Arial"/>
                <w:sz w:val="14"/>
                <w:szCs w:val="14"/>
                <w:b w:val="1"/>
                <w:bCs w:val="1"/>
                <w:u w:val="single" w:color="auto"/>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1,029,706</w:t>
            </w:r>
          </w:p>
        </w:tc>
      </w:tr>
      <w:tr>
        <w:trPr>
          <w:trHeight w:val="20"/>
        </w:trPr>
        <w:tc>
          <w:tcPr>
            <w:tcW w:w="2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4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8"/>
        </w:trPr>
        <w:tc>
          <w:tcPr>
            <w:tcW w:w="246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OUTSTANDING SHARES, NET OF</w:t>
            </w: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7"/>
        </w:trPr>
        <w:tc>
          <w:tcPr>
            <w:tcW w:w="2460" w:type="dxa"/>
            <w:vAlign w:val="bottom"/>
          </w:tcPr>
          <w:p>
            <w:pPr>
              <w:ind w:left="160"/>
              <w:spacing w:after="0"/>
              <w:rPr>
                <w:sz w:val="20"/>
                <w:szCs w:val="20"/>
                <w:color w:val="auto"/>
              </w:rPr>
            </w:pPr>
            <w:r>
              <w:rPr>
                <w:rFonts w:ascii="Arial" w:cs="Arial" w:eastAsia="Arial" w:hAnsi="Arial"/>
                <w:sz w:val="14"/>
                <w:szCs w:val="14"/>
                <w:b w:val="1"/>
                <w:bCs w:val="1"/>
                <w:color w:val="auto"/>
              </w:rPr>
              <w:t>TREASURY STOCK AS OF</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7"/>
        </w:trPr>
        <w:tc>
          <w:tcPr>
            <w:tcW w:w="2460" w:type="dxa"/>
            <w:vAlign w:val="bottom"/>
          </w:tcPr>
          <w:p>
            <w:pPr>
              <w:ind w:left="160"/>
              <w:spacing w:after="0"/>
              <w:rPr>
                <w:sz w:val="20"/>
                <w:szCs w:val="20"/>
                <w:color w:val="auto"/>
              </w:rPr>
            </w:pPr>
            <w:r>
              <w:rPr>
                <w:rFonts w:ascii="Arial" w:cs="Arial" w:eastAsia="Arial" w:hAnsi="Arial"/>
                <w:sz w:val="14"/>
                <w:szCs w:val="14"/>
                <w:b w:val="1"/>
                <w:bCs w:val="1"/>
                <w:color w:val="auto"/>
              </w:rPr>
              <w:t>DECEMBER 31, 2017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98,458</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520"/>
          </w:cols>
          <w:pgMar w:left="240" w:top="121" w:right="139" w:bottom="461"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72529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520"/>
          </w:cols>
          <w:pgMar w:left="240" w:top="121" w:right="139" w:bottom="461"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7"/>
                <w:szCs w:val="17"/>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 OPERATING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32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6"/>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Net profit (loss)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301,656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209,166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(29,127)</w:t>
            </w: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Adjustments to reconcile net profit (loss) for the period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32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to net cash provided by operating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320" w:type="dxa"/>
            <w:vAlign w:val="bottom"/>
          </w:tcPr>
          <w:p>
            <w:pPr>
              <w:ind w:left="460"/>
              <w:spacing w:after="0"/>
              <w:rPr>
                <w:sz w:val="20"/>
                <w:szCs w:val="20"/>
                <w:color w:val="auto"/>
              </w:rPr>
            </w:pPr>
            <w:r>
              <w:rPr>
                <w:rFonts w:ascii="Arial" w:cs="Arial" w:eastAsia="Arial" w:hAnsi="Arial"/>
                <w:sz w:val="17"/>
                <w:szCs w:val="17"/>
                <w:b w:val="1"/>
                <w:bCs w:val="1"/>
                <w:color w:val="auto"/>
              </w:rPr>
              <w:t>Income and expense items not involving cash flows: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3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Depreciation and amortization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208,411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197,606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168,032</w:t>
            </w:r>
          </w:p>
        </w:tc>
      </w:tr>
      <w:tr>
        <w:trPr>
          <w:trHeight w:val="206"/>
        </w:trPr>
        <w:tc>
          <w:tcPr>
            <w:tcW w:w="7320" w:type="dxa"/>
            <w:vAlign w:val="bottom"/>
          </w:tcPr>
          <w:p>
            <w:pPr>
              <w:ind w:left="620"/>
              <w:spacing w:after="0"/>
              <w:rPr>
                <w:sz w:val="20"/>
                <w:szCs w:val="20"/>
                <w:color w:val="auto"/>
              </w:rPr>
            </w:pPr>
            <w:r>
              <w:rPr>
                <w:rFonts w:ascii="Arial" w:cs="Arial" w:eastAsia="Arial" w:hAnsi="Arial"/>
                <w:sz w:val="17"/>
                <w:szCs w:val="17"/>
                <w:b w:val="1"/>
                <w:bCs w:val="1"/>
                <w:color w:val="auto"/>
              </w:rPr>
              <w:t>Financing expense associated with debentures series F</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87,973</w:t>
            </w:r>
          </w:p>
        </w:tc>
      </w:tr>
      <w:tr>
        <w:trPr>
          <w:trHeight w:val="206"/>
        </w:trPr>
        <w:tc>
          <w:tcPr>
            <w:tcW w:w="73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Effect of indexation, translation and fair value measurement on debt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12,865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8,292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16,078</w:t>
            </w:r>
          </w:p>
        </w:tc>
      </w:tr>
      <w:tr>
        <w:trPr>
          <w:trHeight w:val="206"/>
        </w:trPr>
        <w:tc>
          <w:tcPr>
            <w:tcW w:w="7320" w:type="dxa"/>
            <w:vAlign w:val="bottom"/>
          </w:tcPr>
          <w:p>
            <w:pPr>
              <w:ind w:left="620"/>
              <w:spacing w:after="0"/>
              <w:rPr>
                <w:sz w:val="20"/>
                <w:szCs w:val="20"/>
                <w:color w:val="auto"/>
              </w:rPr>
            </w:pPr>
            <w:r>
              <w:rPr>
                <w:rFonts w:ascii="Arial" w:cs="Arial" w:eastAsia="Arial" w:hAnsi="Arial"/>
                <w:sz w:val="17"/>
                <w:szCs w:val="17"/>
                <w:b w:val="1"/>
                <w:bCs w:val="1"/>
                <w:color w:val="auto"/>
              </w:rPr>
              <w:t>Other expense (income), net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2,627</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(9,322)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190</w:t>
            </w:r>
          </w:p>
        </w:tc>
      </w:tr>
      <w:tr>
        <w:trPr>
          <w:trHeight w:val="206"/>
        </w:trPr>
        <w:tc>
          <w:tcPr>
            <w:tcW w:w="73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Gain from acquisition, net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(50,471)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r>
      <w:tr>
        <w:trPr>
          <w:trHeight w:val="206"/>
        </w:trPr>
        <w:tc>
          <w:tcPr>
            <w:tcW w:w="7320" w:type="dxa"/>
            <w:vAlign w:val="bottom"/>
          </w:tcPr>
          <w:p>
            <w:pPr>
              <w:ind w:left="460"/>
              <w:spacing w:after="0"/>
              <w:rPr>
                <w:sz w:val="20"/>
                <w:szCs w:val="20"/>
                <w:color w:val="auto"/>
              </w:rPr>
            </w:pPr>
            <w:r>
              <w:rPr>
                <w:rFonts w:ascii="Arial" w:cs="Arial" w:eastAsia="Arial" w:hAnsi="Arial"/>
                <w:sz w:val="17"/>
                <w:szCs w:val="17"/>
                <w:b w:val="1"/>
                <w:bCs w:val="1"/>
                <w:color w:val="auto"/>
              </w:rPr>
              <w:t>Changes in assets and liabilities: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3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Trade accounts receivable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(6,564)</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(30,104)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(11,115)</w:t>
            </w:r>
          </w:p>
        </w:tc>
      </w:tr>
      <w:tr>
        <w:trPr>
          <w:trHeight w:val="206"/>
        </w:trPr>
        <w:tc>
          <w:tcPr>
            <w:tcW w:w="7320" w:type="dxa"/>
            <w:vAlign w:val="bottom"/>
          </w:tcPr>
          <w:p>
            <w:pPr>
              <w:ind w:left="620"/>
              <w:spacing w:after="0"/>
              <w:rPr>
                <w:sz w:val="20"/>
                <w:szCs w:val="20"/>
                <w:color w:val="auto"/>
              </w:rPr>
            </w:pPr>
            <w:r>
              <w:rPr>
                <w:rFonts w:ascii="Arial" w:cs="Arial" w:eastAsia="Arial" w:hAnsi="Arial"/>
                <w:sz w:val="17"/>
                <w:szCs w:val="17"/>
                <w:b w:val="1"/>
                <w:bCs w:val="1"/>
                <w:color w:val="auto"/>
              </w:rPr>
              <w:t>Other current assets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(8,321)</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(14,978)</w:t>
            </w:r>
          </w:p>
        </w:tc>
      </w:tr>
      <w:tr>
        <w:trPr>
          <w:trHeight w:val="206"/>
        </w:trPr>
        <w:tc>
          <w:tcPr>
            <w:tcW w:w="73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Inventories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(4,277)</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(22,069)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(17,908)</w:t>
            </w:r>
          </w:p>
        </w:tc>
      </w:tr>
      <w:tr>
        <w:trPr>
          <w:trHeight w:val="206"/>
        </w:trPr>
        <w:tc>
          <w:tcPr>
            <w:tcW w:w="7320" w:type="dxa"/>
            <w:vAlign w:val="bottom"/>
          </w:tcPr>
          <w:p>
            <w:pPr>
              <w:ind w:left="620"/>
              <w:spacing w:after="0"/>
              <w:rPr>
                <w:sz w:val="20"/>
                <w:szCs w:val="20"/>
                <w:color w:val="auto"/>
              </w:rPr>
            </w:pPr>
            <w:r>
              <w:rPr>
                <w:rFonts w:ascii="Arial" w:cs="Arial" w:eastAsia="Arial" w:hAnsi="Arial"/>
                <w:sz w:val="17"/>
                <w:szCs w:val="17"/>
                <w:b w:val="1"/>
                <w:bCs w:val="1"/>
                <w:color w:val="auto"/>
              </w:rPr>
              <w:t>Trade accounts payable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(8,649)</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5,550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(26,163)</w:t>
            </w:r>
          </w:p>
        </w:tc>
      </w:tr>
      <w:tr>
        <w:trPr>
          <w:trHeight w:val="206"/>
        </w:trPr>
        <w:tc>
          <w:tcPr>
            <w:tcW w:w="73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Deferred revenue and customers' advances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(21,803)</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23,581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32,725</w:t>
            </w:r>
          </w:p>
        </w:tc>
      </w:tr>
      <w:tr>
        <w:trPr>
          <w:trHeight w:val="206"/>
        </w:trPr>
        <w:tc>
          <w:tcPr>
            <w:tcW w:w="7320" w:type="dxa"/>
            <w:vAlign w:val="bottom"/>
          </w:tcPr>
          <w:p>
            <w:pPr>
              <w:ind w:left="620"/>
              <w:spacing w:after="0"/>
              <w:rPr>
                <w:sz w:val="20"/>
                <w:szCs w:val="20"/>
                <w:color w:val="auto"/>
              </w:rPr>
            </w:pPr>
            <w:r>
              <w:rPr>
                <w:rFonts w:ascii="Arial" w:cs="Arial" w:eastAsia="Arial" w:hAnsi="Arial"/>
                <w:sz w:val="17"/>
                <w:szCs w:val="17"/>
                <w:b w:val="1"/>
                <w:bCs w:val="1"/>
                <w:color w:val="auto"/>
              </w:rPr>
              <w:t>Employee related liabilities and other current liabilities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(8,219)</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8,454</w:t>
            </w:r>
          </w:p>
        </w:tc>
      </w:tr>
      <w:tr>
        <w:trPr>
          <w:trHeight w:val="206"/>
        </w:trPr>
        <w:tc>
          <w:tcPr>
            <w:tcW w:w="73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Long-term employee related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(3,247)</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(798)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(2,036)</w:t>
            </w:r>
          </w:p>
        </w:tc>
      </w:tr>
      <w:tr>
        <w:trPr>
          <w:trHeight w:val="206"/>
        </w:trPr>
        <w:tc>
          <w:tcPr>
            <w:tcW w:w="7320" w:type="dxa"/>
            <w:vAlign w:val="bottom"/>
          </w:tcPr>
          <w:p>
            <w:pPr>
              <w:ind w:left="620"/>
              <w:spacing w:after="0"/>
              <w:rPr>
                <w:sz w:val="20"/>
                <w:szCs w:val="20"/>
                <w:color w:val="auto"/>
              </w:rPr>
            </w:pPr>
            <w:r>
              <w:rPr>
                <w:rFonts w:ascii="Arial" w:cs="Arial" w:eastAsia="Arial" w:hAnsi="Arial"/>
                <w:sz w:val="17"/>
                <w:szCs w:val="17"/>
                <w:b w:val="1"/>
                <w:bCs w:val="1"/>
                <w:color w:val="auto"/>
              </w:rPr>
              <w:t>Deferred tax, net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(108,459)</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(4,564)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(4,173)</w:t>
            </w:r>
          </w:p>
        </w:tc>
      </w:tr>
      <w:tr>
        <w:trPr>
          <w:trHeight w:val="206"/>
        </w:trPr>
        <w:tc>
          <w:tcPr>
            <w:tcW w:w="7320" w:type="dxa"/>
            <w:vAlign w:val="bottom"/>
            <w:shd w:val="clear" w:color="auto" w:fill="CCEEFF"/>
          </w:tcPr>
          <w:p>
            <w:pPr>
              <w:ind w:left="620"/>
              <w:spacing w:after="0"/>
              <w:rPr>
                <w:sz w:val="20"/>
                <w:szCs w:val="20"/>
                <w:color w:val="auto"/>
              </w:rPr>
            </w:pPr>
            <w:r>
              <w:rPr>
                <w:rFonts w:ascii="Arial" w:cs="Arial" w:eastAsia="Arial" w:hAnsi="Arial"/>
                <w:sz w:val="17"/>
                <w:szCs w:val="17"/>
                <w:b w:val="1"/>
                <w:bCs w:val="1"/>
                <w:color w:val="auto"/>
              </w:rPr>
              <w:t>Other long-term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(385)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861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(12,739)</w:t>
            </w:r>
          </w:p>
        </w:tc>
      </w:tr>
      <w:tr>
        <w:trPr>
          <w:trHeight w:val="212"/>
        </w:trPr>
        <w:tc>
          <w:tcPr>
            <w:tcW w:w="7320" w:type="dxa"/>
            <w:vAlign w:val="bottom"/>
          </w:tcPr>
          <w:p>
            <w:pPr>
              <w:ind w:left="620"/>
              <w:spacing w:after="0"/>
              <w:rPr>
                <w:sz w:val="20"/>
                <w:szCs w:val="20"/>
                <w:color w:val="auto"/>
              </w:rPr>
            </w:pPr>
            <w:r>
              <w:rPr>
                <w:rFonts w:ascii="Arial" w:cs="Arial" w:eastAsia="Arial" w:hAnsi="Arial"/>
                <w:sz w:val="17"/>
                <w:szCs w:val="17"/>
                <w:b w:val="1"/>
                <w:bCs w:val="1"/>
                <w:color w:val="auto"/>
                <w:w w:val="89"/>
              </w:rPr>
              <w:t>Nishiwaki employees retirement related payments in connection with its operation cessation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(24,907)</w:t>
            </w:r>
          </w:p>
        </w:tc>
      </w:tr>
      <w:tr>
        <w:trPr>
          <w:trHeight w:val="212"/>
        </w:trPr>
        <w:tc>
          <w:tcPr>
            <w:tcW w:w="73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7"/>
                <w:szCs w:val="17"/>
                <w:b w:val="1"/>
                <w:bCs w:val="1"/>
                <w:color w:val="auto"/>
              </w:rPr>
              <w:t>Net cash provided by operating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355,635</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327,468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170,306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 INVESTING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6"/>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Investments in property and equipment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(187,676)</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(217,496)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(172,078)</w:t>
            </w:r>
          </w:p>
        </w:tc>
      </w:tr>
      <w:tr>
        <w:trPr>
          <w:trHeight w:val="206"/>
        </w:trPr>
        <w:tc>
          <w:tcPr>
            <w:tcW w:w="7320" w:type="dxa"/>
            <w:vAlign w:val="bottom"/>
          </w:tcPr>
          <w:p>
            <w:pPr>
              <w:ind w:left="160"/>
              <w:spacing w:after="0"/>
              <w:rPr>
                <w:sz w:val="20"/>
                <w:szCs w:val="20"/>
                <w:color w:val="auto"/>
              </w:rPr>
            </w:pPr>
            <w:r>
              <w:rPr>
                <w:rFonts w:ascii="Arial" w:cs="Arial" w:eastAsia="Arial" w:hAnsi="Arial"/>
                <w:sz w:val="17"/>
                <w:szCs w:val="17"/>
                <w:b w:val="1"/>
                <w:bCs w:val="1"/>
                <w:color w:val="auto"/>
              </w:rPr>
              <w:t>Proceeds related to sale and disposal of property and equipment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20,038</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7,872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6,589</w:t>
            </w:r>
          </w:p>
        </w:tc>
      </w:tr>
      <w:tr>
        <w:trPr>
          <w:trHeight w:val="206"/>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Investment grants received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2,921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r>
      <w:tr>
        <w:trPr>
          <w:trHeight w:val="212"/>
        </w:trPr>
        <w:tc>
          <w:tcPr>
            <w:tcW w:w="7320" w:type="dxa"/>
            <w:vAlign w:val="bottom"/>
          </w:tcPr>
          <w:p>
            <w:pPr>
              <w:ind w:left="160"/>
              <w:spacing w:after="0"/>
              <w:rPr>
                <w:sz w:val="20"/>
                <w:szCs w:val="20"/>
                <w:color w:val="auto"/>
              </w:rPr>
            </w:pPr>
            <w:r>
              <w:rPr>
                <w:rFonts w:ascii="Arial" w:cs="Arial" w:eastAsia="Arial" w:hAnsi="Arial"/>
                <w:sz w:val="17"/>
                <w:szCs w:val="17"/>
                <w:b w:val="1"/>
                <w:bCs w:val="1"/>
                <w:color w:val="auto"/>
              </w:rPr>
              <w:t>Deposits and other investments, including marketable securities,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(80,643)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(17,101)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(30,000)</w:t>
            </w:r>
          </w:p>
        </w:tc>
      </w:tr>
      <w:tr>
        <w:trPr>
          <w:trHeight w:val="212"/>
        </w:trPr>
        <w:tc>
          <w:tcPr>
            <w:tcW w:w="73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7"/>
                <w:szCs w:val="17"/>
                <w:b w:val="1"/>
                <w:bCs w:val="1"/>
                <w:color w:val="auto"/>
              </w:rPr>
              <w:t>Net cash used in investing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(245,360)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(226,725)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(195,489)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 FINANCING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06"/>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Issuance of debentures, net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113,149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r>
      <w:tr>
        <w:trPr>
          <w:trHeight w:val="206"/>
        </w:trPr>
        <w:tc>
          <w:tcPr>
            <w:tcW w:w="7320" w:type="dxa"/>
            <w:vAlign w:val="bottom"/>
          </w:tcPr>
          <w:p>
            <w:pPr>
              <w:ind w:left="160"/>
              <w:spacing w:after="0"/>
              <w:rPr>
                <w:sz w:val="20"/>
                <w:szCs w:val="20"/>
                <w:color w:val="auto"/>
              </w:rPr>
            </w:pPr>
            <w:r>
              <w:rPr>
                <w:rFonts w:ascii="Arial" w:cs="Arial" w:eastAsia="Arial" w:hAnsi="Arial"/>
                <w:sz w:val="17"/>
                <w:szCs w:val="17"/>
                <w:b w:val="1"/>
                <w:bCs w:val="1"/>
                <w:color w:val="auto"/>
              </w:rPr>
              <w:t>Exercise of warrants and options, net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31,315</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38,803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14,424</w:t>
            </w:r>
          </w:p>
        </w:tc>
      </w:tr>
      <w:tr>
        <w:trPr>
          <w:trHeight w:val="206"/>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Proceeds from loans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55,960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70,592</w:t>
            </w:r>
          </w:p>
        </w:tc>
      </w:tr>
      <w:tr>
        <w:trPr>
          <w:trHeight w:val="206"/>
        </w:trPr>
        <w:tc>
          <w:tcPr>
            <w:tcW w:w="7320" w:type="dxa"/>
            <w:vAlign w:val="bottom"/>
          </w:tcPr>
          <w:p>
            <w:pPr>
              <w:ind w:left="160"/>
              <w:spacing w:after="0"/>
              <w:rPr>
                <w:sz w:val="20"/>
                <w:szCs w:val="20"/>
                <w:color w:val="auto"/>
              </w:rPr>
            </w:pPr>
            <w:r>
              <w:rPr>
                <w:rFonts w:ascii="Arial" w:cs="Arial" w:eastAsia="Arial" w:hAnsi="Arial"/>
                <w:sz w:val="17"/>
                <w:szCs w:val="17"/>
                <w:b w:val="1"/>
                <w:bCs w:val="1"/>
                <w:color w:val="auto"/>
              </w:rPr>
              <w:t>Loans repayment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(43,259)</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(132,018)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(18,200)</w:t>
            </w:r>
          </w:p>
        </w:tc>
      </w:tr>
      <w:tr>
        <w:trPr>
          <w:trHeight w:val="206"/>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Principal payments on account of capital lease obligation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(781)</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r>
      <w:tr>
        <w:trPr>
          <w:trHeight w:val="206"/>
        </w:trPr>
        <w:tc>
          <w:tcPr>
            <w:tcW w:w="7320" w:type="dxa"/>
            <w:vAlign w:val="bottom"/>
          </w:tcPr>
          <w:p>
            <w:pPr>
              <w:ind w:left="160"/>
              <w:spacing w:after="0"/>
              <w:rPr>
                <w:sz w:val="20"/>
                <w:szCs w:val="20"/>
                <w:color w:val="auto"/>
              </w:rPr>
            </w:pPr>
            <w:r>
              <w:rPr>
                <w:rFonts w:ascii="Arial" w:cs="Arial" w:eastAsia="Arial" w:hAnsi="Arial"/>
                <w:sz w:val="17"/>
                <w:szCs w:val="17"/>
                <w:b w:val="1"/>
                <w:bCs w:val="1"/>
                <w:color w:val="auto"/>
              </w:rPr>
              <w:t>Debentures repayment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(6,215)</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(51,489</w:t>
            </w:r>
            <w:r>
              <w:rPr>
                <w:rFonts w:ascii="Arial" w:cs="Arial" w:eastAsia="Arial" w:hAnsi="Arial"/>
                <w:sz w:val="17"/>
                <w:szCs w:val="17"/>
                <w:color w:val="auto"/>
              </w:rPr>
              <w:t>)</w:t>
            </w:r>
          </w:p>
        </w:tc>
      </w:tr>
      <w:tr>
        <w:trPr>
          <w:trHeight w:val="206"/>
        </w:trPr>
        <w:tc>
          <w:tcPr>
            <w:tcW w:w="73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Dividend payment to Panasonic</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(4,378)</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(2,563)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(1,570)</w:t>
            </w:r>
          </w:p>
        </w:tc>
      </w:tr>
      <w:tr>
        <w:trPr>
          <w:trHeight w:val="26"/>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2"/>
        </w:trPr>
        <w:tc>
          <w:tcPr>
            <w:tcW w:w="7320" w:type="dxa"/>
            <w:vAlign w:val="bottom"/>
          </w:tcPr>
          <w:p>
            <w:pPr>
              <w:ind w:left="78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(23,318)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73,331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13,757</w:t>
            </w:r>
          </w:p>
        </w:tc>
      </w:tr>
      <w:tr>
        <w:trPr>
          <w:trHeight w:val="206"/>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7"/>
                <w:szCs w:val="17"/>
                <w:b w:val="1"/>
                <w:bCs w:val="1"/>
                <w:color w:val="auto"/>
              </w:rPr>
              <w:t>EFFECT OF FOREIGN CURRENCY EXCHANGE RATE CHANGE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3,720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5,635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(166)</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r>
      <w:tr>
        <w:trPr>
          <w:trHeight w:val="206"/>
        </w:trPr>
        <w:tc>
          <w:tcPr>
            <w:tcW w:w="7320" w:type="dxa"/>
            <w:vAlign w:val="bottom"/>
          </w:tcPr>
          <w:p>
            <w:pPr>
              <w:spacing w:after="0"/>
              <w:rPr>
                <w:sz w:val="20"/>
                <w:szCs w:val="20"/>
                <w:color w:val="auto"/>
              </w:rPr>
            </w:pPr>
            <w:r>
              <w:rPr>
                <w:rFonts w:ascii="Arial" w:cs="Arial" w:eastAsia="Arial" w:hAnsi="Arial"/>
                <w:sz w:val="17"/>
                <w:szCs w:val="17"/>
                <w:b w:val="1"/>
                <w:bCs w:val="1"/>
                <w:color w:val="auto"/>
              </w:rPr>
              <w:t>INCREASE (DECREASE) IN CASH AND CASH EQUIVALENTS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90,677</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179,709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(11,592)</w:t>
            </w:r>
          </w:p>
        </w:tc>
      </w:tr>
      <w:tr>
        <w:trPr>
          <w:trHeight w:val="212"/>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 BEGINNING OF PERIOD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355,284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175,575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187,167</w:t>
            </w:r>
          </w:p>
        </w:tc>
      </w:tr>
      <w:tr>
        <w:trPr>
          <w:trHeight w:val="206"/>
        </w:trPr>
        <w:tc>
          <w:tcPr>
            <w:tcW w:w="7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6"/>
        </w:trPr>
        <w:tc>
          <w:tcPr>
            <w:tcW w:w="7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 END OF PERIOD</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445,961</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355,284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175,575</w:t>
            </w:r>
          </w:p>
        </w:tc>
      </w:tr>
      <w:tr>
        <w:trPr>
          <w:trHeight w:val="595"/>
        </w:trPr>
        <w:tc>
          <w:tcPr>
            <w:tcW w:w="7320" w:type="dxa"/>
            <w:vAlign w:val="bottom"/>
            <w:tcBorders>
              <w:top w:val="single" w:sz="8" w:color="CCEEFF"/>
            </w:tcBorders>
          </w:tcPr>
          <w:p>
            <w:pPr>
              <w:ind w:left="5580"/>
              <w:spacing w:after="0"/>
              <w:rPr>
                <w:sz w:val="20"/>
                <w:szCs w:val="20"/>
                <w:color w:val="auto"/>
              </w:rPr>
            </w:pPr>
            <w:r>
              <w:rPr>
                <w:rFonts w:ascii="Arial" w:cs="Arial" w:eastAsia="Arial" w:hAnsi="Arial"/>
                <w:sz w:val="17"/>
                <w:szCs w:val="17"/>
                <w:color w:val="auto"/>
              </w:rPr>
              <w:t>- 6 -</w:t>
            </w: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59"/>
        </w:trPr>
        <w:tc>
          <w:tcPr>
            <w:tcW w:w="73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3000" w:type="dxa"/>
            <w:vAlign w:val="bottom"/>
            <w:tcBorders>
              <w:bottom w:val="single" w:sz="8" w:color="auto"/>
            </w:tcBorders>
            <w:gridSpan w:val="7"/>
          </w:tcPr>
          <w:p>
            <w:pPr>
              <w:jc w:val="right"/>
              <w:ind w:right="125"/>
              <w:spacing w:after="0"/>
              <w:rPr>
                <w:sz w:val="20"/>
                <w:szCs w:val="20"/>
                <w:color w:val="auto"/>
              </w:rPr>
            </w:pPr>
            <w:r>
              <w:rPr>
                <w:rFonts w:ascii="Arial" w:cs="Arial" w:eastAsia="Arial" w:hAnsi="Arial"/>
                <w:sz w:val="17"/>
                <w:szCs w:val="17"/>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7440" w:type="dxa"/>
            <w:vAlign w:val="bottom"/>
          </w:tcPr>
          <w:p>
            <w:pPr>
              <w:spacing w:after="0"/>
              <w:rPr>
                <w:sz w:val="18"/>
                <w:szCs w:val="18"/>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2015</w:t>
            </w:r>
          </w:p>
        </w:tc>
        <w:tc>
          <w:tcPr>
            <w:tcW w:w="100" w:type="dxa"/>
            <w:vAlign w:val="bottom"/>
          </w:tcPr>
          <w:p>
            <w:pPr>
              <w:spacing w:after="0"/>
              <w:rPr>
                <w:sz w:val="18"/>
                <w:szCs w:val="18"/>
                <w:color w:val="auto"/>
              </w:rPr>
            </w:pPr>
          </w:p>
        </w:tc>
      </w:tr>
      <w:tr>
        <w:trPr>
          <w:trHeight w:val="206"/>
        </w:trPr>
        <w:tc>
          <w:tcPr>
            <w:tcW w:w="7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NON-CASH ACTIVITIES: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26"/>
        </w:trPr>
        <w:tc>
          <w:tcPr>
            <w:tcW w:w="74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Investments in property and equipment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28,419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23,747</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18,657</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7440" w:type="dxa"/>
            <w:vAlign w:val="bottom"/>
          </w:tcPr>
          <w:p>
            <w:pPr>
              <w:ind w:left="160"/>
              <w:spacing w:after="0"/>
              <w:rPr>
                <w:sz w:val="20"/>
                <w:szCs w:val="20"/>
                <w:color w:val="auto"/>
              </w:rPr>
            </w:pPr>
            <w:r>
              <w:rPr>
                <w:rFonts w:ascii="Arial" w:cs="Arial" w:eastAsia="Arial" w:hAnsi="Arial"/>
                <w:sz w:val="17"/>
                <w:szCs w:val="17"/>
                <w:b w:val="1"/>
                <w:bCs w:val="1"/>
                <w:color w:val="auto"/>
              </w:rPr>
              <w:t>Conversion of debentures to share capital</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611</w:t>
            </w:r>
          </w:p>
        </w:tc>
        <w:tc>
          <w:tcPr>
            <w:tcW w:w="120" w:type="dxa"/>
            <w:vAlign w:val="bottom"/>
          </w:tcPr>
          <w:p>
            <w:pPr>
              <w:spacing w:after="0"/>
              <w:rPr>
                <w:sz w:val="17"/>
                <w:szCs w:val="17"/>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195,726</w:t>
            </w:r>
          </w:p>
        </w:tc>
      </w:tr>
      <w:tr>
        <w:trPr>
          <w:trHeight w:val="20"/>
        </w:trPr>
        <w:tc>
          <w:tcPr>
            <w:tcW w:w="7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7440" w:type="dxa"/>
            <w:vAlign w:val="bottom"/>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r>
      <w:tr>
        <w:trPr>
          <w:trHeight w:val="206"/>
        </w:trPr>
        <w:tc>
          <w:tcPr>
            <w:tcW w:w="7440" w:type="dxa"/>
            <w:vAlign w:val="bottom"/>
          </w:tcPr>
          <w:p>
            <w:pPr>
              <w:ind w:left="160"/>
              <w:spacing w:after="0"/>
              <w:rPr>
                <w:sz w:val="20"/>
                <w:szCs w:val="20"/>
                <w:color w:val="auto"/>
              </w:rPr>
            </w:pPr>
            <w:r>
              <w:rPr>
                <w:rFonts w:ascii="Arial" w:cs="Arial" w:eastAsia="Arial" w:hAnsi="Arial"/>
                <w:sz w:val="17"/>
                <w:szCs w:val="17"/>
                <w:b w:val="1"/>
                <w:bCs w:val="1"/>
                <w:color w:val="auto"/>
              </w:rPr>
              <w:t>Cash paid during the period for interest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10,198</w:t>
            </w:r>
          </w:p>
        </w:tc>
        <w:tc>
          <w:tcPr>
            <w:tcW w:w="2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9,534</w:t>
            </w:r>
          </w:p>
        </w:tc>
        <w:tc>
          <w:tcPr>
            <w:tcW w:w="360" w:type="dxa"/>
            <w:vAlign w:val="bottom"/>
            <w:gridSpan w:val="2"/>
          </w:tcPr>
          <w:p>
            <w:pPr>
              <w:jc w:val="right"/>
              <w:ind w:right="85"/>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12,371</w:t>
            </w:r>
          </w:p>
        </w:tc>
      </w:tr>
      <w:tr>
        <w:trPr>
          <w:trHeight w:val="20"/>
        </w:trPr>
        <w:tc>
          <w:tcPr>
            <w:tcW w:w="7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Cash paid during the period for income taxes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17,668</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3,469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13" w:lineRule="exact"/>
        <w:rPr>
          <w:sz w:val="20"/>
          <w:szCs w:val="20"/>
          <w:color w:val="auto"/>
        </w:rPr>
      </w:pPr>
    </w:p>
    <w:p>
      <w:pPr>
        <w:ind w:left="320" w:right="3560" w:hanging="317"/>
        <w:spacing w:after="0" w:line="389" w:lineRule="auto"/>
        <w:tabs>
          <w:tab w:leader="none" w:pos="254"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 OF SUBSIDIARIES CONSOLIDATED FOR THE FIRST TIME, SEE ALSO NOTE 3: Assets and liabilities of the subsidiaries:</w:t>
      </w:r>
    </w:p>
    <w:tbl>
      <w:tblPr>
        <w:tblLayout w:type="fixed"/>
        <w:tblInd w:w="0" w:type="dxa"/>
        <w:tblCellMar>
          <w:top w:w="0" w:type="dxa"/>
          <w:left w:w="0" w:type="dxa"/>
          <w:bottom w:w="0" w:type="dxa"/>
          <w:right w:w="0" w:type="dxa"/>
        </w:tblCellMar>
      </w:tblPr>
      <w:tr>
        <w:trPr>
          <w:trHeight w:val="190"/>
        </w:trPr>
        <w:tc>
          <w:tcPr>
            <w:tcW w:w="8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2"/>
          </w:tcPr>
          <w:p>
            <w:pPr>
              <w:jc w:val="center"/>
              <w:ind w:right="1560"/>
              <w:spacing w:after="0" w:line="189" w:lineRule="exact"/>
              <w:rPr>
                <w:sz w:val="20"/>
                <w:szCs w:val="20"/>
                <w:color w:val="auto"/>
              </w:rPr>
            </w:pPr>
            <w:r>
              <w:rPr>
                <w:rFonts w:ascii="Arial" w:cs="Arial" w:eastAsia="Arial" w:hAnsi="Arial"/>
                <w:sz w:val="17"/>
                <w:szCs w:val="17"/>
                <w:b w:val="1"/>
                <w:bCs w:val="1"/>
                <w:color w:val="auto"/>
                <w:w w:val="89"/>
              </w:rPr>
              <w:t>As of</w:t>
            </w:r>
          </w:p>
        </w:tc>
      </w:tr>
      <w:tr>
        <w:trPr>
          <w:trHeight w:val="206"/>
        </w:trPr>
        <w:tc>
          <w:tcPr>
            <w:tcW w:w="8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2"/>
          </w:tcPr>
          <w:p>
            <w:pPr>
              <w:jc w:val="center"/>
              <w:ind w:right="1560"/>
              <w:spacing w:after="0"/>
              <w:rPr>
                <w:sz w:val="20"/>
                <w:szCs w:val="20"/>
                <w:color w:val="auto"/>
              </w:rPr>
            </w:pPr>
            <w:r>
              <w:rPr>
                <w:rFonts w:ascii="Arial" w:cs="Arial" w:eastAsia="Arial" w:hAnsi="Arial"/>
                <w:sz w:val="17"/>
                <w:szCs w:val="17"/>
                <w:b w:val="1"/>
                <w:bCs w:val="1"/>
                <w:color w:val="auto"/>
                <w:w w:val="93"/>
              </w:rPr>
              <w:t>February 1,</w:t>
            </w:r>
          </w:p>
        </w:tc>
      </w:tr>
      <w:tr>
        <w:trPr>
          <w:trHeight w:val="230"/>
        </w:trPr>
        <w:tc>
          <w:tcPr>
            <w:tcW w:w="8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89"/>
              </w:rPr>
              <w:t>2016</w:t>
            </w:r>
          </w:p>
        </w:tc>
        <w:tc>
          <w:tcPr>
            <w:tcW w:w="1460" w:type="dxa"/>
            <w:vAlign w:val="bottom"/>
          </w:tcPr>
          <w:p>
            <w:pPr>
              <w:spacing w:after="0"/>
              <w:rPr>
                <w:sz w:val="19"/>
                <w:szCs w:val="19"/>
                <w:color w:val="auto"/>
              </w:rPr>
            </w:pPr>
          </w:p>
        </w:tc>
      </w:tr>
      <w:tr>
        <w:trPr>
          <w:trHeight w:val="206"/>
        </w:trPr>
        <w:tc>
          <w:tcPr>
            <w:tcW w:w="8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882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Working capital (excluding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10,775</w:t>
            </w:r>
          </w:p>
        </w:tc>
        <w:tc>
          <w:tcPr>
            <w:tcW w:w="1460" w:type="dxa"/>
            <w:vAlign w:val="bottom"/>
            <w:shd w:val="clear" w:color="auto" w:fill="CCEEFF"/>
          </w:tcPr>
          <w:p>
            <w:pPr>
              <w:spacing w:after="0"/>
              <w:rPr>
                <w:sz w:val="17"/>
                <w:szCs w:val="17"/>
                <w:color w:val="auto"/>
              </w:rPr>
            </w:pPr>
          </w:p>
        </w:tc>
      </w:tr>
      <w:tr>
        <w:trPr>
          <w:trHeight w:val="206"/>
        </w:trPr>
        <w:tc>
          <w:tcPr>
            <w:tcW w:w="8820" w:type="dxa"/>
            <w:vAlign w:val="bottom"/>
          </w:tcPr>
          <w:p>
            <w:pPr>
              <w:ind w:left="320"/>
              <w:spacing w:after="0"/>
              <w:rPr>
                <w:sz w:val="20"/>
                <w:szCs w:val="20"/>
                <w:color w:val="auto"/>
              </w:rPr>
            </w:pPr>
            <w:r>
              <w:rPr>
                <w:rFonts w:ascii="Arial" w:cs="Arial" w:eastAsia="Arial" w:hAnsi="Arial"/>
                <w:sz w:val="17"/>
                <w:szCs w:val="17"/>
                <w:b w:val="1"/>
                <w:bCs w:val="1"/>
                <w:color w:val="auto"/>
              </w:rPr>
              <w:t>Fixed assets</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106,919</w:t>
            </w:r>
          </w:p>
        </w:tc>
        <w:tc>
          <w:tcPr>
            <w:tcW w:w="1460" w:type="dxa"/>
            <w:vAlign w:val="bottom"/>
          </w:tcPr>
          <w:p>
            <w:pPr>
              <w:spacing w:after="0"/>
              <w:rPr>
                <w:sz w:val="17"/>
                <w:szCs w:val="17"/>
                <w:color w:val="auto"/>
              </w:rPr>
            </w:pPr>
          </w:p>
        </w:tc>
      </w:tr>
      <w:tr>
        <w:trPr>
          <w:trHeight w:val="206"/>
        </w:trPr>
        <w:tc>
          <w:tcPr>
            <w:tcW w:w="882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Intangible assets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2,799</w:t>
            </w:r>
          </w:p>
        </w:tc>
        <w:tc>
          <w:tcPr>
            <w:tcW w:w="1460" w:type="dxa"/>
            <w:vAlign w:val="bottom"/>
            <w:shd w:val="clear" w:color="auto" w:fill="CCEEFF"/>
          </w:tcPr>
          <w:p>
            <w:pPr>
              <w:spacing w:after="0"/>
              <w:rPr>
                <w:sz w:val="17"/>
                <w:szCs w:val="17"/>
                <w:color w:val="auto"/>
              </w:rPr>
            </w:pPr>
          </w:p>
        </w:tc>
      </w:tr>
      <w:tr>
        <w:trPr>
          <w:trHeight w:val="212"/>
        </w:trPr>
        <w:tc>
          <w:tcPr>
            <w:tcW w:w="8820" w:type="dxa"/>
            <w:vAlign w:val="bottom"/>
          </w:tcPr>
          <w:p>
            <w:pPr>
              <w:ind w:left="320"/>
              <w:spacing w:after="0"/>
              <w:rPr>
                <w:sz w:val="20"/>
                <w:szCs w:val="20"/>
                <w:color w:val="auto"/>
              </w:rPr>
            </w:pPr>
            <w:r>
              <w:rPr>
                <w:rFonts w:ascii="Arial" w:cs="Arial" w:eastAsia="Arial" w:hAnsi="Arial"/>
                <w:sz w:val="17"/>
                <w:szCs w:val="17"/>
                <w:b w:val="1"/>
                <w:bCs w:val="1"/>
                <w:color w:val="auto"/>
              </w:rPr>
              <w:t>Long-term liabilities</w:t>
            </w:r>
          </w:p>
        </w:tc>
        <w:tc>
          <w:tcPr>
            <w:tcW w:w="100" w:type="dxa"/>
            <w:vAlign w:val="bottom"/>
          </w:tcPr>
          <w:p>
            <w:pPr>
              <w:spacing w:after="0"/>
              <w:rPr>
                <w:sz w:val="18"/>
                <w:szCs w:val="18"/>
                <w:color w:val="auto"/>
              </w:rPr>
            </w:pPr>
          </w:p>
        </w:tc>
        <w:tc>
          <w:tcPr>
            <w:tcW w:w="2500" w:type="dxa"/>
            <w:vAlign w:val="bottom"/>
            <w:gridSpan w:val="2"/>
          </w:tcPr>
          <w:p>
            <w:pPr>
              <w:jc w:val="right"/>
              <w:ind w:right="1400"/>
              <w:spacing w:after="0"/>
              <w:rPr>
                <w:sz w:val="20"/>
                <w:szCs w:val="20"/>
                <w:color w:val="auto"/>
              </w:rPr>
            </w:pPr>
            <w:r>
              <w:rPr>
                <w:rFonts w:ascii="Arial" w:cs="Arial" w:eastAsia="Arial" w:hAnsi="Arial"/>
                <w:sz w:val="17"/>
                <w:szCs w:val="17"/>
                <w:b w:val="1"/>
                <w:bCs w:val="1"/>
                <w:color w:val="auto"/>
              </w:rPr>
              <w:t>(28,021)</w:t>
            </w:r>
          </w:p>
        </w:tc>
      </w:tr>
      <w:tr>
        <w:trPr>
          <w:trHeight w:val="212"/>
        </w:trPr>
        <w:tc>
          <w:tcPr>
            <w:tcW w:w="8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92,472</w:t>
            </w:r>
          </w:p>
        </w:tc>
        <w:tc>
          <w:tcPr>
            <w:tcW w:w="1460" w:type="dxa"/>
            <w:vAlign w:val="bottom"/>
            <w:tcBorders>
              <w:bottom w:val="single" w:sz="8" w:color="CCEEFF"/>
            </w:tcBorders>
            <w:shd w:val="clear" w:color="auto" w:fill="CCEEFF"/>
          </w:tcPr>
          <w:p>
            <w:pPr>
              <w:spacing w:after="0"/>
              <w:rPr>
                <w:sz w:val="18"/>
                <w:szCs w:val="18"/>
                <w:color w:val="auto"/>
              </w:rPr>
            </w:pPr>
          </w:p>
        </w:tc>
      </w:tr>
      <w:tr>
        <w:trPr>
          <w:trHeight w:val="206"/>
        </w:trPr>
        <w:tc>
          <w:tcPr>
            <w:tcW w:w="8820" w:type="dxa"/>
            <w:vAlign w:val="bottom"/>
          </w:tcPr>
          <w:p>
            <w:pPr>
              <w:ind w:left="320"/>
              <w:spacing w:after="0"/>
              <w:rPr>
                <w:sz w:val="20"/>
                <w:szCs w:val="20"/>
                <w:color w:val="auto"/>
              </w:rPr>
            </w:pPr>
            <w:r>
              <w:rPr>
                <w:rFonts w:ascii="Arial" w:cs="Arial" w:eastAsia="Arial" w:hAnsi="Arial"/>
                <w:sz w:val="17"/>
                <w:szCs w:val="17"/>
                <w:b w:val="1"/>
                <w:bCs w:val="1"/>
                <w:color w:val="auto"/>
              </w:rPr>
              <w:t>Less: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8820" w:type="dxa"/>
            <w:vAlign w:val="bottom"/>
            <w:shd w:val="clear" w:color="auto" w:fill="CCEEFF"/>
          </w:tcPr>
          <w:p>
            <w:pPr>
              <w:ind w:left="320"/>
              <w:spacing w:after="0"/>
              <w:rPr>
                <w:sz w:val="20"/>
                <w:szCs w:val="20"/>
                <w:color w:val="auto"/>
              </w:rPr>
            </w:pPr>
            <w:r>
              <w:rPr>
                <w:rFonts w:ascii="Arial" w:cs="Arial" w:eastAsia="Arial" w:hAnsi="Arial"/>
                <w:sz w:val="17"/>
                <w:szCs w:val="17"/>
                <w:b w:val="1"/>
                <w:bCs w:val="1"/>
                <w:color w:val="auto"/>
              </w:rPr>
              <w:t>Share capital</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40,000</w:t>
            </w:r>
          </w:p>
        </w:tc>
        <w:tc>
          <w:tcPr>
            <w:tcW w:w="1460" w:type="dxa"/>
            <w:vAlign w:val="bottom"/>
            <w:shd w:val="clear" w:color="auto" w:fill="CCEEFF"/>
          </w:tcPr>
          <w:p>
            <w:pPr>
              <w:spacing w:after="0"/>
              <w:rPr>
                <w:sz w:val="17"/>
                <w:szCs w:val="17"/>
                <w:color w:val="auto"/>
              </w:rPr>
            </w:pPr>
          </w:p>
        </w:tc>
      </w:tr>
      <w:tr>
        <w:trPr>
          <w:trHeight w:val="212"/>
        </w:trPr>
        <w:tc>
          <w:tcPr>
            <w:tcW w:w="8820" w:type="dxa"/>
            <w:vAlign w:val="bottom"/>
          </w:tcPr>
          <w:p>
            <w:pPr>
              <w:ind w:left="320"/>
              <w:spacing w:after="0"/>
              <w:rPr>
                <w:sz w:val="20"/>
                <w:szCs w:val="20"/>
                <w:color w:val="auto"/>
              </w:rPr>
            </w:pPr>
            <w:r>
              <w:rPr>
                <w:rFonts w:ascii="Arial" w:cs="Arial" w:eastAsia="Arial" w:hAnsi="Arial"/>
                <w:sz w:val="17"/>
                <w:szCs w:val="17"/>
                <w:b w:val="1"/>
                <w:bCs w:val="1"/>
                <w:color w:val="auto"/>
              </w:rPr>
              <w:t>Gain from acquisition, net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52,472</w:t>
            </w:r>
          </w:p>
        </w:tc>
        <w:tc>
          <w:tcPr>
            <w:tcW w:w="1460" w:type="dxa"/>
            <w:vAlign w:val="bottom"/>
          </w:tcPr>
          <w:p>
            <w:pPr>
              <w:spacing w:after="0"/>
              <w:rPr>
                <w:sz w:val="18"/>
                <w:szCs w:val="18"/>
                <w:color w:val="auto"/>
              </w:rPr>
            </w:pPr>
          </w:p>
        </w:tc>
      </w:tr>
      <w:tr>
        <w:trPr>
          <w:trHeight w:val="246"/>
        </w:trPr>
        <w:tc>
          <w:tcPr>
            <w:tcW w:w="8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92,472</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197"/>
        </w:trPr>
        <w:tc>
          <w:tcPr>
            <w:tcW w:w="8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46"/>
        </w:trPr>
        <w:tc>
          <w:tcPr>
            <w:tcW w:w="8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b w:val="1"/>
                <w:bCs w:val="1"/>
                <w:color w:val="auto"/>
              </w:rPr>
              <w:t>Cash from the acquisition of a subsidiaries consolidated for the first time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60" w:type="dxa"/>
            <w:vAlign w:val="bottom"/>
            <w:tcBorders>
              <w:bottom w:val="single" w:sz="8" w:color="CCEEFF"/>
            </w:tcBorders>
            <w:shd w:val="clear" w:color="auto" w:fill="CCEEFF"/>
          </w:tcPr>
          <w:p>
            <w:pPr>
              <w:spacing w:after="0"/>
              <w:rPr>
                <w:sz w:val="21"/>
                <w:szCs w:val="2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See notes to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120" w:val="left"/>
          <w:tab w:leader="none" w:pos="1420" w:val="left"/>
        </w:tabs>
        <w:rPr>
          <w:sz w:val="20"/>
          <w:szCs w:val="20"/>
          <w:color w:val="auto"/>
        </w:rPr>
      </w:pPr>
      <w:r>
        <w:rPr>
          <w:rFonts w:ascii="Arial" w:cs="Arial" w:eastAsia="Arial" w:hAnsi="Arial"/>
          <w:sz w:val="17"/>
          <w:szCs w:val="17"/>
          <w:b w:val="1"/>
          <w:bCs w:val="1"/>
          <w:color w:val="auto"/>
        </w:rPr>
        <w:t>NOTE 1</w:t>
      </w:r>
      <w:r>
        <w:rPr>
          <w:sz w:val="20"/>
          <w:szCs w:val="20"/>
          <w:color w:val="auto"/>
        </w:rPr>
        <w:tab/>
      </w:r>
      <w:r>
        <w:rPr>
          <w:rFonts w:ascii="Arial" w:cs="Arial" w:eastAsia="Arial" w:hAnsi="Arial"/>
          <w:sz w:val="17"/>
          <w:szCs w:val="17"/>
          <w:b w:val="1"/>
          <w:bCs w:val="1"/>
          <w:color w:val="auto"/>
        </w:rPr>
        <w:t>-</w:t>
        <w:tab/>
        <w:t>DESCRIPTION OF BUSINESS AND GENERAL</w:t>
      </w:r>
    </w:p>
    <w:p>
      <w:pPr>
        <w:spacing w:after="0" w:line="200" w:lineRule="exact"/>
        <w:rPr>
          <w:sz w:val="20"/>
          <w:szCs w:val="20"/>
          <w:color w:val="auto"/>
        </w:rPr>
      </w:pPr>
    </w:p>
    <w:p>
      <w:pPr>
        <w:spacing w:after="0" w:line="344" w:lineRule="exact"/>
        <w:rPr>
          <w:sz w:val="20"/>
          <w:szCs w:val="20"/>
          <w:color w:val="auto"/>
        </w:rPr>
      </w:pPr>
    </w:p>
    <w:p>
      <w:pPr>
        <w:jc w:val="both"/>
        <w:ind w:left="1240"/>
        <w:spacing w:after="0" w:line="296" w:lineRule="auto"/>
        <w:rPr>
          <w:sz w:val="20"/>
          <w:szCs w:val="20"/>
          <w:color w:val="auto"/>
        </w:rPr>
      </w:pPr>
      <w:r>
        <w:rPr>
          <w:rFonts w:ascii="Arial" w:cs="Arial" w:eastAsia="Arial" w:hAnsi="Arial"/>
          <w:sz w:val="15"/>
          <w:szCs w:val="15"/>
          <w:color w:val="auto"/>
        </w:rPr>
        <w:t>The consolidated financial statements of Tower Semiconductor Ltd. (“Tower”) include the financial statements of Tower, and (i) its wholly-owned subsidiary Tower US Holdings Inc., the sole owner of: (1) Jazz US Holdings Inc. and its wholly-owned subsidiary, Jazz Semiconductor, Inc., an independent semiconductor foundry focused on specialty process technologies for the manufacture of analog intensive mixed-signal semiconductor devices (Jazz US Holdings Inc. and Jazz Semiconductor, Inc. collectively referred to herein as “Jazz”); and (2) since February 2016, Tower US Holdings is also the sole owner of TowerJazz Texas Inc. (“TJT”), as described in Note 3 below; and (ii) its 51% owned subsidiary, TowerJazz Panasonic Semiconductor Co., Ltd. (“TPSCo”), an independent semiconductor foundry which includes three semiconductor manufacturing facilities located in Tonami, Uozu and Arai, in Hokuriku Japan. Tower and its subsidiaries are collectively referred to as the “Company”.</w:t>
      </w:r>
    </w:p>
    <w:p>
      <w:pPr>
        <w:spacing w:after="0" w:line="209" w:lineRule="exact"/>
        <w:rPr>
          <w:sz w:val="20"/>
          <w:szCs w:val="20"/>
          <w:color w:val="auto"/>
        </w:rPr>
      </w:pPr>
    </w:p>
    <w:p>
      <w:pPr>
        <w:jc w:val="both"/>
        <w:ind w:left="1240"/>
        <w:spacing w:after="0" w:line="275" w:lineRule="auto"/>
        <w:rPr>
          <w:sz w:val="20"/>
          <w:szCs w:val="20"/>
          <w:color w:val="auto"/>
        </w:rPr>
      </w:pPr>
      <w:r>
        <w:rPr>
          <w:rFonts w:ascii="Arial" w:cs="Arial" w:eastAsia="Arial" w:hAnsi="Arial"/>
          <w:sz w:val="16"/>
          <w:szCs w:val="16"/>
          <w:color w:val="auto"/>
        </w:rPr>
        <w:t>The Company is a global specialty foundry leader manufacturing integrated circuits, offering a broad range of customizable process technologies including: SiGe, BiCMOS, mixed-signal/CMOS, RF CMOS, CMOS image sensor, integrated power management (BCD and 700V) and MEMS.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capacity for its customers, the Company operates two manufacturing facilities in Israel (150mm and 200mm), two in the U.S. (200mm) and three in Japan through TPSCo (two 200mm and one 300mm), which provide leading edge 45nm CMOS, 65nm RF CMOS and 65nm 1.12um pixel technologies, including advanced image sensor technologies.</w:t>
      </w:r>
    </w:p>
    <w:p>
      <w:pPr>
        <w:spacing w:after="0" w:line="222" w:lineRule="exact"/>
        <w:rPr>
          <w:sz w:val="20"/>
          <w:szCs w:val="20"/>
          <w:color w:val="auto"/>
        </w:rPr>
      </w:pPr>
    </w:p>
    <w:p>
      <w:pPr>
        <w:jc w:val="both"/>
        <w:ind w:left="1240"/>
        <w:spacing w:after="0" w:line="275" w:lineRule="auto"/>
        <w:rPr>
          <w:sz w:val="20"/>
          <w:szCs w:val="20"/>
          <w:color w:val="auto"/>
        </w:rPr>
      </w:pPr>
      <w:r>
        <w:rPr>
          <w:rFonts w:ascii="Arial" w:cs="Arial" w:eastAsia="Arial" w:hAnsi="Arial"/>
          <w:sz w:val="16"/>
          <w:szCs w:val="16"/>
          <w:color w:val="auto"/>
        </w:rPr>
        <w:t>The Company operates in the semiconductor industry and competes internationally with dedicated foundry service providers, which in addition to providing leading edge CMOS process technologies also have capacity for some specialty process technologies. The Company also competes with IDMs that have internal semiconductor manufacturing capacity or foundry operations. Several dedicated foundries have specialized operations and compete directly with the Company in certain areas, flows and technology capabilities. There are a number of smaller participants in the specialty process arena with specific analog focus. The Company believes that most of the large dedicated foundry service providers compete primarily in standard CMOS product types, while they also have capacity for specialty process technologies. As a result, the Company’s main industry competitors are smaller participants which focus on the specialty process analog arena.</w:t>
      </w:r>
    </w:p>
    <w:p>
      <w:pPr>
        <w:spacing w:after="0" w:line="222"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Tower’s ordinary shares are traded on the NASDAQ Global Select Market and on the Tel-Aviv Stock Exchange (“TASE”) under the symbol TSEM.</w:t>
      </w:r>
    </w:p>
    <w:p>
      <w:pPr>
        <w:spacing w:after="0" w:line="291"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The Company’s consolidated financial statements are presented in accordance with U.S. generally accepted accounting principles (“US GAAP”).</w:t>
      </w: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38" w:lineRule="exact"/>
        <w:rPr>
          <w:sz w:val="20"/>
          <w:szCs w:val="20"/>
          <w:color w:val="auto"/>
        </w:rPr>
      </w:pPr>
    </w:p>
    <w:p>
      <w:pPr>
        <w:spacing w:after="0"/>
        <w:tabs>
          <w:tab w:leader="none" w:pos="1120" w:val="left"/>
          <w:tab w:leader="none" w:pos="142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7"/>
          <w:szCs w:val="17"/>
          <w:b w:val="1"/>
          <w:bCs w:val="1"/>
          <w:color w:val="auto"/>
        </w:rPr>
        <w:t>-</w:t>
        <w:tab/>
        <w:t>SUMMARY OF SIGNIFICANT ACCOUNTING POLICIES</w:t>
      </w:r>
    </w:p>
    <w:p>
      <w:pPr>
        <w:spacing w:after="0" w:line="280" w:lineRule="exact"/>
        <w:rPr>
          <w:sz w:val="20"/>
          <w:szCs w:val="20"/>
          <w:color w:val="auto"/>
        </w:rPr>
      </w:pPr>
    </w:p>
    <w:p>
      <w:pPr>
        <w:ind w:left="1780" w:hanging="542"/>
        <w:spacing w:after="0"/>
        <w:tabs>
          <w:tab w:leader="none" w:pos="17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Use of Estimates in Preparation of Financial Statements</w:t>
      </w:r>
    </w:p>
    <w:p>
      <w:pPr>
        <w:spacing w:after="0" w:line="273" w:lineRule="exact"/>
        <w:rPr>
          <w:rFonts w:ascii="Arial" w:cs="Arial" w:eastAsia="Arial" w:hAnsi="Arial"/>
          <w:sz w:val="17"/>
          <w:szCs w:val="17"/>
          <w:b w:val="1"/>
          <w:bCs w:val="1"/>
          <w:color w:val="auto"/>
        </w:rPr>
      </w:pPr>
    </w:p>
    <w:p>
      <w:pPr>
        <w:jc w:val="both"/>
        <w:ind w:left="1780"/>
        <w:spacing w:after="0" w:line="317" w:lineRule="auto"/>
        <w:rPr>
          <w:rFonts w:ascii="Arial" w:cs="Arial" w:eastAsia="Arial" w:hAnsi="Arial"/>
          <w:sz w:val="17"/>
          <w:szCs w:val="17"/>
          <w:b w:val="1"/>
          <w:bCs w:val="1"/>
          <w:color w:val="auto"/>
        </w:rPr>
      </w:pPr>
      <w:r>
        <w:rPr>
          <w:rFonts w:ascii="Arial" w:cs="Arial" w:eastAsia="Arial" w:hAnsi="Arial"/>
          <w:sz w:val="15"/>
          <w:szCs w:val="15"/>
          <w:color w:val="auto"/>
        </w:rPr>
        <w:t>The preparation of financial statements in conformity with GAAP requires the Company to make estimates and assumptions that affect the reported amounts of assets and liabilities, affect the disclosure of contingent assets and liabilities as of the date of the financial statements, and the reported amounts of revenues and expenses during the reporting periods. Actual results could differ from those estimates.</w:t>
      </w:r>
    </w:p>
    <w:p>
      <w:pPr>
        <w:spacing w:after="0" w:line="185" w:lineRule="exact"/>
        <w:rPr>
          <w:rFonts w:ascii="Arial" w:cs="Arial" w:eastAsia="Arial" w:hAnsi="Arial"/>
          <w:sz w:val="17"/>
          <w:szCs w:val="17"/>
          <w:b w:val="1"/>
          <w:bCs w:val="1"/>
          <w:color w:val="auto"/>
        </w:rPr>
      </w:pPr>
    </w:p>
    <w:p>
      <w:pPr>
        <w:ind w:left="1780" w:hanging="542"/>
        <w:spacing w:after="0"/>
        <w:tabs>
          <w:tab w:leader="none" w:pos="17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Principles of Consolidation</w:t>
      </w:r>
    </w:p>
    <w:p>
      <w:pPr>
        <w:spacing w:after="0" w:line="273"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The Company’s consolidated financial statements include the financial statements of Tower and its subsidiaries. The Company’s consolidated financial statements are presented after elimination of inter-company transactions and balances. The Company’s consolidated financial statements include TJT’s results of operations and balance sheet since February 1, 2016.</w:t>
      </w:r>
    </w:p>
    <w:p>
      <w:pPr>
        <w:spacing w:after="0" w:line="221" w:lineRule="exact"/>
        <w:rPr>
          <w:rFonts w:ascii="Arial" w:cs="Arial" w:eastAsia="Arial" w:hAnsi="Arial"/>
          <w:sz w:val="17"/>
          <w:szCs w:val="17"/>
          <w:b w:val="1"/>
          <w:bCs w:val="1"/>
          <w:color w:val="auto"/>
        </w:rPr>
      </w:pPr>
    </w:p>
    <w:p>
      <w:pPr>
        <w:ind w:left="1780" w:hanging="542"/>
        <w:spacing w:after="0"/>
        <w:tabs>
          <w:tab w:leader="none" w:pos="17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Cash and Cash Equivalents, Short-Term Deposits</w:t>
      </w:r>
    </w:p>
    <w:p>
      <w:pPr>
        <w:spacing w:after="0" w:line="273"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Cash and cash equivalents consist of cash, bank deposits and short-term investments with original maturities of three months or less. Short-term deposits include bank deposits with original maturities greater than three months and to be matured within 12 months from balance sheet date.</w:t>
      </w:r>
    </w:p>
    <w:p>
      <w:pPr>
        <w:spacing w:after="0" w:line="221" w:lineRule="exact"/>
        <w:rPr>
          <w:rFonts w:ascii="Arial" w:cs="Arial" w:eastAsia="Arial" w:hAnsi="Arial"/>
          <w:sz w:val="17"/>
          <w:szCs w:val="17"/>
          <w:b w:val="1"/>
          <w:bCs w:val="1"/>
          <w:color w:val="auto"/>
        </w:rPr>
      </w:pPr>
    </w:p>
    <w:p>
      <w:pPr>
        <w:ind w:left="1780" w:hanging="542"/>
        <w:spacing w:after="0"/>
        <w:tabs>
          <w:tab w:leader="none" w:pos="17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Marketable securities</w:t>
      </w:r>
    </w:p>
    <w:p>
      <w:pPr>
        <w:spacing w:after="0" w:line="274" w:lineRule="exact"/>
        <w:rPr>
          <w:sz w:val="20"/>
          <w:szCs w:val="20"/>
          <w:color w:val="auto"/>
        </w:rPr>
      </w:pPr>
    </w:p>
    <w:p>
      <w:pPr>
        <w:jc w:val="both"/>
        <w:ind w:left="1820"/>
        <w:spacing w:after="0" w:line="265" w:lineRule="auto"/>
        <w:rPr>
          <w:sz w:val="20"/>
          <w:szCs w:val="20"/>
          <w:color w:val="auto"/>
        </w:rPr>
      </w:pPr>
      <w:r>
        <w:rPr>
          <w:rFonts w:ascii="Arial" w:cs="Arial" w:eastAsia="Arial" w:hAnsi="Arial"/>
          <w:sz w:val="17"/>
          <w:szCs w:val="17"/>
          <w:color w:val="auto"/>
        </w:rPr>
        <w:t>The Company accounts for investments in debt securities in accordance with ASC 320, "Investments - Debt and Equity Securities". Management determines the appropriate classification of its investments in debt securities at the time of purchase and re-evaluates such determinations at each balance sheet date.</w:t>
      </w:r>
    </w:p>
    <w:p>
      <w:pPr>
        <w:spacing w:after="0" w:line="227" w:lineRule="exact"/>
        <w:rPr>
          <w:sz w:val="20"/>
          <w:szCs w:val="20"/>
          <w:color w:val="auto"/>
        </w:rPr>
      </w:pPr>
    </w:p>
    <w:p>
      <w:pPr>
        <w:jc w:val="both"/>
        <w:ind w:left="1780"/>
        <w:spacing w:after="0" w:line="289" w:lineRule="auto"/>
        <w:rPr>
          <w:sz w:val="20"/>
          <w:szCs w:val="20"/>
          <w:color w:val="auto"/>
        </w:rPr>
      </w:pPr>
      <w:r>
        <w:rPr>
          <w:rFonts w:ascii="Arial" w:cs="Arial" w:eastAsia="Arial" w:hAnsi="Arial"/>
          <w:sz w:val="16"/>
          <w:szCs w:val="16"/>
          <w:color w:val="auto"/>
        </w:rPr>
        <w:t>Marketable securities classified as "available-for-sale" are carried at fair value, based on quoted market prices. Unrealized gains and losses are reported in a separate component of shareholders' equity in accumulated other comprehensive income (loss) (“OCI”). Gains and losses are recognized when realized, on a specific identification basis, in the Company's consolidated statements of income.</w:t>
      </w:r>
    </w:p>
    <w:p>
      <w:pPr>
        <w:spacing w:after="0" w:line="210" w:lineRule="exact"/>
        <w:rPr>
          <w:sz w:val="20"/>
          <w:szCs w:val="20"/>
          <w:color w:val="auto"/>
        </w:rPr>
      </w:pPr>
    </w:p>
    <w:p>
      <w:pPr>
        <w:jc w:val="both"/>
        <w:ind w:left="1780"/>
        <w:spacing w:after="0" w:line="275" w:lineRule="auto"/>
        <w:rPr>
          <w:sz w:val="20"/>
          <w:szCs w:val="20"/>
          <w:color w:val="auto"/>
        </w:rPr>
      </w:pPr>
      <w:r>
        <w:rPr>
          <w:rFonts w:ascii="Arial" w:cs="Arial" w:eastAsia="Arial" w:hAnsi="Arial"/>
          <w:sz w:val="16"/>
          <w:szCs w:val="16"/>
          <w:color w:val="auto"/>
        </w:rPr>
        <w:t>The Company's securities are reviewed for impairment in accordance with ASC 320-10-35. If such assets are considered to be impaired, the impairment charge is recognized in earnings when a decline in the fair value of its investments below the cost basis is judged to be other-than-temporary. Factors considered in making such a determination include the duration and severity of the impairment, the reason for the decline in value, the potential recovery period and the Company's intent to sell, including whether it is more likely than not that the Company will be required to sell the investment before recovery of cost basis. For securities with an unrealized loss that the Company intends to sell, or it is more likely than not that the Company will be required to sell before recovery of their amortized cost basis, the entire difference between amortized cost and fair value is recognized in earnings.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120" w:val="left"/>
          <w:tab w:leader="none" w:pos="142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7"/>
          <w:szCs w:val="17"/>
          <w:b w:val="1"/>
          <w:bCs w:val="1"/>
          <w:color w:val="auto"/>
        </w:rPr>
        <w:t>-</w:t>
        <w:tab/>
        <w:t>SUMMARY OF SIGNIFICANT ACCOUNTING POLICIES (cont.)</w:t>
      </w:r>
    </w:p>
    <w:p>
      <w:pPr>
        <w:spacing w:after="0" w:line="280" w:lineRule="exact"/>
        <w:rPr>
          <w:sz w:val="20"/>
          <w:szCs w:val="20"/>
          <w:color w:val="auto"/>
        </w:rPr>
      </w:pPr>
    </w:p>
    <w:p>
      <w:pPr>
        <w:ind w:left="1780" w:hanging="542"/>
        <w:spacing w:after="0"/>
        <w:tabs>
          <w:tab w:leader="none" w:pos="17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Marketable securities (cont.)</w:t>
      </w:r>
    </w:p>
    <w:p>
      <w:pPr>
        <w:spacing w:after="0" w:line="274" w:lineRule="exact"/>
        <w:rPr>
          <w:sz w:val="20"/>
          <w:szCs w:val="20"/>
          <w:color w:val="auto"/>
        </w:rPr>
      </w:pPr>
    </w:p>
    <w:p>
      <w:pPr>
        <w:ind w:left="1820"/>
        <w:spacing w:after="0" w:line="278" w:lineRule="auto"/>
        <w:rPr>
          <w:sz w:val="20"/>
          <w:szCs w:val="20"/>
          <w:color w:val="auto"/>
        </w:rPr>
      </w:pPr>
      <w:r>
        <w:rPr>
          <w:rFonts w:ascii="Arial" w:cs="Arial" w:eastAsia="Arial" w:hAnsi="Arial"/>
          <w:sz w:val="17"/>
          <w:szCs w:val="17"/>
          <w:color w:val="auto"/>
        </w:rPr>
        <w:t>For securities that do not meet these criteria, the amount of impairment recognized in earnings is limited to the amount related to credit losses, while declines in fair value related to other factors are recognized in OCI.</w:t>
      </w:r>
    </w:p>
    <w:p>
      <w:pPr>
        <w:spacing w:after="0" w:line="210" w:lineRule="exact"/>
        <w:rPr>
          <w:sz w:val="20"/>
          <w:szCs w:val="20"/>
          <w:color w:val="auto"/>
        </w:rPr>
      </w:pPr>
    </w:p>
    <w:p>
      <w:pPr>
        <w:ind w:left="1780" w:hanging="542"/>
        <w:spacing w:after="0"/>
        <w:tabs>
          <w:tab w:leader="none" w:pos="17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Trade Accounts Receivables - Allowance for Doubtful Accounts</w:t>
      </w:r>
    </w:p>
    <w:p>
      <w:pPr>
        <w:spacing w:after="0" w:line="273" w:lineRule="exact"/>
        <w:rPr>
          <w:rFonts w:ascii="Arial" w:cs="Arial" w:eastAsia="Arial" w:hAnsi="Arial"/>
          <w:sz w:val="17"/>
          <w:szCs w:val="17"/>
          <w:b w:val="1"/>
          <w:bCs w:val="1"/>
          <w:color w:val="auto"/>
        </w:rPr>
      </w:pPr>
    </w:p>
    <w:p>
      <w:pPr>
        <w:ind w:left="1780"/>
        <w:spacing w:after="0" w:line="311" w:lineRule="auto"/>
        <w:rPr>
          <w:rFonts w:ascii="Arial" w:cs="Arial" w:eastAsia="Arial" w:hAnsi="Arial"/>
          <w:sz w:val="17"/>
          <w:szCs w:val="17"/>
          <w:b w:val="1"/>
          <w:bCs w:val="1"/>
          <w:color w:val="auto"/>
        </w:rPr>
      </w:pPr>
      <w:r>
        <w:rPr>
          <w:rFonts w:ascii="Arial" w:cs="Arial" w:eastAsia="Arial" w:hAnsi="Arial"/>
          <w:sz w:val="16"/>
          <w:szCs w:val="16"/>
          <w:color w:val="auto"/>
        </w:rPr>
        <w:t>The allowance for doubtful accounts is computed on the specific identification basis for accounts whose collectability, in the Company’s estimation, is uncertain. As of December 31, 2017 and 2016, the amounts in the allowance for doubtful accounts are immaterial.</w:t>
      </w:r>
    </w:p>
    <w:p>
      <w:pPr>
        <w:spacing w:after="0" w:line="186" w:lineRule="exact"/>
        <w:rPr>
          <w:rFonts w:ascii="Arial" w:cs="Arial" w:eastAsia="Arial" w:hAnsi="Arial"/>
          <w:sz w:val="17"/>
          <w:szCs w:val="17"/>
          <w:b w:val="1"/>
          <w:bCs w:val="1"/>
          <w:color w:val="auto"/>
        </w:rPr>
      </w:pPr>
    </w:p>
    <w:p>
      <w:pPr>
        <w:ind w:left="1780" w:hanging="542"/>
        <w:spacing w:after="0"/>
        <w:tabs>
          <w:tab w:leader="none" w:pos="17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273"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The Company applies Accounting Standards Update (“ASU”) No. 2015-11 as of January 1, 2017, by which inventories are stated at the lower of cost and net realizable value. Inventories as of December 31, 2016 are stated at lower of cost or market. Upon adoption, the update had no effect on the consolidated financial position, results of operations or cash flows. Cost of raw materials is determined mainly on the basis of the weighted average moving price per unit.</w:t>
      </w:r>
    </w:p>
    <w:p>
      <w:pPr>
        <w:spacing w:after="0" w:line="224" w:lineRule="exact"/>
        <w:rPr>
          <w:rFonts w:ascii="Arial" w:cs="Arial" w:eastAsia="Arial" w:hAnsi="Arial"/>
          <w:sz w:val="17"/>
          <w:szCs w:val="17"/>
          <w:b w:val="1"/>
          <w:bCs w:val="1"/>
          <w:color w:val="auto"/>
        </w:rPr>
      </w:pPr>
    </w:p>
    <w:p>
      <w:pPr>
        <w:ind w:left="1780" w:hanging="542"/>
        <w:spacing w:after="0"/>
        <w:tabs>
          <w:tab w:leader="none" w:pos="17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w:t>
      </w:r>
    </w:p>
    <w:p>
      <w:pPr>
        <w:spacing w:after="0" w:line="273" w:lineRule="exact"/>
        <w:rPr>
          <w:rFonts w:ascii="Arial" w:cs="Arial" w:eastAsia="Arial" w:hAnsi="Arial"/>
          <w:sz w:val="17"/>
          <w:szCs w:val="17"/>
          <w:b w:val="1"/>
          <w:bCs w:val="1"/>
          <w:color w:val="auto"/>
        </w:rPr>
      </w:pPr>
    </w:p>
    <w:p>
      <w:pPr>
        <w:jc w:val="both"/>
        <w:ind w:left="178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The Company accounts for property and equipment in accordance with Accounting Standards Codification (“ASC”) 360 “Accounting for the Property, Plant and Equipment” (“ASC 360”). Property and equipment are presented at cost, including capitalizable costs. Capitalizable costs include only costs that are identifiable with, and related to, the property and equipment and are incurred prior to their initial operation. Identifiable incremental direct costs include costs associated with constructing, establishing and installing property and equipment, and costs which are directly related to pre-production test runs of property and equipment that are necessary for preparing such property and equipment for their intended use.</w:t>
      </w:r>
    </w:p>
    <w:p>
      <w:pPr>
        <w:spacing w:after="0" w:line="236"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Maintenance and repairs are charged to expenses as incurred.</w:t>
      </w:r>
    </w:p>
    <w:p>
      <w:pPr>
        <w:spacing w:after="0" w:line="267"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are presented net of investment grants received, and less accumulated depreciation.</w:t>
      </w:r>
    </w:p>
    <w:p>
      <w:pPr>
        <w:spacing w:after="0" w:line="268"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Depreciation is calculated based on the straight-line method over the Company’s estimated useful lives of the assets,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20" w:type="dxa"/>
            <w:vAlign w:val="bottom"/>
          </w:tcPr>
          <w:p>
            <w:pPr>
              <w:spacing w:after="0"/>
              <w:rPr>
                <w:sz w:val="17"/>
                <w:szCs w:val="17"/>
                <w:color w:val="auto"/>
              </w:rPr>
            </w:pPr>
          </w:p>
        </w:tc>
        <w:tc>
          <w:tcPr>
            <w:tcW w:w="7600" w:type="dxa"/>
            <w:vAlign w:val="bottom"/>
            <w:shd w:val="clear" w:color="auto" w:fill="CCECFF"/>
          </w:tcPr>
          <w:p>
            <w:pPr>
              <w:spacing w:after="0"/>
              <w:rPr>
                <w:sz w:val="20"/>
                <w:szCs w:val="20"/>
                <w:color w:val="auto"/>
              </w:rPr>
            </w:pPr>
            <w:r>
              <w:rPr>
                <w:rFonts w:ascii="Arial" w:cs="Arial" w:eastAsia="Arial" w:hAnsi="Arial"/>
                <w:sz w:val="17"/>
                <w:szCs w:val="17"/>
                <w:color w:val="auto"/>
              </w:rPr>
              <w:t>Buildings and building improvements, including facility infrastructure</w:t>
            </w:r>
          </w:p>
        </w:tc>
        <w:tc>
          <w:tcPr>
            <w:tcW w:w="2200" w:type="dxa"/>
            <w:vAlign w:val="bottom"/>
            <w:shd w:val="clear" w:color="auto" w:fill="CCECFF"/>
          </w:tcPr>
          <w:p>
            <w:pPr>
              <w:jc w:val="right"/>
              <w:spacing w:after="0"/>
              <w:rPr>
                <w:sz w:val="20"/>
                <w:szCs w:val="20"/>
                <w:color w:val="auto"/>
              </w:rPr>
            </w:pPr>
            <w:r>
              <w:rPr>
                <w:rFonts w:ascii="Arial" w:cs="Arial" w:eastAsia="Arial" w:hAnsi="Arial"/>
                <w:sz w:val="17"/>
                <w:szCs w:val="17"/>
                <w:color w:val="auto"/>
              </w:rPr>
              <w:t>10-25 years</w:t>
            </w:r>
          </w:p>
        </w:tc>
      </w:tr>
      <w:tr>
        <w:trPr>
          <w:trHeight w:val="217"/>
        </w:trPr>
        <w:tc>
          <w:tcPr>
            <w:tcW w:w="16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7"/>
                <w:szCs w:val="17"/>
                <w:color w:val="auto"/>
              </w:rPr>
              <w:t>Machinery and equipment, software and hardware</w:t>
            </w:r>
          </w:p>
        </w:tc>
        <w:tc>
          <w:tcPr>
            <w:tcW w:w="2200" w:type="dxa"/>
            <w:vAlign w:val="bottom"/>
          </w:tcPr>
          <w:p>
            <w:pPr>
              <w:jc w:val="right"/>
              <w:spacing w:after="0"/>
              <w:rPr>
                <w:sz w:val="20"/>
                <w:szCs w:val="20"/>
                <w:color w:val="auto"/>
              </w:rPr>
            </w:pPr>
            <w:r>
              <w:rPr>
                <w:rFonts w:ascii="Arial" w:cs="Arial" w:eastAsia="Arial" w:hAnsi="Arial"/>
                <w:sz w:val="17"/>
                <w:szCs w:val="17"/>
                <w:color w:val="auto"/>
              </w:rPr>
              <w:t>3-15 years</w:t>
            </w:r>
          </w:p>
        </w:tc>
      </w:tr>
      <w:tr>
        <w:trPr>
          <w:trHeight w:val="451"/>
        </w:trPr>
        <w:tc>
          <w:tcPr>
            <w:tcW w:w="1620" w:type="dxa"/>
            <w:vAlign w:val="bottom"/>
          </w:tcPr>
          <w:p>
            <w:pPr>
              <w:spacing w:after="0"/>
              <w:rPr>
                <w:sz w:val="24"/>
                <w:szCs w:val="24"/>
                <w:color w:val="auto"/>
              </w:rPr>
            </w:pPr>
          </w:p>
        </w:tc>
        <w:tc>
          <w:tcPr>
            <w:tcW w:w="7600" w:type="dxa"/>
            <w:vAlign w:val="bottom"/>
          </w:tcPr>
          <w:p>
            <w:pPr>
              <w:ind w:left="200"/>
              <w:spacing w:after="0"/>
              <w:rPr>
                <w:sz w:val="20"/>
                <w:szCs w:val="20"/>
                <w:color w:val="auto"/>
              </w:rPr>
            </w:pPr>
            <w:r>
              <w:rPr>
                <w:rFonts w:ascii="Arial" w:cs="Arial" w:eastAsia="Arial" w:hAnsi="Arial"/>
                <w:sz w:val="17"/>
                <w:szCs w:val="17"/>
                <w:color w:val="auto"/>
              </w:rPr>
              <w:t>Impairment charges, if needed, are determined based on the policy outlined in S below.</w:t>
            </w:r>
          </w:p>
        </w:tc>
        <w:tc>
          <w:tcPr>
            <w:tcW w:w="2200" w:type="dxa"/>
            <w:vAlign w:val="bottom"/>
          </w:tcPr>
          <w:p>
            <w:pPr>
              <w:spacing w:after="0"/>
              <w:rPr>
                <w:sz w:val="24"/>
                <w:szCs w:val="24"/>
                <w:color w:val="auto"/>
              </w:rPr>
            </w:pPr>
          </w:p>
        </w:tc>
      </w:tr>
      <w:tr>
        <w:trPr>
          <w:trHeight w:val="463"/>
        </w:trPr>
        <w:tc>
          <w:tcPr>
            <w:tcW w:w="1620" w:type="dxa"/>
            <w:vAlign w:val="bottom"/>
          </w:tcPr>
          <w:p>
            <w:pPr>
              <w:spacing w:after="0"/>
              <w:rPr>
                <w:sz w:val="24"/>
                <w:szCs w:val="24"/>
                <w:color w:val="auto"/>
              </w:rPr>
            </w:pPr>
          </w:p>
        </w:tc>
        <w:tc>
          <w:tcPr>
            <w:tcW w:w="7600" w:type="dxa"/>
            <w:vAlign w:val="bottom"/>
          </w:tcPr>
          <w:p>
            <w:pPr>
              <w:ind w:left="200"/>
              <w:spacing w:after="0"/>
              <w:rPr>
                <w:sz w:val="20"/>
                <w:szCs w:val="20"/>
                <w:color w:val="auto"/>
              </w:rPr>
            </w:pPr>
            <w:r>
              <w:rPr>
                <w:rFonts w:ascii="Arial" w:cs="Arial" w:eastAsia="Arial" w:hAnsi="Arial"/>
                <w:sz w:val="17"/>
                <w:szCs w:val="17"/>
                <w:color w:val="auto"/>
              </w:rPr>
              <w:t>For Equipment under lease see H below.</w:t>
            </w:r>
          </w:p>
        </w:tc>
        <w:tc>
          <w:tcPr>
            <w:tcW w:w="2200" w:type="dxa"/>
            <w:vAlign w:val="bottom"/>
          </w:tcPr>
          <w:p>
            <w:pPr>
              <w:spacing w:after="0"/>
              <w:rPr>
                <w:sz w:val="24"/>
                <w:szCs w:val="24"/>
                <w:color w:val="auto"/>
              </w:rPr>
            </w:pPr>
          </w:p>
        </w:tc>
      </w:tr>
      <w:tr>
        <w:trPr>
          <w:trHeight w:val="373"/>
        </w:trPr>
        <w:tc>
          <w:tcPr>
            <w:tcW w:w="9220" w:type="dxa"/>
            <w:vAlign w:val="bottom"/>
            <w:gridSpan w:val="2"/>
          </w:tcPr>
          <w:p>
            <w:pPr>
              <w:jc w:val="right"/>
              <w:ind w:right="3234"/>
              <w:spacing w:after="0"/>
              <w:rPr>
                <w:sz w:val="20"/>
                <w:szCs w:val="20"/>
                <w:color w:val="auto"/>
              </w:rPr>
            </w:pPr>
            <w:r>
              <w:rPr>
                <w:rFonts w:ascii="Arial" w:cs="Arial" w:eastAsia="Arial" w:hAnsi="Arial"/>
                <w:sz w:val="17"/>
                <w:szCs w:val="17"/>
                <w:color w:val="auto"/>
              </w:rPr>
              <w:t>- 10 -</w:t>
            </w:r>
          </w:p>
        </w:tc>
        <w:tc>
          <w:tcPr>
            <w:tcW w:w="2200" w:type="dxa"/>
            <w:vAlign w:val="bottom"/>
          </w:tcPr>
          <w:p>
            <w:pPr>
              <w:spacing w:after="0"/>
              <w:rPr>
                <w:sz w:val="24"/>
                <w:szCs w:val="24"/>
                <w:color w:val="auto"/>
              </w:rPr>
            </w:pPr>
          </w:p>
        </w:tc>
      </w:tr>
      <w:tr>
        <w:trPr>
          <w:trHeight w:val="59"/>
        </w:trPr>
        <w:tc>
          <w:tcPr>
            <w:tcW w:w="1620" w:type="dxa"/>
            <w:vAlign w:val="bottom"/>
            <w:tcBorders>
              <w:bottom w:val="single" w:sz="8" w:color="auto"/>
            </w:tcBorders>
          </w:tcPr>
          <w:p>
            <w:pPr>
              <w:spacing w:after="0"/>
              <w:rPr>
                <w:sz w:val="5"/>
                <w:szCs w:val="5"/>
                <w:color w:val="auto"/>
              </w:rPr>
            </w:pPr>
          </w:p>
        </w:tc>
        <w:tc>
          <w:tcPr>
            <w:tcW w:w="7600" w:type="dxa"/>
            <w:vAlign w:val="bottom"/>
            <w:tcBorders>
              <w:bottom w:val="single" w:sz="8" w:color="auto"/>
            </w:tcBorders>
          </w:tcPr>
          <w:p>
            <w:pPr>
              <w:spacing w:after="0"/>
              <w:rPr>
                <w:sz w:val="5"/>
                <w:szCs w:val="5"/>
                <w:color w:val="auto"/>
              </w:rPr>
            </w:pPr>
          </w:p>
        </w:tc>
        <w:tc>
          <w:tcPr>
            <w:tcW w:w="22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38" w:lineRule="exact"/>
        <w:rPr>
          <w:sz w:val="20"/>
          <w:szCs w:val="20"/>
          <w:color w:val="auto"/>
        </w:rPr>
      </w:pPr>
    </w:p>
    <w:p>
      <w:pPr>
        <w:spacing w:after="0"/>
        <w:tabs>
          <w:tab w:leader="none" w:pos="1120" w:val="left"/>
          <w:tab w:leader="none" w:pos="142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7"/>
          <w:szCs w:val="17"/>
          <w:b w:val="1"/>
          <w:bCs w:val="1"/>
          <w:color w:val="auto"/>
        </w:rPr>
        <w:t>-</w:t>
        <w:tab/>
        <w:t>SUMMARY OF SIGNIFICANT ACCOUNTING POLICIES (cont.)</w:t>
      </w:r>
    </w:p>
    <w:p>
      <w:pPr>
        <w:spacing w:after="0" w:line="280" w:lineRule="exact"/>
        <w:rPr>
          <w:sz w:val="20"/>
          <w:szCs w:val="20"/>
          <w:color w:val="auto"/>
        </w:rPr>
      </w:pPr>
    </w:p>
    <w:p>
      <w:pPr>
        <w:ind w:left="1780" w:hanging="542"/>
        <w:spacing w:after="0"/>
        <w:tabs>
          <w:tab w:leader="none" w:pos="17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Equipment Lease</w:t>
      </w:r>
    </w:p>
    <w:p>
      <w:pPr>
        <w:spacing w:after="0" w:line="273"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The Company determines lease classification based on the criteria established in ASC 840. When the Company determines, based on the criteria, that a lease should be classified as capital lease, an asset and corresponding liability is recognized. Each capital lease is recorded as an asset and an obligation at an amount that is equal to the present value of the minimum lease payments over the lease term. Assets under capital lease are part of property plant and equipment.</w:t>
      </w:r>
    </w:p>
    <w:p>
      <w:pPr>
        <w:spacing w:after="0" w:line="224" w:lineRule="exact"/>
        <w:rPr>
          <w:rFonts w:ascii="Arial" w:cs="Arial" w:eastAsia="Arial" w:hAnsi="Arial"/>
          <w:sz w:val="17"/>
          <w:szCs w:val="17"/>
          <w:b w:val="1"/>
          <w:bCs w:val="1"/>
          <w:color w:val="auto"/>
        </w:rPr>
      </w:pPr>
    </w:p>
    <w:p>
      <w:pPr>
        <w:ind w:left="1780" w:hanging="542"/>
        <w:spacing w:after="0"/>
        <w:tabs>
          <w:tab w:leader="none" w:pos="17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 and Goodwill</w:t>
      </w:r>
    </w:p>
    <w:p>
      <w:pPr>
        <w:spacing w:after="0" w:line="273"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The Company accounts for intangible assets and goodwill in accordance with ASC 350 “Intangibles-Goodwill and Other” (“ASC 350”). Intangible assets include the values assigned to the intangible assets as part of the purchase price allocation made at the time of acquisition of each of Jazz, TPSCo and TJT.</w:t>
      </w:r>
    </w:p>
    <w:p>
      <w:pPr>
        <w:spacing w:after="0" w:line="227"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Intangible assets are amortized over the expected estimated economic life of the intangible assets commonly used in the industry. Goodwill is not amortized and subject to impairment test. Impairment charges on intangibles or goodwill, if needed, are determined based on the policy outlined in S below.</w:t>
      </w:r>
    </w:p>
    <w:p>
      <w:pPr>
        <w:spacing w:after="0" w:line="221" w:lineRule="exact"/>
        <w:rPr>
          <w:rFonts w:ascii="Arial" w:cs="Arial" w:eastAsia="Arial" w:hAnsi="Arial"/>
          <w:sz w:val="17"/>
          <w:szCs w:val="17"/>
          <w:b w:val="1"/>
          <w:bCs w:val="1"/>
          <w:color w:val="auto"/>
        </w:rPr>
      </w:pPr>
    </w:p>
    <w:p>
      <w:pPr>
        <w:ind w:left="1780" w:hanging="542"/>
        <w:spacing w:after="0"/>
        <w:tabs>
          <w:tab w:leader="none" w:pos="17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Deferred Tax Asset and Other Long-Term Assets, Net</w:t>
      </w:r>
    </w:p>
    <w:p>
      <w:pPr>
        <w:spacing w:after="0" w:line="273" w:lineRule="exact"/>
        <w:rPr>
          <w:rFonts w:ascii="Arial" w:cs="Arial" w:eastAsia="Arial" w:hAnsi="Arial"/>
          <w:sz w:val="17"/>
          <w:szCs w:val="17"/>
          <w:b w:val="1"/>
          <w:bCs w:val="1"/>
          <w:color w:val="auto"/>
        </w:rPr>
      </w:pPr>
    </w:p>
    <w:p>
      <w:pPr>
        <w:jc w:val="both"/>
        <w:ind w:left="1780"/>
        <w:spacing w:after="0" w:line="317" w:lineRule="auto"/>
        <w:rPr>
          <w:rFonts w:ascii="Arial" w:cs="Arial" w:eastAsia="Arial" w:hAnsi="Arial"/>
          <w:sz w:val="17"/>
          <w:szCs w:val="17"/>
          <w:b w:val="1"/>
          <w:bCs w:val="1"/>
          <w:color w:val="auto"/>
        </w:rPr>
      </w:pPr>
      <w:r>
        <w:rPr>
          <w:rFonts w:ascii="Arial" w:cs="Arial" w:eastAsia="Arial" w:hAnsi="Arial"/>
          <w:sz w:val="15"/>
          <w:szCs w:val="15"/>
          <w:color w:val="auto"/>
        </w:rPr>
        <w:t>Deferred tax asset and other assets, net include: (i) deferred tax asset as described in Note 19; (ii) fair market value of derivative instrument used in hedging of Debentures Series G, see T below and (iii) prepaid long-term lease payments to the Israel Land Administration (“ILA”) for the land on which the Company’s Israeli fabs are established, net of accumulated amortization over the lease period, see also Note 15C.</w:t>
      </w:r>
    </w:p>
    <w:p>
      <w:pPr>
        <w:spacing w:after="0" w:line="185" w:lineRule="exact"/>
        <w:rPr>
          <w:rFonts w:ascii="Arial" w:cs="Arial" w:eastAsia="Arial" w:hAnsi="Arial"/>
          <w:sz w:val="17"/>
          <w:szCs w:val="17"/>
          <w:b w:val="1"/>
          <w:bCs w:val="1"/>
          <w:color w:val="auto"/>
        </w:rPr>
      </w:pPr>
    </w:p>
    <w:p>
      <w:pPr>
        <w:ind w:left="1760" w:hanging="522"/>
        <w:spacing w:after="0"/>
        <w:tabs>
          <w:tab w:leader="none" w:pos="17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Debentures - Classification of Liabilities and Equity of Convertible Debentures</w:t>
      </w:r>
    </w:p>
    <w:p>
      <w:pPr>
        <w:spacing w:after="0" w:line="273"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Convertible debentures are evaluated to determine whether they include conversion features or other embedded derivatives that warrant bifurcation. The Company applies ASC 815-40 “Contract in Entity’s Own Equity” in determining whether an instrument that may be settled in Tower’s shares is also considered indexed to a company’s own stock, for the purpose of classification of the instrument as a liability or equity.</w:t>
      </w:r>
    </w:p>
    <w:p>
      <w:pPr>
        <w:spacing w:after="0" w:line="140" w:lineRule="exact"/>
        <w:rPr>
          <w:rFonts w:ascii="Arial" w:cs="Arial" w:eastAsia="Arial" w:hAnsi="Arial"/>
          <w:sz w:val="17"/>
          <w:szCs w:val="17"/>
          <w:b w:val="1"/>
          <w:bCs w:val="1"/>
          <w:color w:val="auto"/>
        </w:rPr>
      </w:pPr>
    </w:p>
    <w:p>
      <w:pPr>
        <w:ind w:left="5640" w:hanging="108"/>
        <w:spacing w:after="0"/>
        <w:tabs>
          <w:tab w:leader="none" w:pos="5640" w:val="left"/>
        </w:tabs>
        <w:numPr>
          <w:ilvl w:val="1"/>
          <w:numId w:val="5"/>
        </w:numPr>
        <w:rPr>
          <w:rFonts w:ascii="Arial" w:cs="Arial" w:eastAsia="Arial" w:hAnsi="Arial"/>
          <w:sz w:val="17"/>
          <w:szCs w:val="17"/>
          <w:color w:val="auto"/>
        </w:rPr>
      </w:pPr>
      <w:r>
        <w:rPr>
          <w:rFonts w:ascii="Arial" w:cs="Arial" w:eastAsia="Arial" w:hAnsi="Arial"/>
          <w:sz w:val="17"/>
          <w:szCs w:val="17"/>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120" w:val="left"/>
          <w:tab w:leader="none" w:pos="142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7"/>
          <w:szCs w:val="17"/>
          <w:b w:val="1"/>
          <w:bCs w:val="1"/>
          <w:color w:val="auto"/>
        </w:rPr>
        <w:t>-</w:t>
        <w:tab/>
        <w:t>SUMMARY OF SIGNIFICANT ACCOUNTING POLICIES (cont.)</w:t>
      </w:r>
    </w:p>
    <w:p>
      <w:pPr>
        <w:spacing w:after="0" w:line="280" w:lineRule="exact"/>
        <w:rPr>
          <w:sz w:val="20"/>
          <w:szCs w:val="20"/>
          <w:color w:val="auto"/>
        </w:rPr>
      </w:pPr>
    </w:p>
    <w:p>
      <w:pPr>
        <w:ind w:left="1780" w:hanging="542"/>
        <w:spacing w:after="0"/>
        <w:tabs>
          <w:tab w:leader="none" w:pos="178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w:t>
      </w:r>
    </w:p>
    <w:p>
      <w:pPr>
        <w:spacing w:after="0" w:line="273"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The Company’s revenues are generated principally from sales of semiconductor wafers. The Company, to much lesser extent, also derives revenues from design support and other technical and support services incidental to the sale of semiconductor wafers. The vast majority of the Company’s sales are achieved through the effort of its direct sales force.</w:t>
      </w:r>
    </w:p>
    <w:p>
      <w:pPr>
        <w:spacing w:after="0" w:line="175" w:lineRule="exact"/>
        <w:rPr>
          <w:rFonts w:ascii="Arial" w:cs="Arial" w:eastAsia="Arial" w:hAnsi="Arial"/>
          <w:sz w:val="17"/>
          <w:szCs w:val="17"/>
          <w:b w:val="1"/>
          <w:bCs w:val="1"/>
          <w:color w:val="auto"/>
        </w:rPr>
      </w:pPr>
    </w:p>
    <w:p>
      <w:pPr>
        <w:jc w:val="both"/>
        <w:ind w:left="1780"/>
        <w:spacing w:after="0" w:line="293" w:lineRule="auto"/>
        <w:rPr>
          <w:rFonts w:ascii="Arial" w:cs="Arial" w:eastAsia="Arial" w:hAnsi="Arial"/>
          <w:sz w:val="17"/>
          <w:szCs w:val="17"/>
          <w:b w:val="1"/>
          <w:bCs w:val="1"/>
          <w:color w:val="auto"/>
        </w:rPr>
      </w:pPr>
      <w:r>
        <w:rPr>
          <w:rFonts w:ascii="Arial" w:cs="Arial" w:eastAsia="Arial" w:hAnsi="Arial"/>
          <w:sz w:val="15"/>
          <w:szCs w:val="15"/>
          <w:color w:val="auto"/>
        </w:rPr>
        <w:t>In accordance with ASC Topic 605 “Revenue Recognition”, the Company recognizes revenues from sale of products when the following fundamental criteria are met: (i) persuasive evidence of an arrangement exists; (ii) delivery has occurred or services have been rendered;</w:t>
      </w:r>
    </w:p>
    <w:p>
      <w:pPr>
        <w:spacing w:after="0" w:line="1" w:lineRule="exact"/>
        <w:rPr>
          <w:rFonts w:ascii="Arial" w:cs="Arial" w:eastAsia="Arial" w:hAnsi="Arial"/>
          <w:sz w:val="17"/>
          <w:szCs w:val="17"/>
          <w:b w:val="1"/>
          <w:bCs w:val="1"/>
          <w:color w:val="auto"/>
        </w:rPr>
      </w:pPr>
    </w:p>
    <w:p>
      <w:pPr>
        <w:ind w:left="1780" w:hanging="2"/>
        <w:spacing w:after="0" w:line="332" w:lineRule="auto"/>
        <w:tabs>
          <w:tab w:leader="none" w:pos="2108" w:val="left"/>
        </w:tabs>
        <w:numPr>
          <w:ilvl w:val="1"/>
          <w:numId w:val="6"/>
        </w:numPr>
        <w:rPr>
          <w:rFonts w:ascii="Arial" w:cs="Arial" w:eastAsia="Arial" w:hAnsi="Arial"/>
          <w:sz w:val="15"/>
          <w:szCs w:val="15"/>
          <w:color w:val="auto"/>
        </w:rPr>
      </w:pPr>
      <w:r>
        <w:rPr>
          <w:rFonts w:ascii="Arial" w:cs="Arial" w:eastAsia="Arial" w:hAnsi="Arial"/>
          <w:sz w:val="15"/>
          <w:szCs w:val="15"/>
          <w:color w:val="auto"/>
        </w:rPr>
        <w:t>the price to the customer is fixed or determinable and (iv) collection of the resulting receivable is reasonably assured. Generally, delivery occurs after products meet all of the customer’s acceptance criteria based on pre-shipment electronic, functional and quality tests.</w:t>
      </w:r>
    </w:p>
    <w:p>
      <w:pPr>
        <w:spacing w:after="0" w:line="129" w:lineRule="exact"/>
        <w:rPr>
          <w:sz w:val="20"/>
          <w:szCs w:val="20"/>
          <w:color w:val="auto"/>
        </w:rPr>
      </w:pPr>
    </w:p>
    <w:p>
      <w:pPr>
        <w:ind w:left="1780"/>
        <w:spacing w:after="0" w:line="311" w:lineRule="auto"/>
        <w:rPr>
          <w:sz w:val="20"/>
          <w:szCs w:val="20"/>
          <w:color w:val="auto"/>
        </w:rPr>
      </w:pPr>
      <w:r>
        <w:rPr>
          <w:rFonts w:ascii="Arial" w:cs="Arial" w:eastAsia="Arial" w:hAnsi="Arial"/>
          <w:sz w:val="16"/>
          <w:szCs w:val="16"/>
          <w:color w:val="auto"/>
        </w:rPr>
        <w:t>The Company provides for sales returns allowance relating to specified yield or quality commitments as a reduction of revenues, based on past experience and specific identification of events necessitating an allowance, which has been in immaterial amounts.</w:t>
      </w:r>
    </w:p>
    <w:p>
      <w:pPr>
        <w:spacing w:after="0" w:line="186" w:lineRule="exact"/>
        <w:rPr>
          <w:sz w:val="20"/>
          <w:szCs w:val="20"/>
          <w:color w:val="auto"/>
        </w:rPr>
      </w:pPr>
    </w:p>
    <w:p>
      <w:pPr>
        <w:ind w:left="1780" w:hanging="542"/>
        <w:spacing w:after="0"/>
        <w:tabs>
          <w:tab w:leader="none" w:pos="17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Research and Development</w:t>
      </w:r>
    </w:p>
    <w:p>
      <w:pPr>
        <w:spacing w:after="0" w:line="273" w:lineRule="exact"/>
        <w:rPr>
          <w:rFonts w:ascii="Arial" w:cs="Arial" w:eastAsia="Arial" w:hAnsi="Arial"/>
          <w:sz w:val="17"/>
          <w:szCs w:val="17"/>
          <w:b w:val="1"/>
          <w:bCs w:val="1"/>
          <w:color w:val="auto"/>
        </w:rPr>
      </w:pPr>
    </w:p>
    <w:p>
      <w:pPr>
        <w:jc w:val="both"/>
        <w:ind w:left="1780"/>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204" w:lineRule="exact"/>
        <w:rPr>
          <w:rFonts w:ascii="Arial" w:cs="Arial" w:eastAsia="Arial" w:hAnsi="Arial"/>
          <w:sz w:val="17"/>
          <w:szCs w:val="17"/>
          <w:b w:val="1"/>
          <w:bCs w:val="1"/>
          <w:color w:val="auto"/>
        </w:rPr>
      </w:pPr>
    </w:p>
    <w:p>
      <w:pPr>
        <w:ind w:left="1780" w:hanging="542"/>
        <w:spacing w:after="0"/>
        <w:tabs>
          <w:tab w:leader="none" w:pos="17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73" w:lineRule="exact"/>
        <w:rPr>
          <w:rFonts w:ascii="Arial" w:cs="Arial" w:eastAsia="Arial" w:hAnsi="Arial"/>
          <w:sz w:val="17"/>
          <w:szCs w:val="17"/>
          <w:b w:val="1"/>
          <w:bCs w:val="1"/>
          <w:color w:val="auto"/>
        </w:rPr>
      </w:pPr>
    </w:p>
    <w:p>
      <w:pPr>
        <w:jc w:val="both"/>
        <w:ind w:left="1780"/>
        <w:spacing w:after="0" w:line="274" w:lineRule="auto"/>
        <w:rPr>
          <w:rFonts w:ascii="Arial" w:cs="Arial" w:eastAsia="Arial" w:hAnsi="Arial"/>
          <w:sz w:val="17"/>
          <w:szCs w:val="17"/>
          <w:b w:val="1"/>
          <w:bCs w:val="1"/>
          <w:color w:val="auto"/>
        </w:rPr>
      </w:pPr>
      <w:r>
        <w:rPr>
          <w:rFonts w:ascii="Arial" w:cs="Arial" w:eastAsia="Arial" w:hAnsi="Arial"/>
          <w:sz w:val="16"/>
          <w:szCs w:val="16"/>
          <w:color w:val="auto"/>
        </w:rPr>
        <w:t>The Company accounts for income taxes using an asset and liability approach as prescribed in ASC 740-10 “Income Taxes” (“ASC 740-10”). This topic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 In November 2015, the FASB issued ASU 2015-17 “Balance Sheet Classification of Deferred Taxes”. ASU 2015-17 simplifies the presentation of deferred income taxes such that deferred tax assets and liabilities, as well as any related valuation allowance, be classified as noncurrent in a classified statement of financial position. The Company adopted the ASU as of the first quarter of 2017. The Company adopted the ASU prospectively such that previous years balances were not reclassified.</w:t>
      </w:r>
    </w:p>
    <w:p>
      <w:pPr>
        <w:spacing w:after="0" w:line="171" w:lineRule="exact"/>
        <w:rPr>
          <w:rFonts w:ascii="Arial" w:cs="Arial" w:eastAsia="Arial" w:hAnsi="Arial"/>
          <w:sz w:val="17"/>
          <w:szCs w:val="17"/>
          <w:b w:val="1"/>
          <w:bCs w:val="1"/>
          <w:color w:val="auto"/>
        </w:rPr>
      </w:pPr>
    </w:p>
    <w:p>
      <w:pPr>
        <w:ind w:left="1780"/>
        <w:spacing w:after="0" w:line="311" w:lineRule="auto"/>
        <w:rPr>
          <w:rFonts w:ascii="Arial" w:cs="Arial" w:eastAsia="Arial" w:hAnsi="Arial"/>
          <w:sz w:val="17"/>
          <w:szCs w:val="17"/>
          <w:b w:val="1"/>
          <w:bCs w:val="1"/>
          <w:color w:val="auto"/>
        </w:rPr>
      </w:pPr>
      <w:r>
        <w:rPr>
          <w:rFonts w:ascii="Arial" w:cs="Arial" w:eastAsia="Arial" w:hAnsi="Arial"/>
          <w:sz w:val="16"/>
          <w:szCs w:val="16"/>
          <w:color w:val="auto"/>
        </w:rPr>
        <w:t>The Company evaluates realizability of its deferred tax assets for each jurisdiction in which the Company operates at each reporting date and establishes valuation allowances when it is more likely than not that all or a part of its deferred tax assets will not be realized.</w:t>
      </w:r>
    </w:p>
    <w:p>
      <w:pPr>
        <w:spacing w:after="0" w:line="307" w:lineRule="exact"/>
        <w:rPr>
          <w:rFonts w:ascii="Arial" w:cs="Arial" w:eastAsia="Arial" w:hAnsi="Arial"/>
          <w:sz w:val="17"/>
          <w:szCs w:val="17"/>
          <w:b w:val="1"/>
          <w:bCs w:val="1"/>
          <w:color w:val="auto"/>
        </w:rPr>
      </w:pPr>
    </w:p>
    <w:p>
      <w:pPr>
        <w:ind w:left="5620" w:hanging="92"/>
        <w:spacing w:after="0"/>
        <w:tabs>
          <w:tab w:leader="none" w:pos="5620" w:val="left"/>
        </w:tabs>
        <w:numPr>
          <w:ilvl w:val="1"/>
          <w:numId w:val="7"/>
        </w:numPr>
        <w:rPr>
          <w:rFonts w:ascii="Arial" w:cs="Arial" w:eastAsia="Arial" w:hAnsi="Arial"/>
          <w:sz w:val="17"/>
          <w:szCs w:val="17"/>
          <w:color w:val="auto"/>
        </w:rPr>
      </w:pPr>
      <w:r>
        <w:rPr>
          <w:rFonts w:ascii="Arial" w:cs="Arial" w:eastAsia="Arial" w:hAnsi="Arial"/>
          <w:sz w:val="17"/>
          <w:szCs w:val="17"/>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120" w:val="left"/>
          <w:tab w:leader="none" w:pos="142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7"/>
          <w:szCs w:val="17"/>
          <w:b w:val="1"/>
          <w:bCs w:val="1"/>
          <w:color w:val="auto"/>
        </w:rPr>
        <w:t>-</w:t>
        <w:tab/>
        <w:t>SUMMARY OF SIGNIFICANT ACCOUNTING POLICIES (cont.)</w:t>
      </w:r>
    </w:p>
    <w:p>
      <w:pPr>
        <w:spacing w:after="0" w:line="280" w:lineRule="exact"/>
        <w:rPr>
          <w:sz w:val="20"/>
          <w:szCs w:val="20"/>
          <w:color w:val="auto"/>
        </w:rPr>
      </w:pPr>
    </w:p>
    <w:p>
      <w:pPr>
        <w:ind w:left="1780" w:hanging="542"/>
        <w:spacing w:after="0"/>
        <w:tabs>
          <w:tab w:leader="none" w:pos="17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 (cont.)</w:t>
      </w:r>
    </w:p>
    <w:p>
      <w:pPr>
        <w:spacing w:after="0" w:line="273" w:lineRule="exact"/>
        <w:rPr>
          <w:rFonts w:ascii="Arial" w:cs="Arial" w:eastAsia="Arial" w:hAnsi="Arial"/>
          <w:sz w:val="17"/>
          <w:szCs w:val="17"/>
          <w:b w:val="1"/>
          <w:bCs w:val="1"/>
          <w:color w:val="auto"/>
        </w:rPr>
      </w:pPr>
    </w:p>
    <w:p>
      <w:pPr>
        <w:jc w:val="both"/>
        <w:ind w:left="178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projected future taxable income. In circumstances where there is sufficient negative evidence indicating that the Company's deferred tax assets are not more-likely-than-not realizable, the Company establishes a valuation allowance, see Note 19E and 19F.</w:t>
      </w:r>
    </w:p>
    <w:p>
      <w:pPr>
        <w:spacing w:after="0" w:line="231" w:lineRule="exact"/>
        <w:rPr>
          <w:rFonts w:ascii="Arial" w:cs="Arial" w:eastAsia="Arial" w:hAnsi="Arial"/>
          <w:sz w:val="17"/>
          <w:szCs w:val="17"/>
          <w:b w:val="1"/>
          <w:bCs w:val="1"/>
          <w:color w:val="auto"/>
        </w:rPr>
      </w:pPr>
    </w:p>
    <w:p>
      <w:pPr>
        <w:jc w:val="both"/>
        <w:ind w:left="1780"/>
        <w:spacing w:after="0" w:line="275" w:lineRule="auto"/>
        <w:rPr>
          <w:rFonts w:ascii="Arial" w:cs="Arial" w:eastAsia="Arial" w:hAnsi="Arial"/>
          <w:sz w:val="17"/>
          <w:szCs w:val="17"/>
          <w:b w:val="1"/>
          <w:bCs w:val="1"/>
          <w:color w:val="auto"/>
        </w:rPr>
      </w:pPr>
      <w:r>
        <w:rPr>
          <w:rFonts w:ascii="Arial" w:cs="Arial" w:eastAsia="Arial" w:hAnsi="Arial"/>
          <w:sz w:val="16"/>
          <w:szCs w:val="16"/>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216" w:lineRule="exact"/>
        <w:rPr>
          <w:rFonts w:ascii="Arial" w:cs="Arial" w:eastAsia="Arial" w:hAnsi="Arial"/>
          <w:sz w:val="17"/>
          <w:szCs w:val="17"/>
          <w:b w:val="1"/>
          <w:bCs w:val="1"/>
          <w:color w:val="auto"/>
        </w:rPr>
      </w:pPr>
    </w:p>
    <w:p>
      <w:pPr>
        <w:ind w:left="1780" w:hanging="542"/>
        <w:spacing w:after="0"/>
        <w:tabs>
          <w:tab w:leader="none" w:pos="17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Earnings (Loss) Per Ordinary Share</w:t>
      </w:r>
    </w:p>
    <w:p>
      <w:pPr>
        <w:spacing w:after="0" w:line="273" w:lineRule="exact"/>
        <w:rPr>
          <w:rFonts w:ascii="Arial" w:cs="Arial" w:eastAsia="Arial" w:hAnsi="Arial"/>
          <w:sz w:val="17"/>
          <w:szCs w:val="17"/>
          <w:b w:val="1"/>
          <w:bCs w:val="1"/>
          <w:color w:val="auto"/>
        </w:rPr>
      </w:pPr>
    </w:p>
    <w:p>
      <w:pPr>
        <w:jc w:val="both"/>
        <w:ind w:left="1780"/>
        <w:spacing w:after="0" w:line="282" w:lineRule="auto"/>
        <w:rPr>
          <w:rFonts w:ascii="Arial" w:cs="Arial" w:eastAsia="Arial" w:hAnsi="Arial"/>
          <w:sz w:val="17"/>
          <w:szCs w:val="17"/>
          <w:b w:val="1"/>
          <w:bCs w:val="1"/>
          <w:color w:val="auto"/>
        </w:rPr>
      </w:pPr>
      <w:r>
        <w:rPr>
          <w:rFonts w:ascii="Arial" w:cs="Arial" w:eastAsia="Arial" w:hAnsi="Arial"/>
          <w:sz w:val="16"/>
          <w:szCs w:val="16"/>
          <w:color w:val="auto"/>
        </w:rPr>
        <w:t>Basic earnings (loss) per share are calculated in accordance with ASC 260, “Earnings Per Share” ("ASC 260") by dividing profit or loss attributable to ordinary equity holders of Tower (the numerator) by the weighted average number of ordinary shares outstanding during the reported period (the denominator). Diluted earnings per share are calculated, if applicable, by adjusting profit attributable to ordinary equity holders of Tower, and the weighted average number of ordinary shares, taking into effect all potential dilutive ordinary shares.</w:t>
      </w:r>
    </w:p>
    <w:p>
      <w:pPr>
        <w:spacing w:after="0" w:line="209" w:lineRule="exact"/>
        <w:rPr>
          <w:rFonts w:ascii="Arial" w:cs="Arial" w:eastAsia="Arial" w:hAnsi="Arial"/>
          <w:sz w:val="17"/>
          <w:szCs w:val="17"/>
          <w:b w:val="1"/>
          <w:bCs w:val="1"/>
          <w:color w:val="auto"/>
        </w:rPr>
      </w:pPr>
    </w:p>
    <w:p>
      <w:pPr>
        <w:ind w:left="1780" w:hanging="542"/>
        <w:spacing w:after="0"/>
        <w:tabs>
          <w:tab w:leader="none" w:pos="17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Comprehensive Income (Loss)</w:t>
      </w:r>
    </w:p>
    <w:p>
      <w:pPr>
        <w:spacing w:after="0" w:line="273" w:lineRule="exact"/>
        <w:rPr>
          <w:rFonts w:ascii="Arial" w:cs="Arial" w:eastAsia="Arial" w:hAnsi="Arial"/>
          <w:sz w:val="17"/>
          <w:szCs w:val="17"/>
          <w:b w:val="1"/>
          <w:bCs w:val="1"/>
          <w:color w:val="auto"/>
        </w:rPr>
      </w:pPr>
    </w:p>
    <w:p>
      <w:pPr>
        <w:jc w:val="both"/>
        <w:ind w:left="1780"/>
        <w:spacing w:after="0" w:line="306" w:lineRule="auto"/>
        <w:rPr>
          <w:rFonts w:ascii="Arial" w:cs="Arial" w:eastAsia="Arial" w:hAnsi="Arial"/>
          <w:sz w:val="17"/>
          <w:szCs w:val="17"/>
          <w:b w:val="1"/>
          <w:bCs w:val="1"/>
          <w:color w:val="auto"/>
        </w:rPr>
      </w:pPr>
      <w:r>
        <w:rPr>
          <w:rFonts w:ascii="Arial" w:cs="Arial" w:eastAsia="Arial" w:hAnsi="Arial"/>
          <w:sz w:val="15"/>
          <w:szCs w:val="15"/>
          <w:color w:val="auto"/>
        </w:rPr>
        <w:t>In accordance with ASC 220 “Comprehensive Income” ("ASC 220"), 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(“OCI”) represents gains and losses that are included in comprehensive income but excluded from net income.</w:t>
      </w:r>
    </w:p>
    <w:p>
      <w:pPr>
        <w:spacing w:after="0" w:line="110" w:lineRule="exact"/>
        <w:rPr>
          <w:rFonts w:ascii="Arial" w:cs="Arial" w:eastAsia="Arial" w:hAnsi="Arial"/>
          <w:sz w:val="17"/>
          <w:szCs w:val="17"/>
          <w:b w:val="1"/>
          <w:bCs w:val="1"/>
          <w:color w:val="auto"/>
        </w:rPr>
      </w:pPr>
    </w:p>
    <w:p>
      <w:pPr>
        <w:ind w:left="5620" w:hanging="92"/>
        <w:spacing w:after="0"/>
        <w:tabs>
          <w:tab w:leader="none" w:pos="5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120" w:val="left"/>
          <w:tab w:leader="none" w:pos="142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7"/>
          <w:szCs w:val="17"/>
          <w:b w:val="1"/>
          <w:bCs w:val="1"/>
          <w:color w:val="auto"/>
        </w:rPr>
        <w:t>-</w:t>
        <w:tab/>
        <w:t>SUMMARY OF SIGNIFICANT ACCOUNTING POLICIES (cont.)</w:t>
      </w:r>
    </w:p>
    <w:p>
      <w:pPr>
        <w:spacing w:after="0" w:line="280" w:lineRule="exact"/>
        <w:rPr>
          <w:sz w:val="20"/>
          <w:szCs w:val="20"/>
          <w:color w:val="auto"/>
        </w:rPr>
      </w:pPr>
    </w:p>
    <w:p>
      <w:pPr>
        <w:ind w:left="1780" w:hanging="542"/>
        <w:spacing w:after="0"/>
        <w:tabs>
          <w:tab w:leader="none" w:pos="17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Functional Currency and Exchange Rate Income (Loss)</w:t>
      </w:r>
    </w:p>
    <w:p>
      <w:pPr>
        <w:spacing w:after="0" w:line="273" w:lineRule="exact"/>
        <w:rPr>
          <w:rFonts w:ascii="Arial" w:cs="Arial" w:eastAsia="Arial" w:hAnsi="Arial"/>
          <w:sz w:val="17"/>
          <w:szCs w:val="17"/>
          <w:b w:val="1"/>
          <w:bCs w:val="1"/>
          <w:color w:val="auto"/>
        </w:rPr>
      </w:pPr>
    </w:p>
    <w:p>
      <w:pPr>
        <w:jc w:val="both"/>
        <w:ind w:left="1780"/>
        <w:spacing w:after="0" w:line="256" w:lineRule="auto"/>
        <w:rPr>
          <w:rFonts w:ascii="Arial" w:cs="Arial" w:eastAsia="Arial" w:hAnsi="Arial"/>
          <w:sz w:val="17"/>
          <w:szCs w:val="17"/>
          <w:b w:val="1"/>
          <w:bCs w:val="1"/>
          <w:color w:val="auto"/>
        </w:rPr>
      </w:pPr>
      <w:r>
        <w:rPr>
          <w:rFonts w:ascii="Arial" w:cs="Arial" w:eastAsia="Arial" w:hAnsi="Arial"/>
          <w:sz w:val="17"/>
          <w:szCs w:val="17"/>
          <w:color w:val="auto"/>
        </w:rPr>
        <w:t>The currency of the primary economic environment in which Tower, TJT and Jazz conduct their operations is the U.S. Dollar (“dollar”). Thus, the dollar is their functional and reporting currency. Accordingly, monetary accounts maintained in currencies other than the dollar are re-measured into dollars in accordance with ASC 830-10 “Foreign Currency Matters”.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 The statement of operations of TPSCo has been translated using the average exchange rate for the reported period. The resulting translation adjustments are charged or credited to OCI.</w:t>
      </w:r>
    </w:p>
    <w:p>
      <w:pPr>
        <w:spacing w:after="0" w:line="229" w:lineRule="exact"/>
        <w:rPr>
          <w:rFonts w:ascii="Arial" w:cs="Arial" w:eastAsia="Arial" w:hAnsi="Arial"/>
          <w:sz w:val="17"/>
          <w:szCs w:val="17"/>
          <w:b w:val="1"/>
          <w:bCs w:val="1"/>
          <w:color w:val="auto"/>
        </w:rPr>
      </w:pPr>
    </w:p>
    <w:p>
      <w:pPr>
        <w:ind w:left="1780" w:hanging="542"/>
        <w:spacing w:after="0"/>
        <w:tabs>
          <w:tab w:leader="none" w:pos="17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273" w:lineRule="exact"/>
        <w:rPr>
          <w:rFonts w:ascii="Arial" w:cs="Arial" w:eastAsia="Arial" w:hAnsi="Arial"/>
          <w:sz w:val="17"/>
          <w:szCs w:val="17"/>
          <w:b w:val="1"/>
          <w:bCs w:val="1"/>
          <w:color w:val="auto"/>
        </w:rPr>
      </w:pPr>
    </w:p>
    <w:p>
      <w:pPr>
        <w:jc w:val="both"/>
        <w:ind w:left="178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The Company applies the provisions of ASC Topic 718 “Compensation - Stock Compensation”, under which employees’ share-based equity awards are accounted for under the fair value method. Accordingly, stock-based compensation granted to employees and directors is measured at the grant date, based on the fair value of the grant. The Company uses the straight-line attribution method to recognize stock-based compensation costs over the vesting period of the grant, except for grants that involve performance criteria, for which an accelerated method is used.</w:t>
      </w:r>
    </w:p>
    <w:p>
      <w:pPr>
        <w:spacing w:after="0" w:line="225" w:lineRule="exact"/>
        <w:rPr>
          <w:rFonts w:ascii="Arial" w:cs="Arial" w:eastAsia="Arial" w:hAnsi="Arial"/>
          <w:sz w:val="17"/>
          <w:szCs w:val="17"/>
          <w:b w:val="1"/>
          <w:bCs w:val="1"/>
          <w:color w:val="auto"/>
        </w:rPr>
      </w:pPr>
    </w:p>
    <w:p>
      <w:pPr>
        <w:ind w:left="1780" w:hanging="542"/>
        <w:spacing w:after="0"/>
        <w:tabs>
          <w:tab w:leader="none" w:pos="17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Impairment of Assets</w:t>
      </w:r>
    </w:p>
    <w:p>
      <w:pPr>
        <w:spacing w:after="0" w:line="273"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Impairment of Property, Equipment and Intangible Assets</w:t>
      </w:r>
    </w:p>
    <w:p>
      <w:pPr>
        <w:spacing w:after="0" w:line="21" w:lineRule="exact"/>
        <w:rPr>
          <w:rFonts w:ascii="Arial" w:cs="Arial" w:eastAsia="Arial" w:hAnsi="Arial"/>
          <w:sz w:val="17"/>
          <w:szCs w:val="17"/>
          <w:b w:val="1"/>
          <w:bCs w:val="1"/>
          <w:color w:val="auto"/>
        </w:rPr>
      </w:pPr>
    </w:p>
    <w:p>
      <w:pPr>
        <w:jc w:val="both"/>
        <w:ind w:left="178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reviews long-lived assets and intangible assets on a periodic basis, as well as when such a review is required based upon relevant circumstances, to determine whether events or changes in circumstances indicate that the carrying amount of such assets may not be recoverable, considering the undiscounted cash flows expected from it. If applicable, the Company recognizes an impairment loss based upon the difference between the carrying amount and the fair value of such assets, in accordance with ASC 360-10 “Property, Plant and Equipment”.</w:t>
      </w:r>
    </w:p>
    <w:p>
      <w:pPr>
        <w:spacing w:after="0" w:line="236"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Impairment of Goodwill</w:t>
      </w:r>
    </w:p>
    <w:p>
      <w:pPr>
        <w:spacing w:after="0" w:line="21" w:lineRule="exact"/>
        <w:rPr>
          <w:rFonts w:ascii="Arial" w:cs="Arial" w:eastAsia="Arial" w:hAnsi="Arial"/>
          <w:sz w:val="17"/>
          <w:szCs w:val="17"/>
          <w:b w:val="1"/>
          <w:bCs w:val="1"/>
          <w:color w:val="auto"/>
        </w:rPr>
      </w:pPr>
    </w:p>
    <w:p>
      <w:pPr>
        <w:jc w:val="both"/>
        <w:ind w:left="178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evaluates goodwill qualitatively for impairment at least annually or whenever an event occurs or circumstances change that would more likely than not reduce the fair value of a reporting unit below its carrying amount. If the Company determines that a quantitative analysis is necessary, the impairment test for goodwill is currently a two-step process. Step one consists of a comparison of the fair value of a reporting unit against its carrying amount, including the goodwill allocated to each reporting unit. If the carrying amount of the reporting unit is in excess of its fair value, step two requires the comparison.</w:t>
      </w:r>
    </w:p>
    <w:p>
      <w:pPr>
        <w:spacing w:after="0" w:line="236"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Any excess of the carrying value of the reporting unit’s goodwill over the implied fair value of the reporting unit’s goodwill is recorded as an impairment loss.</w:t>
      </w:r>
    </w:p>
    <w:p>
      <w:pPr>
        <w:spacing w:after="0" w:line="125" w:lineRule="exact"/>
        <w:rPr>
          <w:rFonts w:ascii="Arial" w:cs="Arial" w:eastAsia="Arial" w:hAnsi="Arial"/>
          <w:sz w:val="17"/>
          <w:szCs w:val="17"/>
          <w:b w:val="1"/>
          <w:bCs w:val="1"/>
          <w:color w:val="auto"/>
        </w:rPr>
      </w:pPr>
    </w:p>
    <w:p>
      <w:pPr>
        <w:ind w:left="5620" w:hanging="92"/>
        <w:spacing w:after="0"/>
        <w:tabs>
          <w:tab w:leader="none" w:pos="5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38" w:lineRule="exact"/>
        <w:rPr>
          <w:sz w:val="20"/>
          <w:szCs w:val="20"/>
          <w:color w:val="auto"/>
        </w:rPr>
      </w:pPr>
    </w:p>
    <w:p>
      <w:pPr>
        <w:spacing w:after="0"/>
        <w:tabs>
          <w:tab w:leader="none" w:pos="1120" w:val="left"/>
          <w:tab w:leader="none" w:pos="142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7"/>
          <w:szCs w:val="17"/>
          <w:b w:val="1"/>
          <w:bCs w:val="1"/>
          <w:color w:val="auto"/>
        </w:rPr>
        <w:t>-</w:t>
        <w:tab/>
        <w:t>SUMMARY OF SIGNIFICANT ACCOUNTING POLICIES (cont.)</w:t>
      </w:r>
    </w:p>
    <w:p>
      <w:pPr>
        <w:spacing w:after="0" w:line="280" w:lineRule="exact"/>
        <w:rPr>
          <w:sz w:val="20"/>
          <w:szCs w:val="20"/>
          <w:color w:val="auto"/>
        </w:rPr>
      </w:pPr>
    </w:p>
    <w:p>
      <w:pPr>
        <w:ind w:left="1780" w:hanging="542"/>
        <w:spacing w:after="0"/>
        <w:tabs>
          <w:tab w:leader="none" w:pos="178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Impairment of Assets (cont.)</w:t>
      </w:r>
    </w:p>
    <w:p>
      <w:pPr>
        <w:spacing w:after="0" w:line="273" w:lineRule="exact"/>
        <w:rPr>
          <w:rFonts w:ascii="Arial" w:cs="Arial" w:eastAsia="Arial" w:hAnsi="Arial"/>
          <w:sz w:val="17"/>
          <w:szCs w:val="17"/>
          <w:b w:val="1"/>
          <w:bCs w:val="1"/>
          <w:color w:val="auto"/>
        </w:rPr>
      </w:pPr>
    </w:p>
    <w:p>
      <w:pPr>
        <w:ind w:left="1780"/>
        <w:spacing w:after="0" w:line="311" w:lineRule="auto"/>
        <w:rPr>
          <w:rFonts w:ascii="Arial" w:cs="Arial" w:eastAsia="Arial" w:hAnsi="Arial"/>
          <w:sz w:val="17"/>
          <w:szCs w:val="17"/>
          <w:b w:val="1"/>
          <w:bCs w:val="1"/>
          <w:color w:val="auto"/>
        </w:rPr>
      </w:pPr>
      <w:r>
        <w:rPr>
          <w:rFonts w:ascii="Arial" w:cs="Arial" w:eastAsia="Arial" w:hAnsi="Arial"/>
          <w:sz w:val="16"/>
          <w:szCs w:val="16"/>
          <w:color w:val="auto"/>
        </w:rPr>
        <w:t>The Company uses the income approach methodology of valuation that includes discounted cash flows to determine the fair value of the unit. Significant management judgment is required in the forecasts of future operating results used for this methodology.</w:t>
      </w:r>
    </w:p>
    <w:p>
      <w:pPr>
        <w:spacing w:after="0" w:line="186" w:lineRule="exact"/>
        <w:rPr>
          <w:rFonts w:ascii="Arial" w:cs="Arial" w:eastAsia="Arial" w:hAnsi="Arial"/>
          <w:sz w:val="17"/>
          <w:szCs w:val="17"/>
          <w:b w:val="1"/>
          <w:bCs w:val="1"/>
          <w:color w:val="auto"/>
        </w:rPr>
      </w:pPr>
    </w:p>
    <w:p>
      <w:pPr>
        <w:ind w:left="1780" w:hanging="542"/>
        <w:spacing w:after="0"/>
        <w:tabs>
          <w:tab w:leader="none" w:pos="178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 and Fair Value Measurements</w:t>
      </w:r>
    </w:p>
    <w:p>
      <w:pPr>
        <w:spacing w:after="0" w:line="273" w:lineRule="exact"/>
        <w:rPr>
          <w:rFonts w:ascii="Arial" w:cs="Arial" w:eastAsia="Arial" w:hAnsi="Arial"/>
          <w:sz w:val="17"/>
          <w:szCs w:val="17"/>
          <w:b w:val="1"/>
          <w:bCs w:val="1"/>
          <w:color w:val="auto"/>
        </w:rPr>
      </w:pPr>
    </w:p>
    <w:p>
      <w:pPr>
        <w:jc w:val="both"/>
        <w:ind w:left="178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ASC 820, "Fair Value Measurements and Disclosures",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ASC 820 prioritizes the inputs into three levels that may be used to measure fair value:</w:t>
      </w:r>
    </w:p>
    <w:p>
      <w:pPr>
        <w:spacing w:after="0" w:line="231"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Level 1</w:t>
      </w:r>
    </w:p>
    <w:p>
      <w:pPr>
        <w:spacing w:after="0" w:line="267"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Level 1 applies to assets or liabilities for which there are quoted prices in active markets for identical assets or liabilities.</w:t>
      </w:r>
    </w:p>
    <w:p>
      <w:pPr>
        <w:spacing w:after="0" w:line="216"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Level 2</w:t>
      </w:r>
    </w:p>
    <w:p>
      <w:pPr>
        <w:spacing w:after="0" w:line="267"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8"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Level 3</w:t>
      </w:r>
    </w:p>
    <w:p>
      <w:pPr>
        <w:spacing w:after="0" w:line="267"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Level 3 applies to assets or liabilities for which there are unobservable inputs to the valuation methodology that are significant to the measurement of the fair value of the assets or liabilities.</w:t>
      </w:r>
    </w:p>
    <w:p>
      <w:pPr>
        <w:spacing w:after="0" w:line="164" w:lineRule="exact"/>
        <w:rPr>
          <w:rFonts w:ascii="Arial" w:cs="Arial" w:eastAsia="Arial" w:hAnsi="Arial"/>
          <w:sz w:val="17"/>
          <w:szCs w:val="17"/>
          <w:b w:val="1"/>
          <w:bCs w:val="1"/>
          <w:color w:val="auto"/>
        </w:rPr>
      </w:pPr>
    </w:p>
    <w:p>
      <w:pPr>
        <w:jc w:val="both"/>
        <w:ind w:left="1780"/>
        <w:spacing w:after="0" w:line="282" w:lineRule="auto"/>
        <w:rPr>
          <w:rFonts w:ascii="Arial" w:cs="Arial" w:eastAsia="Arial" w:hAnsi="Arial"/>
          <w:sz w:val="17"/>
          <w:szCs w:val="17"/>
          <w:b w:val="1"/>
          <w:bCs w:val="1"/>
          <w:color w:val="auto"/>
        </w:rPr>
      </w:pPr>
      <w:r>
        <w:rPr>
          <w:rFonts w:ascii="Arial" w:cs="Arial" w:eastAsia="Arial" w:hAnsi="Arial"/>
          <w:sz w:val="16"/>
          <w:szCs w:val="16"/>
          <w:color w:val="auto"/>
        </w:rPr>
        <w:t>The Company's financial instruments of cash, bank deposits, account receivable and payables, accrued liabilities, loans and leases approximate their current fair values because of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w:t>
      </w:r>
    </w:p>
    <w:p>
      <w:pPr>
        <w:spacing w:after="0" w:line="331" w:lineRule="exact"/>
        <w:rPr>
          <w:rFonts w:ascii="Arial" w:cs="Arial" w:eastAsia="Arial" w:hAnsi="Arial"/>
          <w:sz w:val="17"/>
          <w:szCs w:val="17"/>
          <w:b w:val="1"/>
          <w:bCs w:val="1"/>
          <w:color w:val="auto"/>
        </w:rPr>
      </w:pPr>
    </w:p>
    <w:p>
      <w:pPr>
        <w:ind w:left="5620" w:hanging="92"/>
        <w:spacing w:after="0"/>
        <w:tabs>
          <w:tab w:leader="none" w:pos="56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120" w:val="left"/>
          <w:tab w:leader="none" w:pos="142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7"/>
          <w:szCs w:val="17"/>
          <w:b w:val="1"/>
          <w:bCs w:val="1"/>
          <w:color w:val="auto"/>
        </w:rPr>
        <w:t>-</w:t>
        <w:tab/>
        <w:t>SUMMARY OF SIGNIFICANT ACCOUNTING POLICIES (cont.)</w:t>
      </w:r>
    </w:p>
    <w:p>
      <w:pPr>
        <w:spacing w:after="0" w:line="280" w:lineRule="exact"/>
        <w:rPr>
          <w:sz w:val="20"/>
          <w:szCs w:val="20"/>
          <w:color w:val="auto"/>
        </w:rPr>
      </w:pPr>
    </w:p>
    <w:p>
      <w:pPr>
        <w:ind w:left="1780" w:hanging="542"/>
        <w:spacing w:after="0"/>
        <w:tabs>
          <w:tab w:leader="none" w:pos="178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Derivatives and hedging</w:t>
      </w:r>
    </w:p>
    <w:p>
      <w:pPr>
        <w:spacing w:after="0" w:line="274" w:lineRule="exact"/>
        <w:rPr>
          <w:sz w:val="20"/>
          <w:szCs w:val="20"/>
          <w:color w:val="auto"/>
        </w:rPr>
      </w:pPr>
    </w:p>
    <w:p>
      <w:pPr>
        <w:jc w:val="both"/>
        <w:ind w:left="1820"/>
        <w:spacing w:after="0" w:line="278" w:lineRule="auto"/>
        <w:rPr>
          <w:sz w:val="20"/>
          <w:szCs w:val="20"/>
          <w:color w:val="auto"/>
        </w:rPr>
      </w:pPr>
      <w:r>
        <w:rPr>
          <w:rFonts w:ascii="Arial" w:cs="Arial" w:eastAsia="Arial" w:hAnsi="Arial"/>
          <w:sz w:val="17"/>
          <w:szCs w:val="17"/>
          <w:color w:val="auto"/>
        </w:rPr>
        <w:t>Derivative instruments are recognized as either assets or liabilities and are measured at fair value. The accounting for changes in the fair value of a derivative depends on the intended use of the derivative and the resulting designation.</w:t>
      </w:r>
    </w:p>
    <w:p>
      <w:pPr>
        <w:spacing w:after="0" w:line="216" w:lineRule="exact"/>
        <w:rPr>
          <w:sz w:val="20"/>
          <w:szCs w:val="20"/>
          <w:color w:val="auto"/>
        </w:rPr>
      </w:pPr>
    </w:p>
    <w:p>
      <w:pPr>
        <w:jc w:val="both"/>
        <w:ind w:left="1820"/>
        <w:spacing w:after="0" w:line="278" w:lineRule="auto"/>
        <w:rPr>
          <w:sz w:val="20"/>
          <w:szCs w:val="20"/>
          <w:color w:val="auto"/>
        </w:rPr>
      </w:pPr>
      <w:r>
        <w:rPr>
          <w:rFonts w:ascii="Arial" w:cs="Arial" w:eastAsia="Arial" w:hAnsi="Arial"/>
          <w:sz w:val="17"/>
          <w:szCs w:val="17"/>
          <w:color w:val="auto"/>
        </w:rPr>
        <w:t>For derivative instruments designated as fair value hedges, the gains (losses) are recognized in earnings in the periods of change together with the offsetting losses (gains) on the hedged items attributed to the risk being hedged.</w:t>
      </w:r>
    </w:p>
    <w:p>
      <w:pPr>
        <w:spacing w:after="0" w:line="216" w:lineRule="exact"/>
        <w:rPr>
          <w:sz w:val="20"/>
          <w:szCs w:val="20"/>
          <w:color w:val="auto"/>
        </w:rPr>
      </w:pPr>
    </w:p>
    <w:p>
      <w:pPr>
        <w:jc w:val="both"/>
        <w:ind w:left="1820"/>
        <w:spacing w:after="0" w:line="261" w:lineRule="auto"/>
        <w:rPr>
          <w:sz w:val="20"/>
          <w:szCs w:val="20"/>
          <w:color w:val="auto"/>
        </w:rPr>
      </w:pPr>
      <w:r>
        <w:rPr>
          <w:rFonts w:ascii="Arial" w:cs="Arial" w:eastAsia="Arial" w:hAnsi="Arial"/>
          <w:sz w:val="17"/>
          <w:szCs w:val="17"/>
          <w:color w:val="auto"/>
        </w:rPr>
        <w:t>For derivative instruments designated as cash flow hedges, the effective portion of the gains (losses) on the derivatives is initially reported as a component of OCI and is subsequently recognized in earnings when the hedged exposure is recognized in earnings. Gains (losses) on derivatives representing either hedge components excluded from the assessment of effectiveness or hedge ineffectiveness are recognized in earnings.</w:t>
      </w:r>
    </w:p>
    <w:p>
      <w:pPr>
        <w:spacing w:after="0" w:line="230" w:lineRule="exact"/>
        <w:rPr>
          <w:sz w:val="20"/>
          <w:szCs w:val="20"/>
          <w:color w:val="auto"/>
        </w:rPr>
      </w:pPr>
    </w:p>
    <w:p>
      <w:pPr>
        <w:jc w:val="both"/>
        <w:ind w:left="1820"/>
        <w:spacing w:after="0" w:line="278" w:lineRule="auto"/>
        <w:rPr>
          <w:sz w:val="20"/>
          <w:szCs w:val="20"/>
          <w:color w:val="auto"/>
        </w:rPr>
      </w:pPr>
      <w:r>
        <w:rPr>
          <w:rFonts w:ascii="Arial" w:cs="Arial" w:eastAsia="Arial" w:hAnsi="Arial"/>
          <w:sz w:val="17"/>
          <w:szCs w:val="17"/>
          <w:color w:val="auto"/>
        </w:rPr>
        <w:t>For derivative instruments that are not designated as hedges, gains (losses) from changes in fair values are primarily recognized in the same line of the item economically hedged.</w:t>
      </w:r>
    </w:p>
    <w:p>
      <w:pPr>
        <w:spacing w:after="0" w:line="210" w:lineRule="exact"/>
        <w:rPr>
          <w:sz w:val="20"/>
          <w:szCs w:val="20"/>
          <w:color w:val="auto"/>
        </w:rPr>
      </w:pPr>
    </w:p>
    <w:p>
      <w:pPr>
        <w:ind w:left="1780" w:hanging="542"/>
        <w:spacing w:after="0"/>
        <w:tabs>
          <w:tab w:leader="none" w:pos="178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Reclassification and Presentation</w:t>
      </w:r>
    </w:p>
    <w:p>
      <w:pPr>
        <w:spacing w:after="0" w:line="273"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Certain amounts in prior years’ financial statements have been reclassified in order to conform to the 2017 presentation.</w:t>
      </w:r>
    </w:p>
    <w:p>
      <w:pPr>
        <w:spacing w:after="0" w:line="261" w:lineRule="exact"/>
        <w:rPr>
          <w:rFonts w:ascii="Arial" w:cs="Arial" w:eastAsia="Arial" w:hAnsi="Arial"/>
          <w:sz w:val="17"/>
          <w:szCs w:val="17"/>
          <w:b w:val="1"/>
          <w:bCs w:val="1"/>
          <w:color w:val="auto"/>
        </w:rPr>
      </w:pPr>
    </w:p>
    <w:p>
      <w:pPr>
        <w:ind w:left="1780" w:hanging="542"/>
        <w:spacing w:after="0"/>
        <w:tabs>
          <w:tab w:leader="none" w:pos="178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Recently Issued Accounting Pronouncements</w:t>
      </w:r>
    </w:p>
    <w:p>
      <w:pPr>
        <w:spacing w:after="0" w:line="273" w:lineRule="exact"/>
        <w:rPr>
          <w:rFonts w:ascii="Arial" w:cs="Arial" w:eastAsia="Arial" w:hAnsi="Arial"/>
          <w:sz w:val="17"/>
          <w:szCs w:val="17"/>
          <w:b w:val="1"/>
          <w:bCs w:val="1"/>
          <w:color w:val="auto"/>
        </w:rPr>
      </w:pPr>
    </w:p>
    <w:p>
      <w:pPr>
        <w:jc w:val="both"/>
        <w:ind w:left="1780"/>
        <w:spacing w:after="0" w:line="259" w:lineRule="auto"/>
        <w:rPr>
          <w:rFonts w:ascii="Arial" w:cs="Arial" w:eastAsia="Arial" w:hAnsi="Arial"/>
          <w:sz w:val="17"/>
          <w:szCs w:val="17"/>
          <w:b w:val="1"/>
          <w:bCs w:val="1"/>
          <w:color w:val="auto"/>
        </w:rPr>
      </w:pPr>
      <w:r>
        <w:rPr>
          <w:rFonts w:ascii="Arial" w:cs="Arial" w:eastAsia="Arial" w:hAnsi="Arial"/>
          <w:sz w:val="17"/>
          <w:szCs w:val="17"/>
          <w:i w:val="1"/>
          <w:iCs w:val="1"/>
          <w:color w:val="auto"/>
        </w:rPr>
        <w:t>In May 2014, the Financial Accounting Standards Board ("FASB") amended the existing accounting standards for revenue recognition in Accounting Standards Update (“ASU”) 2014-09 “Revenue from Contracts with Customers”</w:t>
      </w:r>
      <w:r>
        <w:rPr>
          <w:rFonts w:ascii="Arial" w:cs="Arial" w:eastAsia="Arial" w:hAnsi="Arial"/>
          <w:sz w:val="17"/>
          <w:szCs w:val="17"/>
          <w:color w:val="auto"/>
        </w:rPr>
        <w:t>, which amendment has been further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several times. This standard is based on the principle that revenue should be recognized to depict the value of goods or services to customers in an amount that reflects the consideration to which the entity expects to be entitled in exchange for those goods or services if sold at the end of the calendar quarter.</w:t>
      </w:r>
    </w:p>
    <w:p>
      <w:pPr>
        <w:spacing w:after="0" w:line="231" w:lineRule="exact"/>
        <w:rPr>
          <w:rFonts w:ascii="Arial" w:cs="Arial" w:eastAsia="Arial" w:hAnsi="Arial"/>
          <w:sz w:val="17"/>
          <w:szCs w:val="17"/>
          <w:b w:val="1"/>
          <w:bCs w:val="1"/>
          <w:color w:val="auto"/>
        </w:rPr>
      </w:pPr>
    </w:p>
    <w:p>
      <w:pPr>
        <w:ind w:left="1780"/>
        <w:spacing w:after="0" w:line="311" w:lineRule="auto"/>
        <w:rPr>
          <w:rFonts w:ascii="Arial" w:cs="Arial" w:eastAsia="Arial" w:hAnsi="Arial"/>
          <w:sz w:val="17"/>
          <w:szCs w:val="17"/>
          <w:b w:val="1"/>
          <w:bCs w:val="1"/>
          <w:color w:val="auto"/>
        </w:rPr>
      </w:pPr>
      <w:r>
        <w:rPr>
          <w:rFonts w:ascii="Arial" w:cs="Arial" w:eastAsia="Arial" w:hAnsi="Arial"/>
          <w:sz w:val="16"/>
          <w:szCs w:val="16"/>
          <w:color w:val="auto"/>
        </w:rPr>
        <w:t>ASU 2014-09 is effective January 1, 2018. Early adoption is permitted but not before January 1, 2017. The amendment may be applied retrospectively to each prior period presented or retrospectively with the cumulative effect recognized as of the date of initial application.</w:t>
      </w:r>
    </w:p>
    <w:p>
      <w:pPr>
        <w:spacing w:after="0" w:line="192"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The Company’s assessment did not identify a change in revenue recognition timing on most material revenues streams (mainly wafer production), for which recognition will be at a point in time upon control being transferred to the customers. The Company considered whether control over wafers in production is transferred over time, and reached to conclusion that recognition should be only at a point in time upon completion of production and delivery to customers.</w:t>
      </w:r>
    </w:p>
    <w:p>
      <w:pPr>
        <w:spacing w:after="0" w:line="230"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The Company provides its customers with other services that are immaterial in scope and/or amount. The Company does not expect any change in the recognition of such services, compared with current standards.</w:t>
      </w:r>
    </w:p>
    <w:p>
      <w:pPr>
        <w:spacing w:after="0" w:line="164"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The standard will be adopted in fiscal year 2018. The Company elected the modified retrospective approach as the transition method and expects no transition adjustment to its retained earning upon adoption.</w:t>
      </w:r>
    </w:p>
    <w:p>
      <w:pPr>
        <w:spacing w:after="0" w:line="125" w:lineRule="exact"/>
        <w:rPr>
          <w:rFonts w:ascii="Arial" w:cs="Arial" w:eastAsia="Arial" w:hAnsi="Arial"/>
          <w:sz w:val="17"/>
          <w:szCs w:val="17"/>
          <w:b w:val="1"/>
          <w:bCs w:val="1"/>
          <w:color w:val="auto"/>
        </w:rPr>
      </w:pPr>
    </w:p>
    <w:p>
      <w:pPr>
        <w:ind w:left="5620" w:hanging="92"/>
        <w:spacing w:after="0"/>
        <w:tabs>
          <w:tab w:leader="none" w:pos="56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38" w:lineRule="exact"/>
        <w:rPr>
          <w:sz w:val="20"/>
          <w:szCs w:val="20"/>
          <w:color w:val="auto"/>
        </w:rPr>
      </w:pPr>
    </w:p>
    <w:p>
      <w:pPr>
        <w:spacing w:after="0"/>
        <w:tabs>
          <w:tab w:leader="none" w:pos="1120" w:val="left"/>
          <w:tab w:leader="none" w:pos="142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7"/>
          <w:szCs w:val="17"/>
          <w:b w:val="1"/>
          <w:bCs w:val="1"/>
          <w:color w:val="auto"/>
        </w:rPr>
        <w:t>-</w:t>
        <w:tab/>
        <w:t>SUMMARY OF SIGNIFICANT ACCOUNTING POLICIES (cont.)</w:t>
      </w:r>
    </w:p>
    <w:p>
      <w:pPr>
        <w:spacing w:after="0" w:line="280" w:lineRule="exact"/>
        <w:rPr>
          <w:sz w:val="20"/>
          <w:szCs w:val="20"/>
          <w:color w:val="auto"/>
        </w:rPr>
      </w:pPr>
    </w:p>
    <w:p>
      <w:pPr>
        <w:ind w:left="1780" w:hanging="542"/>
        <w:spacing w:after="0"/>
        <w:tabs>
          <w:tab w:leader="none" w:pos="178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Recently Issued Accounting Pronouncements (cont.)</w:t>
      </w:r>
    </w:p>
    <w:p>
      <w:pPr>
        <w:spacing w:after="0" w:line="273" w:lineRule="exact"/>
        <w:rPr>
          <w:rFonts w:ascii="Arial" w:cs="Arial" w:eastAsia="Arial" w:hAnsi="Arial"/>
          <w:sz w:val="17"/>
          <w:szCs w:val="17"/>
          <w:b w:val="1"/>
          <w:bCs w:val="1"/>
          <w:color w:val="auto"/>
        </w:rPr>
      </w:pPr>
    </w:p>
    <w:p>
      <w:pPr>
        <w:jc w:val="both"/>
        <w:ind w:left="1780"/>
        <w:spacing w:after="0" w:line="301" w:lineRule="auto"/>
        <w:rPr>
          <w:rFonts w:ascii="Arial" w:cs="Arial" w:eastAsia="Arial" w:hAnsi="Arial"/>
          <w:sz w:val="17"/>
          <w:szCs w:val="17"/>
          <w:b w:val="1"/>
          <w:bCs w:val="1"/>
          <w:color w:val="auto"/>
        </w:rPr>
      </w:pPr>
      <w:r>
        <w:rPr>
          <w:rFonts w:ascii="Arial" w:cs="Arial" w:eastAsia="Arial" w:hAnsi="Arial"/>
          <w:sz w:val="15"/>
          <w:szCs w:val="15"/>
          <w:i w:val="1"/>
          <w:iCs w:val="1"/>
          <w:color w:val="auto"/>
        </w:rPr>
        <w:t xml:space="preserve">In January 2016, the FASB issued ASU 2016-01 </w:t>
      </w:r>
      <w:r>
        <w:rPr>
          <w:rFonts w:ascii="Arial" w:cs="Arial" w:eastAsia="Arial" w:hAnsi="Arial"/>
          <w:sz w:val="15"/>
          <w:szCs w:val="15"/>
          <w:color w:val="auto"/>
        </w:rPr>
        <w:t>to address certain aspects of recognition, measurement, presentation, and disclosure of</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instruments. The standard requires entities to measure equity investments that do not result in consolidation and are not accounted for under the equity method at fair value and recognize any changes in fair value in net income. The provisions under this amendment are effective January 1, 2018, and for interim periods within that year. Early adoption is not permitted. The Company is evaluating the effect of ASU 2016-01 on its consolidated financial statements but expects it would not have a material impact on its financial results.</w:t>
      </w:r>
    </w:p>
    <w:p>
      <w:pPr>
        <w:spacing w:after="0" w:line="204"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In February 2016, the FASB issued ASU 2016-02 “Leases (Topic 842)”, </w:t>
      </w:r>
      <w:r>
        <w:rPr>
          <w:rFonts w:ascii="Arial" w:cs="Arial" w:eastAsia="Arial" w:hAnsi="Arial"/>
          <w:sz w:val="17"/>
          <w:szCs w:val="17"/>
          <w:color w:val="auto"/>
        </w:rPr>
        <w:t>which primarily changes the leases accounting for operating leases</w:t>
      </w:r>
      <w:r>
        <w:rPr>
          <w:rFonts w:ascii="Arial" w:cs="Arial" w:eastAsia="Arial" w:hAnsi="Arial"/>
          <w:sz w:val="17"/>
          <w:szCs w:val="17"/>
          <w:i w:val="1"/>
          <w:iCs w:val="1"/>
          <w:color w:val="auto"/>
        </w:rPr>
        <w:t xml:space="preserve"> </w:t>
      </w:r>
      <w:r>
        <w:rPr>
          <w:rFonts w:ascii="Arial" w:cs="Arial" w:eastAsia="Arial" w:hAnsi="Arial"/>
          <w:sz w:val="17"/>
          <w:szCs w:val="17"/>
          <w:color w:val="auto"/>
        </w:rPr>
        <w:t>by requiring recognition of lease right-of-use assets and lease liabilities. The amendments are effective January 1, 2019, and for interim periods within that year, with early adoption permitted. The Company is evaluating the effect of ASU 2016-02 on its consolidated financial statements but expects it would not have a material impact on its financial results.</w:t>
      </w:r>
    </w:p>
    <w:p>
      <w:pPr>
        <w:spacing w:after="0" w:line="230" w:lineRule="exact"/>
        <w:rPr>
          <w:rFonts w:ascii="Arial" w:cs="Arial" w:eastAsia="Arial" w:hAnsi="Arial"/>
          <w:sz w:val="17"/>
          <w:szCs w:val="17"/>
          <w:b w:val="1"/>
          <w:bCs w:val="1"/>
          <w:color w:val="auto"/>
        </w:rPr>
      </w:pPr>
    </w:p>
    <w:p>
      <w:pPr>
        <w:jc w:val="both"/>
        <w:ind w:left="1780"/>
        <w:spacing w:after="0" w:line="296" w:lineRule="auto"/>
        <w:rPr>
          <w:rFonts w:ascii="Arial" w:cs="Arial" w:eastAsia="Arial" w:hAnsi="Arial"/>
          <w:sz w:val="17"/>
          <w:szCs w:val="17"/>
          <w:b w:val="1"/>
          <w:bCs w:val="1"/>
          <w:color w:val="auto"/>
        </w:rPr>
      </w:pPr>
      <w:r>
        <w:rPr>
          <w:rFonts w:ascii="Arial" w:cs="Arial" w:eastAsia="Arial" w:hAnsi="Arial"/>
          <w:sz w:val="15"/>
          <w:szCs w:val="15"/>
          <w:i w:val="1"/>
          <w:iCs w:val="1"/>
          <w:color w:val="auto"/>
        </w:rPr>
        <w:t xml:space="preserve">In June 2016, the FASB issued ASU 2016-13 “Financial Instruments Credit Losses”. </w:t>
      </w:r>
      <w:r>
        <w:rPr>
          <w:rFonts w:ascii="Arial" w:cs="Arial" w:eastAsia="Arial" w:hAnsi="Arial"/>
          <w:sz w:val="15"/>
          <w:szCs w:val="15"/>
          <w:color w:val="auto"/>
        </w:rPr>
        <w:t>This update requires a financial asset (or a group of</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assets) measured at amortized cost basis to be presented at the net amount expected to be collected. The measurement of expected credit losses is based on relevant information about past events, including historical experience, current conditions, and reasonable and supportable forecasts that affect the collectability of the reported amount. An entity must use judgment in determining the relevant information and estimation methods that are appropriate in its circumstances. The update is effective January 1, 2020, and for interim periods within that year. Early adoption is permitted only after January 1, 2019. The Company has previously incurred immaterial amount of bad debt and expecting no material impact from adopting this guidance on its consolidated financial statements and disclosures</w:t>
      </w:r>
    </w:p>
    <w:p>
      <w:pPr>
        <w:spacing w:after="0" w:line="208" w:lineRule="exact"/>
        <w:rPr>
          <w:rFonts w:ascii="Arial" w:cs="Arial" w:eastAsia="Arial" w:hAnsi="Arial"/>
          <w:sz w:val="17"/>
          <w:szCs w:val="17"/>
          <w:b w:val="1"/>
          <w:bCs w:val="1"/>
          <w:color w:val="auto"/>
        </w:rPr>
      </w:pPr>
    </w:p>
    <w:p>
      <w:pPr>
        <w:jc w:val="both"/>
        <w:ind w:left="1780"/>
        <w:spacing w:after="0" w:line="257" w:lineRule="auto"/>
        <w:rPr>
          <w:rFonts w:ascii="Arial" w:cs="Arial" w:eastAsia="Arial" w:hAnsi="Arial"/>
          <w:sz w:val="17"/>
          <w:szCs w:val="17"/>
          <w:b w:val="1"/>
          <w:bCs w:val="1"/>
          <w:color w:val="auto"/>
        </w:rPr>
      </w:pPr>
      <w:r>
        <w:rPr>
          <w:rFonts w:ascii="Arial" w:cs="Arial" w:eastAsia="Arial" w:hAnsi="Arial"/>
          <w:sz w:val="17"/>
          <w:szCs w:val="17"/>
          <w:i w:val="1"/>
          <w:iCs w:val="1"/>
          <w:color w:val="auto"/>
        </w:rPr>
        <w:t>In October 2016 the FASB issued ASU 2016-</w:t>
      </w:r>
      <w:r>
        <w:rPr>
          <w:rFonts w:ascii="Arial" w:cs="Arial" w:eastAsia="Arial" w:hAnsi="Arial"/>
          <w:sz w:val="17"/>
          <w:szCs w:val="17"/>
          <w:color w:val="auto"/>
        </w:rPr>
        <w:t>16 to require the recognition of the income tax consequences of an intra-entity transfer of an</w:t>
      </w:r>
      <w:r>
        <w:rPr>
          <w:rFonts w:ascii="Arial" w:cs="Arial" w:eastAsia="Arial" w:hAnsi="Arial"/>
          <w:sz w:val="17"/>
          <w:szCs w:val="17"/>
          <w:i w:val="1"/>
          <w:iCs w:val="1"/>
          <w:color w:val="auto"/>
        </w:rPr>
        <w:t xml:space="preserve"> </w:t>
      </w:r>
      <w:r>
        <w:rPr>
          <w:rFonts w:ascii="Arial" w:cs="Arial" w:eastAsia="Arial" w:hAnsi="Arial"/>
          <w:sz w:val="17"/>
          <w:szCs w:val="17"/>
          <w:color w:val="auto"/>
        </w:rPr>
        <w:t>asset other than inventory when the transfer occurs. Current GAAP prohibits the recognition of current and deferred income taxes for an intra-entity asset transfer until the asset has been sold to an outside party, the amendments in this Update eliminate the exception for an intra-entity transfer of an asset other than inventory. The amendments are effective January 1, 2018, and for interim periods within that year. Early adoption is permitted. The Company does not expect that the adoption of this guidance will have a material impact on its consolidated financial statements.</w:t>
      </w:r>
    </w:p>
    <w:p>
      <w:pPr>
        <w:spacing w:after="0" w:line="236" w:lineRule="exact"/>
        <w:rPr>
          <w:rFonts w:ascii="Arial" w:cs="Arial" w:eastAsia="Arial" w:hAnsi="Arial"/>
          <w:sz w:val="17"/>
          <w:szCs w:val="17"/>
          <w:b w:val="1"/>
          <w:bCs w:val="1"/>
          <w:color w:val="auto"/>
        </w:rPr>
      </w:pPr>
    </w:p>
    <w:p>
      <w:pPr>
        <w:jc w:val="both"/>
        <w:ind w:left="1780"/>
        <w:spacing w:after="0" w:line="306" w:lineRule="auto"/>
        <w:rPr>
          <w:rFonts w:ascii="Arial" w:cs="Arial" w:eastAsia="Arial" w:hAnsi="Arial"/>
          <w:sz w:val="17"/>
          <w:szCs w:val="17"/>
          <w:b w:val="1"/>
          <w:bCs w:val="1"/>
          <w:color w:val="auto"/>
        </w:rPr>
      </w:pPr>
      <w:r>
        <w:rPr>
          <w:rFonts w:ascii="Arial" w:cs="Arial" w:eastAsia="Arial" w:hAnsi="Arial"/>
          <w:sz w:val="15"/>
          <w:szCs w:val="15"/>
          <w:i w:val="1"/>
          <w:iCs w:val="1"/>
          <w:color w:val="auto"/>
        </w:rPr>
        <w:t xml:space="preserve">In November 2016, the FASB issued ASU 2016-18 </w:t>
      </w:r>
      <w:r>
        <w:rPr>
          <w:rFonts w:ascii="Arial" w:cs="Arial" w:eastAsia="Arial" w:hAnsi="Arial"/>
          <w:sz w:val="15"/>
          <w:szCs w:val="15"/>
          <w:color w:val="auto"/>
        </w:rPr>
        <w:t>to require amounts generally described as restricted cash and restricted cash equivalents</w:t>
      </w:r>
      <w:r>
        <w:rPr>
          <w:rFonts w:ascii="Arial" w:cs="Arial" w:eastAsia="Arial" w:hAnsi="Arial"/>
          <w:sz w:val="15"/>
          <w:szCs w:val="15"/>
          <w:i w:val="1"/>
          <w:iCs w:val="1"/>
          <w:color w:val="auto"/>
        </w:rPr>
        <w:t xml:space="preserve"> </w:t>
      </w:r>
      <w:r>
        <w:rPr>
          <w:rFonts w:ascii="Arial" w:cs="Arial" w:eastAsia="Arial" w:hAnsi="Arial"/>
          <w:sz w:val="15"/>
          <w:szCs w:val="15"/>
          <w:color w:val="auto"/>
        </w:rPr>
        <w:t>to be included with cash and cash equivalents when reconciling the beginning-of-period and end-of-period total amounts shown on the statement of cash flows. The amendments are effective January 1, 2018, and for interim periods within that year. Early adoption is permitted. The Company is evaluating the impact of the amendments on its consolidated statement of cash flows and disclosures.</w:t>
      </w:r>
    </w:p>
    <w:p>
      <w:pPr>
        <w:spacing w:after="0" w:line="110" w:lineRule="exact"/>
        <w:rPr>
          <w:rFonts w:ascii="Arial" w:cs="Arial" w:eastAsia="Arial" w:hAnsi="Arial"/>
          <w:sz w:val="17"/>
          <w:szCs w:val="17"/>
          <w:b w:val="1"/>
          <w:bCs w:val="1"/>
          <w:color w:val="auto"/>
        </w:rPr>
      </w:pPr>
    </w:p>
    <w:p>
      <w:pPr>
        <w:ind w:left="5620" w:hanging="92"/>
        <w:spacing w:after="0"/>
        <w:tabs>
          <w:tab w:leader="none" w:pos="5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120" w:val="left"/>
          <w:tab w:leader="none" w:pos="142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7"/>
          <w:szCs w:val="17"/>
          <w:b w:val="1"/>
          <w:bCs w:val="1"/>
          <w:color w:val="auto"/>
        </w:rPr>
        <w:t>-</w:t>
        <w:tab/>
        <w:t>SUMMARY OF SIGNIFICANT ACCOUNTING POLICIES (cont.)</w:t>
      </w:r>
    </w:p>
    <w:p>
      <w:pPr>
        <w:spacing w:after="0" w:line="280" w:lineRule="exact"/>
        <w:rPr>
          <w:sz w:val="20"/>
          <w:szCs w:val="20"/>
          <w:color w:val="auto"/>
        </w:rPr>
      </w:pPr>
    </w:p>
    <w:p>
      <w:pPr>
        <w:ind w:left="1780" w:hanging="542"/>
        <w:spacing w:after="0"/>
        <w:tabs>
          <w:tab w:leader="none" w:pos="178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Recently Issued Accounting Pronouncements (cont.)</w:t>
      </w:r>
    </w:p>
    <w:p>
      <w:pPr>
        <w:spacing w:after="0" w:line="273" w:lineRule="exact"/>
        <w:rPr>
          <w:rFonts w:ascii="Arial" w:cs="Arial" w:eastAsia="Arial" w:hAnsi="Arial"/>
          <w:sz w:val="17"/>
          <w:szCs w:val="17"/>
          <w:b w:val="1"/>
          <w:bCs w:val="1"/>
          <w:color w:val="auto"/>
        </w:rPr>
      </w:pPr>
    </w:p>
    <w:p>
      <w:pPr>
        <w:jc w:val="both"/>
        <w:ind w:left="1780"/>
        <w:spacing w:after="0" w:line="259" w:lineRule="auto"/>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In January 2017, the FASB issued ASU 2017-04 </w:t>
      </w:r>
      <w:r>
        <w:rPr>
          <w:rFonts w:ascii="Arial" w:cs="Arial" w:eastAsia="Arial" w:hAnsi="Arial"/>
          <w:sz w:val="17"/>
          <w:szCs w:val="17"/>
          <w:color w:val="auto"/>
        </w:rPr>
        <w:t>which clarified its guidance to simplify the measurement of goodwill by eliminating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Step 2 impairment test. The new guidance requires companies to perform the goodwill impairment test by comparing the fair value of a reporting unit with its carrying amount. The amendment will be effective beginning in its first quarter of fiscal year 2020. The amendment is required to be adopted prospectively. Early adoption is permitted. The Company does not expect that the adoption of this guidance will have a material impact on its consolidated financial statements.</w:t>
      </w:r>
    </w:p>
    <w:p>
      <w:pPr>
        <w:spacing w:after="0" w:line="231"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In May 2017, the FASB issued ASU 2017-09 </w:t>
      </w:r>
      <w:r>
        <w:rPr>
          <w:rFonts w:ascii="Arial" w:cs="Arial" w:eastAsia="Arial" w:hAnsi="Arial"/>
          <w:sz w:val="17"/>
          <w:szCs w:val="17"/>
          <w:color w:val="auto"/>
        </w:rPr>
        <w:t>which provides guidance about which changes to the terms or conditions of a share-based</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award require an entity to apply modification accounting. The guidance is effective beginning in the first quarter of fiscal year 2018. Early adoption is permitted. The Company does not expect that the adoption of this guidance will have a material impact on its consolidated financial statements.</w:t>
      </w:r>
    </w:p>
    <w:p>
      <w:pPr>
        <w:spacing w:after="0" w:line="230" w:lineRule="exact"/>
        <w:rPr>
          <w:rFonts w:ascii="Arial" w:cs="Arial" w:eastAsia="Arial" w:hAnsi="Arial"/>
          <w:sz w:val="17"/>
          <w:szCs w:val="17"/>
          <w:b w:val="1"/>
          <w:bCs w:val="1"/>
          <w:color w:val="auto"/>
        </w:rPr>
      </w:pPr>
    </w:p>
    <w:p>
      <w:pPr>
        <w:jc w:val="both"/>
        <w:ind w:left="1780"/>
        <w:spacing w:after="0" w:line="306" w:lineRule="auto"/>
        <w:rPr>
          <w:rFonts w:ascii="Arial" w:cs="Arial" w:eastAsia="Arial" w:hAnsi="Arial"/>
          <w:sz w:val="17"/>
          <w:szCs w:val="17"/>
          <w:b w:val="1"/>
          <w:bCs w:val="1"/>
          <w:color w:val="auto"/>
        </w:rPr>
      </w:pPr>
      <w:r>
        <w:rPr>
          <w:rFonts w:ascii="Arial" w:cs="Arial" w:eastAsia="Arial" w:hAnsi="Arial"/>
          <w:sz w:val="15"/>
          <w:szCs w:val="15"/>
          <w:i w:val="1"/>
          <w:iCs w:val="1"/>
          <w:color w:val="auto"/>
        </w:rPr>
        <w:t xml:space="preserve">In August 2017, the FASB issued Accounting Standard Update ("ASU") 2017-12 </w:t>
      </w:r>
      <w:r>
        <w:rPr>
          <w:rFonts w:ascii="Arial" w:cs="Arial" w:eastAsia="Arial" w:hAnsi="Arial"/>
          <w:sz w:val="15"/>
          <w:szCs w:val="15"/>
          <w:color w:val="auto"/>
        </w:rPr>
        <w:t>which targets improvements to accounting for hedging</w:t>
      </w:r>
      <w:r>
        <w:rPr>
          <w:rFonts w:ascii="Arial" w:cs="Arial" w:eastAsia="Arial" w:hAnsi="Arial"/>
          <w:sz w:val="15"/>
          <w:szCs w:val="15"/>
          <w:i w:val="1"/>
          <w:iCs w:val="1"/>
          <w:color w:val="auto"/>
        </w:rPr>
        <w:t xml:space="preserve"> </w:t>
      </w:r>
      <w:r>
        <w:rPr>
          <w:rFonts w:ascii="Arial" w:cs="Arial" w:eastAsia="Arial" w:hAnsi="Arial"/>
          <w:sz w:val="15"/>
          <w:szCs w:val="15"/>
          <w:color w:val="auto"/>
        </w:rPr>
        <w:t>activities which amends and simplifies existing guidance in order to allow companies to more accurately present the economic effects of risk management activities in the financial statements. The guidance is effective for fiscal years beginning after December 15, 2018, and interim periods within those fiscal years. The Company early adopted this guidance with no impact on its consolidated financial statements.</w:t>
      </w:r>
    </w:p>
    <w:p>
      <w:pPr>
        <w:spacing w:after="0" w:line="199" w:lineRule="exact"/>
        <w:rPr>
          <w:sz w:val="20"/>
          <w:szCs w:val="20"/>
          <w:color w:val="auto"/>
        </w:rPr>
      </w:pPr>
    </w:p>
    <w:p>
      <w:pPr>
        <w:spacing w:after="0"/>
        <w:tabs>
          <w:tab w:leader="none" w:pos="1180" w:val="left"/>
          <w:tab w:leader="none" w:pos="1460" w:val="left"/>
        </w:tabs>
        <w:rPr>
          <w:sz w:val="20"/>
          <w:szCs w:val="20"/>
          <w:color w:val="auto"/>
        </w:rPr>
      </w:pPr>
      <w:r>
        <w:rPr>
          <w:rFonts w:ascii="Arial" w:cs="Arial" w:eastAsia="Arial" w:hAnsi="Arial"/>
          <w:sz w:val="21"/>
          <w:szCs w:val="21"/>
          <w:b w:val="1"/>
          <w:bCs w:val="1"/>
          <w:color w:val="auto"/>
        </w:rPr>
        <w:t>NOTE 3</w:t>
      </w:r>
      <w:r>
        <w:rPr>
          <w:sz w:val="20"/>
          <w:szCs w:val="20"/>
          <w:color w:val="auto"/>
        </w:rPr>
        <w:tab/>
      </w:r>
      <w:r>
        <w:rPr>
          <w:rFonts w:ascii="Arial" w:cs="Arial" w:eastAsia="Arial" w:hAnsi="Arial"/>
          <w:sz w:val="17"/>
          <w:szCs w:val="17"/>
          <w:b w:val="1"/>
          <w:bCs w:val="1"/>
          <w:color w:val="auto"/>
        </w:rPr>
        <w:t>-</w:t>
        <w:tab/>
        <w:t>TOWERJAZZ TEXAS INC. ESTABLISHMENT</w:t>
      </w:r>
    </w:p>
    <w:p>
      <w:pPr>
        <w:spacing w:after="0" w:line="2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In February 2016, Tower acquired at a purchase price of $40,000, a fabrication facility in San Antonio, Texas from Maxim Integrated Products Inc.</w:t>
      </w:r>
    </w:p>
    <w:p>
      <w:pPr>
        <w:spacing w:after="0" w:line="4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(“Maxim”). The acquisition was done through an indirectly wholly owned subsidiary of Tower, TJT.</w:t>
      </w:r>
    </w:p>
    <w:p>
      <w:pPr>
        <w:spacing w:after="0" w:line="257" w:lineRule="exact"/>
        <w:rPr>
          <w:sz w:val="20"/>
          <w:szCs w:val="20"/>
          <w:color w:val="auto"/>
        </w:rPr>
      </w:pPr>
    </w:p>
    <w:p>
      <w:pPr>
        <w:jc w:val="both"/>
        <w:ind w:left="1160"/>
        <w:spacing w:after="0" w:line="259" w:lineRule="auto"/>
        <w:rPr>
          <w:sz w:val="20"/>
          <w:szCs w:val="20"/>
          <w:color w:val="auto"/>
        </w:rPr>
      </w:pPr>
      <w:r>
        <w:rPr>
          <w:rFonts w:ascii="Arial" w:cs="Arial" w:eastAsia="Arial" w:hAnsi="Arial"/>
          <w:sz w:val="17"/>
          <w:szCs w:val="17"/>
          <w:color w:val="auto"/>
        </w:rPr>
        <w:t>The agreement with Maxim included an earn-out mechanism for a period of up to 10 months. According to that mechanism, if the proceeds from the sale of the shares by Maxim during the 10 month period plus the value of the shares remaining, if any, as of the last day of this 10 month period, will exceed $40,000, Maxim would need to pay the Company such excess amount, in cash, but in no event more than $6,000. On the date of acquisition, the mechanism had a fair value of zero. On the date of settlement, the earn-out mechanism resulted in a gain of $6,000 to the Company, of which $1,000 was paid in 2016 and $5,000 was paid in 2017.</w:t>
      </w:r>
    </w:p>
    <w:p>
      <w:pPr>
        <w:spacing w:after="0" w:line="232" w:lineRule="exact"/>
        <w:rPr>
          <w:sz w:val="20"/>
          <w:szCs w:val="20"/>
          <w:color w:val="auto"/>
        </w:rPr>
      </w:pPr>
    </w:p>
    <w:p>
      <w:pPr>
        <w:jc w:val="both"/>
        <w:ind w:left="1160"/>
        <w:spacing w:after="0" w:line="278" w:lineRule="auto"/>
        <w:rPr>
          <w:sz w:val="20"/>
          <w:szCs w:val="20"/>
          <w:color w:val="auto"/>
        </w:rPr>
      </w:pPr>
      <w:r>
        <w:rPr>
          <w:rFonts w:ascii="Arial" w:cs="Arial" w:eastAsia="Arial" w:hAnsi="Arial"/>
          <w:sz w:val="17"/>
          <w:szCs w:val="17"/>
          <w:color w:val="auto"/>
        </w:rPr>
        <w:t>In addition, Tower and Maxim entered into a long-term 15 year manufacturing agreement, under which Maxim is committed to buy products from TJT in gradually decreasing quantities.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tcPr>
          <w:p>
            <w:pPr>
              <w:spacing w:after="0"/>
              <w:rPr>
                <w:sz w:val="20"/>
                <w:szCs w:val="20"/>
                <w:color w:val="auto"/>
              </w:rPr>
            </w:pPr>
            <w:r>
              <w:rPr>
                <w:rFonts w:ascii="Arial" w:cs="Arial" w:eastAsia="Arial" w:hAnsi="Arial"/>
                <w:sz w:val="17"/>
                <w:szCs w:val="17"/>
                <w:b w:val="1"/>
                <w:bCs w:val="1"/>
                <w:color w:val="auto"/>
              </w:rPr>
              <w:t>NOTE 4</w:t>
            </w:r>
          </w:p>
        </w:tc>
        <w:tc>
          <w:tcPr>
            <w:tcW w:w="8200" w:type="dxa"/>
            <w:vAlign w:val="bottom"/>
            <w:gridSpan w:val="2"/>
          </w:tcPr>
          <w:p>
            <w:pPr>
              <w:ind w:left="2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INVENTORIES</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76"/>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40" w:type="dxa"/>
            <w:vAlign w:val="bottom"/>
          </w:tcPr>
          <w:p>
            <w:pPr>
              <w:ind w:left="100"/>
              <w:spacing w:after="0"/>
              <w:rPr>
                <w:sz w:val="20"/>
                <w:szCs w:val="20"/>
                <w:color w:val="auto"/>
              </w:rPr>
            </w:pPr>
            <w:r>
              <w:rPr>
                <w:rFonts w:ascii="Arial" w:cs="Arial" w:eastAsia="Arial" w:hAnsi="Arial"/>
                <w:sz w:val="17"/>
                <w:szCs w:val="17"/>
                <w:color w:val="auto"/>
              </w:rPr>
              <w:t>Inventories consist of the following:</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9"/>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6"/>
          </w:tcPr>
          <w:p>
            <w:pPr>
              <w:ind w:left="240"/>
              <w:spacing w:after="0"/>
              <w:rPr>
                <w:sz w:val="20"/>
                <w:szCs w:val="20"/>
                <w:color w:val="auto"/>
              </w:rPr>
            </w:pPr>
            <w:r>
              <w:rPr>
                <w:rFonts w:ascii="Arial" w:cs="Arial" w:eastAsia="Arial" w:hAnsi="Arial"/>
                <w:sz w:val="17"/>
                <w:szCs w:val="17"/>
                <w:color w:val="auto"/>
              </w:rPr>
              <w:t>As of December 31,</w:t>
            </w:r>
          </w:p>
        </w:tc>
      </w:tr>
      <w:tr>
        <w:trPr>
          <w:trHeight w:val="212"/>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2017</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26,296</w:t>
            </w:r>
          </w:p>
        </w:tc>
        <w:tc>
          <w:tcPr>
            <w:tcW w:w="80" w:type="dxa"/>
            <w:vAlign w:val="bottom"/>
            <w:shd w:val="clear" w:color="auto" w:fill="CCEEFF"/>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7"/>
                <w:szCs w:val="17"/>
                <w:color w:val="auto"/>
              </w:rPr>
              <w:t>Work in process</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92,764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105,564</w:t>
            </w:r>
          </w:p>
        </w:tc>
      </w:tr>
      <w:tr>
        <w:trPr>
          <w:trHeight w:val="212"/>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143,315</w:t>
            </w:r>
          </w:p>
        </w:tc>
        <w:tc>
          <w:tcPr>
            <w:tcW w:w="100" w:type="dxa"/>
            <w:vAlign w:val="bottom"/>
          </w:tcPr>
          <w:p>
            <w:pPr>
              <w:spacing w:after="0"/>
              <w:rPr>
                <w:sz w:val="17"/>
                <w:szCs w:val="17"/>
                <w:color w:val="auto"/>
              </w:rPr>
            </w:pP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137,532</w:t>
            </w: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left="1240"/>
        <w:spacing w:after="0" w:line="278" w:lineRule="auto"/>
        <w:rPr>
          <w:sz w:val="20"/>
          <w:szCs w:val="20"/>
          <w:color w:val="auto"/>
        </w:rPr>
      </w:pPr>
      <w:r>
        <w:rPr>
          <w:rFonts w:ascii="Arial" w:cs="Arial" w:eastAsia="Arial" w:hAnsi="Arial"/>
          <w:sz w:val="17"/>
          <w:szCs w:val="17"/>
          <w:color w:val="auto"/>
        </w:rPr>
        <w:t>Work in process and finished goods are presented net of aggregate write-downs to net realizable value of $1,352 and $1,391 as of December 31, 2017 and 2016, respectively.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tcPr>
          <w:p>
            <w:pPr>
              <w:spacing w:after="0"/>
              <w:rPr>
                <w:sz w:val="20"/>
                <w:szCs w:val="20"/>
                <w:color w:val="auto"/>
              </w:rPr>
            </w:pPr>
            <w:r>
              <w:rPr>
                <w:rFonts w:ascii="Arial" w:cs="Arial" w:eastAsia="Arial" w:hAnsi="Arial"/>
                <w:sz w:val="17"/>
                <w:szCs w:val="17"/>
                <w:b w:val="1"/>
                <w:bCs w:val="1"/>
                <w:color w:val="auto"/>
              </w:rPr>
              <w:t>NOTE 5</w:t>
            </w:r>
          </w:p>
        </w:tc>
        <w:tc>
          <w:tcPr>
            <w:tcW w:w="34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3820" w:type="dxa"/>
            <w:vAlign w:val="bottom"/>
          </w:tcPr>
          <w:p>
            <w:pPr>
              <w:ind w:left="220"/>
              <w:spacing w:after="0"/>
              <w:rPr>
                <w:sz w:val="20"/>
                <w:szCs w:val="20"/>
                <w:color w:val="auto"/>
              </w:rPr>
            </w:pPr>
            <w:r>
              <w:rPr>
                <w:rFonts w:ascii="Arial" w:cs="Arial" w:eastAsia="Arial" w:hAnsi="Arial"/>
                <w:sz w:val="17"/>
                <w:szCs w:val="17"/>
                <w:b w:val="1"/>
                <w:bCs w:val="1"/>
                <w:color w:val="auto"/>
              </w:rPr>
              <w:t>OTHER CURRENT ASSETS</w:t>
            </w:r>
          </w:p>
        </w:tc>
        <w:tc>
          <w:tcPr>
            <w:tcW w:w="4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6"/>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Other current assets consist of the following:</w:t>
            </w:r>
          </w:p>
        </w:tc>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6"/>
          </w:tcPr>
          <w:p>
            <w:pPr>
              <w:ind w:left="240"/>
              <w:spacing w:after="0"/>
              <w:rPr>
                <w:sz w:val="20"/>
                <w:szCs w:val="20"/>
                <w:color w:val="auto"/>
              </w:rPr>
            </w:pPr>
            <w:r>
              <w:rPr>
                <w:rFonts w:ascii="Arial" w:cs="Arial" w:eastAsia="Arial" w:hAnsi="Arial"/>
                <w:sz w:val="17"/>
                <w:szCs w:val="17"/>
                <w:color w:val="auto"/>
              </w:rPr>
              <w:t>As of December 31,</w:t>
            </w: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2017</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authorities receivables</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rPr>
              <w:t>Deferred tax asset (see Note 19)</w:t>
            </w:r>
          </w:p>
        </w:tc>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7,158</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6,610</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rPr>
              <w:t>TJT acquisition related receivable (see Note 3)</w:t>
            </w:r>
          </w:p>
        </w:tc>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Others</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1,653</w:t>
            </w:r>
          </w:p>
        </w:tc>
        <w:tc>
          <w:tcPr>
            <w:tcW w:w="0" w:type="dxa"/>
            <w:vAlign w:val="bottom"/>
          </w:tcPr>
          <w:p>
            <w:pPr>
              <w:spacing w:after="0"/>
              <w:rPr>
                <w:sz w:val="1"/>
                <w:szCs w:val="1"/>
                <w:color w:val="auto"/>
              </w:rPr>
            </w:pPr>
          </w:p>
        </w:tc>
      </w:tr>
      <w:tr>
        <w:trPr>
          <w:trHeight w:val="26"/>
        </w:trPr>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424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21,516</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30,041</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7"/>
                <w:szCs w:val="17"/>
                <w:b w:val="1"/>
                <w:bCs w:val="1"/>
                <w:color w:val="auto"/>
              </w:rPr>
              <w:t>NOTE 6</w:t>
            </w:r>
          </w:p>
        </w:tc>
        <w:tc>
          <w:tcPr>
            <w:tcW w:w="340" w:type="dxa"/>
            <w:vAlign w:val="bottom"/>
            <w:gridSpan w:val="2"/>
            <w:vMerge w:val="restart"/>
          </w:tcPr>
          <w:p>
            <w:pPr>
              <w:ind w:left="260"/>
              <w:spacing w:after="0"/>
              <w:rPr>
                <w:sz w:val="20"/>
                <w:szCs w:val="20"/>
                <w:color w:val="auto"/>
              </w:rPr>
            </w:pPr>
            <w:r>
              <w:rPr>
                <w:rFonts w:ascii="Arial" w:cs="Arial" w:eastAsia="Arial" w:hAnsi="Arial"/>
                <w:sz w:val="17"/>
                <w:szCs w:val="17"/>
                <w:color w:val="auto"/>
              </w:rPr>
              <w:t>-</w:t>
            </w:r>
          </w:p>
        </w:tc>
        <w:tc>
          <w:tcPr>
            <w:tcW w:w="3820" w:type="dxa"/>
            <w:vAlign w:val="bottom"/>
            <w:vMerge w:val="restart"/>
          </w:tcPr>
          <w:p>
            <w:pPr>
              <w:ind w:left="220"/>
              <w:spacing w:after="0"/>
              <w:rPr>
                <w:sz w:val="20"/>
                <w:szCs w:val="20"/>
                <w:color w:val="auto"/>
              </w:rPr>
            </w:pPr>
            <w:r>
              <w:rPr>
                <w:rFonts w:ascii="Arial" w:cs="Arial" w:eastAsia="Arial" w:hAnsi="Arial"/>
                <w:sz w:val="17"/>
                <w:szCs w:val="17"/>
                <w:b w:val="1"/>
                <w:bCs w:val="1"/>
                <w:color w:val="auto"/>
              </w:rPr>
              <w:t>LONG-TERM INVESTMENTS</w:t>
            </w:r>
          </w:p>
        </w:tc>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880" w:type="dxa"/>
            <w:vAlign w:val="bottom"/>
            <w:vMerge w:val="continue"/>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ind w:left="20"/>
              <w:spacing w:after="0"/>
              <w:rPr>
                <w:sz w:val="20"/>
                <w:szCs w:val="20"/>
                <w:color w:val="auto"/>
              </w:rPr>
            </w:pPr>
            <w:r>
              <w:rPr>
                <w:rFonts w:ascii="Arial" w:cs="Arial" w:eastAsia="Arial" w:hAnsi="Arial"/>
                <w:sz w:val="17"/>
                <w:szCs w:val="17"/>
                <w:color w:val="auto"/>
              </w:rPr>
              <w:t>Long-term investments consist of the following:</w:t>
            </w:r>
          </w:p>
        </w:tc>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6"/>
          </w:tcPr>
          <w:p>
            <w:pPr>
              <w:ind w:left="240"/>
              <w:spacing w:after="0"/>
              <w:rPr>
                <w:sz w:val="20"/>
                <w:szCs w:val="20"/>
                <w:color w:val="auto"/>
              </w:rPr>
            </w:pPr>
            <w:r>
              <w:rPr>
                <w:rFonts w:ascii="Arial" w:cs="Arial" w:eastAsia="Arial" w:hAnsi="Arial"/>
                <w:sz w:val="17"/>
                <w:szCs w:val="17"/>
                <w:color w:val="auto"/>
              </w:rPr>
              <w:t>As of December 31,</w:t>
            </w:r>
          </w:p>
        </w:tc>
        <w:tc>
          <w:tcPr>
            <w:tcW w:w="0" w:type="dxa"/>
            <w:vAlign w:val="bottom"/>
          </w:tcPr>
          <w:p>
            <w:pPr>
              <w:spacing w:after="0"/>
              <w:rPr>
                <w:sz w:val="1"/>
                <w:szCs w:val="1"/>
                <w:color w:val="auto"/>
              </w:rPr>
            </w:pPr>
          </w:p>
        </w:tc>
      </w:tr>
      <w:tr>
        <w:trPr>
          <w:trHeight w:val="212"/>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2017</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Severance-pay funds, net</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rPr>
              <w:t>Long-term interest bearing bank deposit</w:t>
            </w:r>
          </w:p>
        </w:tc>
        <w:tc>
          <w:tcPr>
            <w:tcW w:w="4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12,500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12,500</w:t>
            </w:r>
          </w:p>
        </w:tc>
        <w:tc>
          <w:tcPr>
            <w:tcW w:w="0" w:type="dxa"/>
            <w:vAlign w:val="bottom"/>
          </w:tcPr>
          <w:p>
            <w:pPr>
              <w:spacing w:after="0"/>
              <w:rPr>
                <w:sz w:val="1"/>
                <w:szCs w:val="1"/>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Others</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3,215</w:t>
            </w:r>
          </w:p>
        </w:tc>
        <w:tc>
          <w:tcPr>
            <w:tcW w:w="0" w:type="dxa"/>
            <w:vAlign w:val="bottom"/>
          </w:tcPr>
          <w:p>
            <w:pPr>
              <w:spacing w:after="0"/>
              <w:rPr>
                <w:sz w:val="1"/>
                <w:szCs w:val="1"/>
                <w:color w:val="auto"/>
              </w:rPr>
            </w:pPr>
          </w:p>
        </w:tc>
      </w:tr>
      <w:tr>
        <w:trPr>
          <w:trHeight w:val="26"/>
        </w:trPr>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424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26,073</w:t>
            </w:r>
          </w:p>
        </w:tc>
        <w:tc>
          <w:tcPr>
            <w:tcW w:w="32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25,624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040" w:type="dxa"/>
            <w:vAlign w:val="bottom"/>
            <w:vMerge w:val="restart"/>
          </w:tcPr>
          <w:p>
            <w:pPr>
              <w:jc w:val="right"/>
              <w:ind w:right="3094"/>
              <w:spacing w:after="0"/>
              <w:rPr>
                <w:sz w:val="20"/>
                <w:szCs w:val="20"/>
                <w:color w:val="auto"/>
              </w:rPr>
            </w:pPr>
            <w:r>
              <w:rPr>
                <w:rFonts w:ascii="Arial" w:cs="Arial" w:eastAsia="Arial" w:hAnsi="Arial"/>
                <w:sz w:val="17"/>
                <w:szCs w:val="17"/>
                <w:color w:val="auto"/>
              </w:rPr>
              <w:t>- 19 -</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40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120" w:val="left"/>
          <w:tab w:leader="none" w:pos="142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PROPERTY AND EQUIPMENT, NET</w:t>
      </w:r>
    </w:p>
    <w:p>
      <w:pPr>
        <w:spacing w:after="0" w:line="280" w:lineRule="exact"/>
        <w:rPr>
          <w:sz w:val="20"/>
          <w:szCs w:val="20"/>
          <w:color w:val="auto"/>
        </w:rPr>
      </w:pPr>
    </w:p>
    <w:tbl>
      <w:tblPr>
        <w:tblLayout w:type="fixed"/>
        <w:tblInd w:w="124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7"/>
                <w:szCs w:val="17"/>
                <w:b w:val="1"/>
                <w:bCs w:val="1"/>
                <w:color w:val="auto"/>
              </w:rPr>
              <w:t>A.</w:t>
            </w:r>
          </w:p>
        </w:tc>
        <w:tc>
          <w:tcPr>
            <w:tcW w:w="7560" w:type="dxa"/>
            <w:vAlign w:val="bottom"/>
          </w:tcPr>
          <w:p>
            <w:pPr>
              <w:ind w:left="160"/>
              <w:spacing w:after="0"/>
              <w:rPr>
                <w:sz w:val="20"/>
                <w:szCs w:val="20"/>
                <w:color w:val="auto"/>
              </w:rPr>
            </w:pPr>
            <w:r>
              <w:rPr>
                <w:rFonts w:ascii="Arial" w:cs="Arial" w:eastAsia="Arial" w:hAnsi="Arial"/>
                <w:sz w:val="17"/>
                <w:szCs w:val="17"/>
                <w:b w:val="1"/>
                <w:bCs w:val="1"/>
                <w:color w:val="auto"/>
              </w:rPr>
              <w:t>Composition</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70"/>
        </w:trPr>
        <w:tc>
          <w:tcPr>
            <w:tcW w:w="3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7"/>
                <w:szCs w:val="17"/>
                <w:color w:val="auto"/>
              </w:rPr>
              <w:t>As of December 31,</w:t>
            </w:r>
          </w:p>
        </w:tc>
      </w:tr>
      <w:tr>
        <w:trPr>
          <w:trHeight w:val="212"/>
        </w:trPr>
        <w:tc>
          <w:tcPr>
            <w:tcW w:w="3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2017</w:t>
            </w: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206"/>
        </w:trPr>
        <w:tc>
          <w:tcPr>
            <w:tcW w:w="38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Original cost:</w:t>
            </w:r>
          </w:p>
        </w:tc>
        <w:tc>
          <w:tcPr>
            <w:tcW w:w="16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38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Buildings (including facility infrastructure)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343,247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333,696</w:t>
            </w:r>
          </w:p>
        </w:tc>
      </w:tr>
      <w:tr>
        <w:trPr>
          <w:trHeight w:val="206"/>
        </w:trPr>
        <w:tc>
          <w:tcPr>
            <w:tcW w:w="38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2,282,042</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2,093,204</w:t>
            </w:r>
          </w:p>
        </w:tc>
        <w:tc>
          <w:tcPr>
            <w:tcW w:w="80" w:type="dxa"/>
            <w:vAlign w:val="bottom"/>
            <w:shd w:val="clear" w:color="auto" w:fill="CCEEFF"/>
          </w:tcPr>
          <w:p>
            <w:pPr>
              <w:spacing w:after="0"/>
              <w:rPr>
                <w:sz w:val="17"/>
                <w:szCs w:val="17"/>
                <w:color w:val="auto"/>
              </w:rPr>
            </w:pPr>
          </w:p>
        </w:tc>
      </w:tr>
      <w:tr>
        <w:trPr>
          <w:trHeight w:val="26"/>
        </w:trPr>
        <w:tc>
          <w:tcPr>
            <w:tcW w:w="380" w:type="dxa"/>
            <w:vAlign w:val="bottom"/>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2"/>
        </w:trPr>
        <w:tc>
          <w:tcPr>
            <w:tcW w:w="3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2,625,289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2,426,900</w:t>
            </w:r>
          </w:p>
        </w:tc>
        <w:tc>
          <w:tcPr>
            <w:tcW w:w="80" w:type="dxa"/>
            <w:vAlign w:val="bottom"/>
          </w:tcPr>
          <w:p>
            <w:pPr>
              <w:spacing w:after="0"/>
              <w:rPr>
                <w:sz w:val="18"/>
                <w:szCs w:val="18"/>
                <w:color w:val="auto"/>
              </w:rPr>
            </w:pPr>
          </w:p>
        </w:tc>
      </w:tr>
      <w:tr>
        <w:trPr>
          <w:trHeight w:val="206"/>
        </w:trPr>
        <w:tc>
          <w:tcPr>
            <w:tcW w:w="38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w:t>
            </w: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38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Buildings (including facility infrastructure)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(215,515)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(205,604)</w:t>
            </w:r>
          </w:p>
        </w:tc>
      </w:tr>
      <w:tr>
        <w:trPr>
          <w:trHeight w:val="206"/>
        </w:trPr>
        <w:tc>
          <w:tcPr>
            <w:tcW w:w="38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(1,774,650)</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8"/>
              </w:rPr>
              <w:t>(1,604,610)</w:t>
            </w:r>
          </w:p>
        </w:tc>
      </w:tr>
      <w:tr>
        <w:trPr>
          <w:trHeight w:val="26"/>
        </w:trPr>
        <w:tc>
          <w:tcPr>
            <w:tcW w:w="380" w:type="dxa"/>
            <w:vAlign w:val="bottom"/>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6"/>
        </w:trPr>
        <w:tc>
          <w:tcPr>
            <w:tcW w:w="38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(1,990,165)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(1,810,214)</w:t>
            </w:r>
          </w:p>
        </w:tc>
      </w:tr>
      <w:tr>
        <w:trPr>
          <w:trHeight w:val="20"/>
        </w:trPr>
        <w:tc>
          <w:tcPr>
            <w:tcW w:w="3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7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635,124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616,686</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45" w:lineRule="exact"/>
        <w:rPr>
          <w:sz w:val="20"/>
          <w:szCs w:val="20"/>
          <w:color w:val="auto"/>
        </w:rPr>
      </w:pPr>
    </w:p>
    <w:p>
      <w:pPr>
        <w:ind w:left="1780"/>
        <w:spacing w:after="0" w:line="278" w:lineRule="auto"/>
        <w:rPr>
          <w:sz w:val="20"/>
          <w:szCs w:val="20"/>
          <w:color w:val="auto"/>
        </w:rPr>
      </w:pPr>
      <w:r>
        <w:rPr>
          <w:rFonts w:ascii="Arial" w:cs="Arial" w:eastAsia="Arial" w:hAnsi="Arial"/>
          <w:sz w:val="17"/>
          <w:szCs w:val="17"/>
          <w:color w:val="auto"/>
        </w:rPr>
        <w:t>As of December 31, 2017 and 2016, the original cost of buildings, machinery and equipment was reflected net of investment grants (see B below) in the aggregate amount of $285,930 and $284,406, respectively.</w:t>
      </w:r>
    </w:p>
    <w:p>
      <w:pPr>
        <w:spacing w:after="0" w:line="216"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The following is the composition of the leased equipment under capital lease agreements included under “Machinery and equipment above:</w:t>
      </w:r>
    </w:p>
    <w:p>
      <w:pPr>
        <w:spacing w:after="0" w:line="239" w:lineRule="exact"/>
        <w:rPr>
          <w:sz w:val="20"/>
          <w:szCs w:val="20"/>
          <w:color w:val="auto"/>
        </w:rPr>
      </w:pPr>
    </w:p>
    <w:tbl>
      <w:tblPr>
        <w:tblLayout w:type="fixed"/>
        <w:tblInd w:w="1620" w:type="dxa"/>
        <w:tblCellMar>
          <w:top w:w="0" w:type="dxa"/>
          <w:left w:w="0" w:type="dxa"/>
          <w:bottom w:w="0" w:type="dxa"/>
          <w:right w:w="0" w:type="dxa"/>
        </w:tblCellMar>
      </w:tblPr>
      <w:tr>
        <w:trPr>
          <w:trHeight w:val="224"/>
        </w:trPr>
        <w:tc>
          <w:tcPr>
            <w:tcW w:w="7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7"/>
                <w:szCs w:val="17"/>
                <w:color w:val="auto"/>
              </w:rPr>
              <w:t>As of December 31,</w:t>
            </w:r>
          </w:p>
        </w:tc>
        <w:tc>
          <w:tcPr>
            <w:tcW w:w="80" w:type="dxa"/>
            <w:vAlign w:val="bottom"/>
          </w:tcPr>
          <w:p>
            <w:pPr>
              <w:spacing w:after="0"/>
              <w:rPr>
                <w:sz w:val="19"/>
                <w:szCs w:val="19"/>
                <w:color w:val="auto"/>
              </w:rPr>
            </w:pPr>
          </w:p>
        </w:tc>
      </w:tr>
      <w:tr>
        <w:trPr>
          <w:trHeight w:val="212"/>
        </w:trPr>
        <w:tc>
          <w:tcPr>
            <w:tcW w:w="7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Original cost - Machinery and equipment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7"/>
                <w:szCs w:val="17"/>
                <w:color w:val="auto"/>
              </w:rPr>
              <w:t>Accumulated depreciation - Machinery and equipment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(306)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46"/>
        </w:trPr>
        <w:tc>
          <w:tcPr>
            <w:tcW w:w="7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16,324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39" w:lineRule="exact"/>
        <w:rPr>
          <w:sz w:val="20"/>
          <w:szCs w:val="20"/>
          <w:color w:val="auto"/>
        </w:rPr>
      </w:pPr>
    </w:p>
    <w:p>
      <w:pPr>
        <w:ind w:left="1780" w:hanging="542"/>
        <w:spacing w:after="0"/>
        <w:tabs>
          <w:tab w:leader="none" w:pos="178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Grants</w:t>
      </w:r>
    </w:p>
    <w:p>
      <w:pPr>
        <w:spacing w:after="0" w:line="273"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Substantially all of Tower’s existing facilities and other capital investments made through 2012 have been granted approved enterprise status, as provided by the Investments Law.</w:t>
      </w:r>
    </w:p>
    <w:p>
      <w:pPr>
        <w:spacing w:after="0" w:line="216" w:lineRule="exact"/>
        <w:rPr>
          <w:rFonts w:ascii="Arial" w:cs="Arial" w:eastAsia="Arial" w:hAnsi="Arial"/>
          <w:sz w:val="17"/>
          <w:szCs w:val="17"/>
          <w:b w:val="1"/>
          <w:bCs w:val="1"/>
          <w:color w:val="auto"/>
        </w:rPr>
      </w:pPr>
    </w:p>
    <w:p>
      <w:pPr>
        <w:jc w:val="both"/>
        <w:ind w:left="178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In 2011, Tower received an approval certificate from the Israeli Investment Center for an expansion program for investments in fixed assets in Fab 2 facility in Israel, according to which Tower received grants in the amount of NIS 145,000 (approximately $36,000) for eligible investments in machinery, equipment and other assets made by Tower in the years 2006 to 2012. Investment grants received are presented as a deduction from the original cost of its respective assets. In December 2017, the Company received approval from the Israeli Investment Center for its final performance report.</w:t>
      </w:r>
    </w:p>
    <w:p>
      <w:pPr>
        <w:spacing w:after="0" w:line="347" w:lineRule="exact"/>
        <w:rPr>
          <w:rFonts w:ascii="Arial" w:cs="Arial" w:eastAsia="Arial" w:hAnsi="Arial"/>
          <w:sz w:val="17"/>
          <w:szCs w:val="17"/>
          <w:b w:val="1"/>
          <w:bCs w:val="1"/>
          <w:color w:val="auto"/>
        </w:rPr>
      </w:pPr>
    </w:p>
    <w:p>
      <w:pPr>
        <w:ind w:left="5620" w:hanging="92"/>
        <w:spacing w:after="0"/>
        <w:tabs>
          <w:tab w:leader="none" w:pos="5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tcPr>
          <w:p>
            <w:pPr>
              <w:spacing w:after="0"/>
              <w:rPr>
                <w:sz w:val="20"/>
                <w:szCs w:val="20"/>
                <w:color w:val="auto"/>
              </w:rPr>
            </w:pPr>
            <w:r>
              <w:rPr>
                <w:rFonts w:ascii="Arial" w:cs="Arial" w:eastAsia="Arial" w:hAnsi="Arial"/>
                <w:sz w:val="17"/>
                <w:szCs w:val="17"/>
                <w:b w:val="1"/>
                <w:bCs w:val="1"/>
                <w:color w:val="auto"/>
              </w:rPr>
              <w:t>NOTE 8</w:t>
            </w:r>
          </w:p>
        </w:tc>
        <w:tc>
          <w:tcPr>
            <w:tcW w:w="340" w:type="dxa"/>
            <w:vAlign w:val="bottom"/>
            <w:gridSpan w:val="2"/>
          </w:tcPr>
          <w:p>
            <w:pPr>
              <w:ind w:left="260"/>
              <w:spacing w:after="0"/>
              <w:rPr>
                <w:sz w:val="20"/>
                <w:szCs w:val="20"/>
                <w:color w:val="auto"/>
              </w:rPr>
            </w:pPr>
            <w:r>
              <w:rPr>
                <w:rFonts w:ascii="Arial" w:cs="Arial" w:eastAsia="Arial" w:hAnsi="Arial"/>
                <w:sz w:val="17"/>
                <w:szCs w:val="17"/>
                <w:b w:val="1"/>
                <w:bCs w:val="1"/>
                <w:color w:val="auto"/>
              </w:rPr>
              <w:t>-</w:t>
            </w:r>
          </w:p>
        </w:tc>
        <w:tc>
          <w:tcPr>
            <w:tcW w:w="5380" w:type="dxa"/>
            <w:vAlign w:val="bottom"/>
          </w:tcPr>
          <w:p>
            <w:pPr>
              <w:ind w:left="220"/>
              <w:spacing w:after="0"/>
              <w:rPr>
                <w:sz w:val="20"/>
                <w:szCs w:val="20"/>
                <w:color w:val="auto"/>
              </w:rPr>
            </w:pPr>
            <w:r>
              <w:rPr>
                <w:rFonts w:ascii="Arial" w:cs="Arial" w:eastAsia="Arial" w:hAnsi="Arial"/>
                <w:sz w:val="17"/>
                <w:szCs w:val="17"/>
                <w:b w:val="1"/>
                <w:bCs w:val="1"/>
                <w:color w:val="auto"/>
              </w:rPr>
              <w:t>INTANGIBLE ASSETS, NET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76"/>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7"/>
                <w:szCs w:val="17"/>
                <w:color w:val="auto"/>
              </w:rPr>
              <w:t>Intangible assets consist of the following as of December 31, 2017:</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7"/>
              </w:rPr>
              <w:t>Useful Life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w w:val="95"/>
              </w:rPr>
              <w:t>Accumulated</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4"/>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0"/>
              </w:rPr>
              <w:t>(years)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7"/>
                <w:szCs w:val="17"/>
                <w:color w:val="auto"/>
              </w:rPr>
              <w:t>Cost</w:t>
            </w: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w w:val="99"/>
              </w:rPr>
              <w:t>Amortization</w:t>
            </w:r>
          </w:p>
        </w:tc>
        <w:tc>
          <w:tcPr>
            <w:tcW w:w="24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7"/>
                <w:szCs w:val="17"/>
                <w:color w:val="auto"/>
              </w:rPr>
              <w:t>Net</w:t>
            </w: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Technologies</w:t>
            </w: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4;5;9</w:t>
            </w: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110,310</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(103,897)</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6,413</w:t>
            </w:r>
          </w:p>
        </w:tc>
        <w:tc>
          <w:tcPr>
            <w:tcW w:w="80" w:type="dxa"/>
            <w:vAlign w:val="bottom"/>
            <w:shd w:val="clear" w:color="auto" w:fill="CCEEFF"/>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Facilities lease</w:t>
            </w:r>
          </w:p>
        </w:tc>
        <w:tc>
          <w:tcPr>
            <w:tcW w:w="1040" w:type="dxa"/>
            <w:vAlign w:val="bottom"/>
          </w:tcPr>
          <w:p>
            <w:pPr>
              <w:jc w:val="center"/>
              <w:spacing w:after="0"/>
              <w:rPr>
                <w:sz w:val="20"/>
                <w:szCs w:val="20"/>
                <w:color w:val="auto"/>
              </w:rPr>
            </w:pPr>
            <w:r>
              <w:rPr>
                <w:rFonts w:ascii="Arial" w:cs="Arial" w:eastAsia="Arial" w:hAnsi="Arial"/>
                <w:sz w:val="17"/>
                <w:szCs w:val="17"/>
                <w:color w:val="auto"/>
                <w:w w:val="84"/>
              </w:rPr>
              <w:t>19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33,500</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(21,665)</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11,835</w:t>
            </w:r>
          </w:p>
        </w:tc>
        <w:tc>
          <w:tcPr>
            <w:tcW w:w="80" w:type="dxa"/>
            <w:vAlign w:val="bottom"/>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Patents and other core technology rights</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15,100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(15,100)</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Trade name</w:t>
            </w:r>
          </w:p>
        </w:tc>
        <w:tc>
          <w:tcPr>
            <w:tcW w:w="104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7,612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(7,009)</w:t>
            </w:r>
          </w:p>
        </w:tc>
        <w:tc>
          <w:tcPr>
            <w:tcW w:w="2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603</w:t>
            </w: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(1,610)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990</w:t>
            </w:r>
          </w:p>
        </w:tc>
      </w:tr>
      <w:tr>
        <w:trPr>
          <w:trHeight w:val="212"/>
        </w:trPr>
        <w:tc>
          <w:tcPr>
            <w:tcW w:w="880" w:type="dxa"/>
            <w:vAlign w:val="bottom"/>
          </w:tcPr>
          <w:p>
            <w:pPr>
              <w:spacing w:after="0"/>
              <w:rPr>
                <w:sz w:val="18"/>
                <w:szCs w:val="18"/>
                <w:color w:val="auto"/>
              </w:rPr>
            </w:pPr>
          </w:p>
        </w:tc>
        <w:tc>
          <w:tcPr>
            <w:tcW w:w="5720" w:type="dxa"/>
            <w:vAlign w:val="bottom"/>
            <w:gridSpan w:val="3"/>
          </w:tcPr>
          <w:p>
            <w:pPr>
              <w:ind w:left="260"/>
              <w:spacing w:after="0"/>
              <w:rPr>
                <w:sz w:val="20"/>
                <w:szCs w:val="20"/>
                <w:color w:val="auto"/>
              </w:rPr>
            </w:pPr>
            <w:r>
              <w:rPr>
                <w:rFonts w:ascii="Arial" w:cs="Arial" w:eastAsia="Arial" w:hAnsi="Arial"/>
                <w:sz w:val="17"/>
                <w:szCs w:val="17"/>
                <w:color w:val="auto"/>
              </w:rPr>
              <w:t>Others</w:t>
            </w: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(1,000)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46"/>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spacing w:after="0" w:line="186" w:lineRule="exact"/>
              <w:rPr>
                <w:sz w:val="20"/>
                <w:szCs w:val="20"/>
                <w:color w:val="auto"/>
              </w:rPr>
            </w:pPr>
            <w:r>
              <w:rPr>
                <w:rFonts w:ascii="Arial" w:cs="Arial" w:eastAsia="Arial" w:hAnsi="Arial"/>
                <w:sz w:val="17"/>
                <w:szCs w:val="17"/>
                <w:color w:val="auto"/>
              </w:rPr>
              <w:t>Total identifiable intangible assets</w:t>
            </w: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170,122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(150,281)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4"/>
              <w:spacing w:after="0" w:line="186"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19,841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53"/>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Arial" w:cs="Arial" w:eastAsia="Arial" w:hAnsi="Arial"/>
                <w:sz w:val="17"/>
                <w:szCs w:val="17"/>
                <w:color w:val="auto"/>
              </w:rPr>
              <w:t>Intangible assets consist of the following as of December 31, 2016:</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7"/>
              </w:rPr>
              <w:t>Useful Life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w w:val="95"/>
              </w:rPr>
              <w:t>Accumulated</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4"/>
        </w:trPr>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0"/>
              </w:rPr>
              <w:t>(years)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7"/>
                <w:szCs w:val="17"/>
                <w:color w:val="auto"/>
              </w:rPr>
              <w:t>Cost</w:t>
            </w:r>
          </w:p>
        </w:tc>
        <w:tc>
          <w:tcPr>
            <w:tcW w:w="1220" w:type="dxa"/>
            <w:vAlign w:val="bottom"/>
            <w:gridSpan w:val="3"/>
          </w:tcPr>
          <w:p>
            <w:pPr>
              <w:jc w:val="right"/>
              <w:ind w:right="260"/>
              <w:spacing w:after="0"/>
              <w:rPr>
                <w:sz w:val="20"/>
                <w:szCs w:val="20"/>
                <w:color w:val="auto"/>
              </w:rPr>
            </w:pPr>
            <w:r>
              <w:rPr>
                <w:rFonts w:ascii="Arial" w:cs="Arial" w:eastAsia="Arial" w:hAnsi="Arial"/>
                <w:sz w:val="17"/>
                <w:szCs w:val="17"/>
                <w:color w:val="auto"/>
                <w:w w:val="99"/>
              </w:rPr>
              <w:t>Amortization</w:t>
            </w:r>
          </w:p>
        </w:tc>
        <w:tc>
          <w:tcPr>
            <w:tcW w:w="240" w:type="dxa"/>
            <w:vAlign w:val="bottom"/>
          </w:tcPr>
          <w:p>
            <w:pPr>
              <w:spacing w:after="0"/>
              <w:rPr>
                <w:sz w:val="19"/>
                <w:szCs w:val="19"/>
                <w:color w:val="auto"/>
              </w:rPr>
            </w:pPr>
          </w:p>
        </w:tc>
        <w:tc>
          <w:tcPr>
            <w:tcW w:w="880" w:type="dxa"/>
            <w:vAlign w:val="bottom"/>
            <w:gridSpan w:val="2"/>
          </w:tcPr>
          <w:p>
            <w:pPr>
              <w:ind w:left="160"/>
              <w:spacing w:after="0"/>
              <w:rPr>
                <w:sz w:val="20"/>
                <w:szCs w:val="20"/>
                <w:color w:val="auto"/>
              </w:rPr>
            </w:pPr>
            <w:r>
              <w:rPr>
                <w:rFonts w:ascii="Arial" w:cs="Arial" w:eastAsia="Arial" w:hAnsi="Arial"/>
                <w:sz w:val="17"/>
                <w:szCs w:val="17"/>
                <w:color w:val="auto"/>
              </w:rPr>
              <w:t>Net</w:t>
            </w: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Technologies</w:t>
            </w: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5"/>
              </w:rPr>
              <w:t>4;5;9</w:t>
            </w: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109,543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(98,354)</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11,189</w:t>
            </w:r>
          </w:p>
        </w:tc>
        <w:tc>
          <w:tcPr>
            <w:tcW w:w="80" w:type="dxa"/>
            <w:vAlign w:val="bottom"/>
            <w:shd w:val="clear" w:color="auto" w:fill="CCEEFF"/>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Facilities lease</w:t>
            </w:r>
          </w:p>
        </w:tc>
        <w:tc>
          <w:tcPr>
            <w:tcW w:w="1040" w:type="dxa"/>
            <w:vAlign w:val="bottom"/>
          </w:tcPr>
          <w:p>
            <w:pPr>
              <w:jc w:val="center"/>
              <w:spacing w:after="0"/>
              <w:rPr>
                <w:sz w:val="20"/>
                <w:szCs w:val="20"/>
                <w:color w:val="auto"/>
              </w:rPr>
            </w:pPr>
            <w:r>
              <w:rPr>
                <w:rFonts w:ascii="Arial" w:cs="Arial" w:eastAsia="Arial" w:hAnsi="Arial"/>
                <w:sz w:val="17"/>
                <w:szCs w:val="17"/>
                <w:color w:val="auto"/>
                <w:w w:val="84"/>
              </w:rPr>
              <w:t>19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33,500</w:t>
            </w:r>
          </w:p>
        </w:tc>
        <w:tc>
          <w:tcPr>
            <w:tcW w:w="2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(20,377)</w:t>
            </w:r>
          </w:p>
        </w:tc>
        <w:tc>
          <w:tcPr>
            <w:tcW w:w="2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13,123</w:t>
            </w: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Patents and other core technology rights</w:t>
            </w: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15,100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(13,903)</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1,197</w:t>
            </w: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Trade name</w:t>
            </w:r>
          </w:p>
        </w:tc>
        <w:tc>
          <w:tcPr>
            <w:tcW w:w="1040" w:type="dxa"/>
            <w:vAlign w:val="bottom"/>
          </w:tcPr>
          <w:p>
            <w:pPr>
              <w:jc w:val="right"/>
              <w:ind w:right="374"/>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7,520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(6,064)</w:t>
            </w:r>
          </w:p>
        </w:tc>
        <w:tc>
          <w:tcPr>
            <w:tcW w:w="2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1,456</w:t>
            </w: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0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(1,436)</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1,164</w:t>
            </w:r>
          </w:p>
        </w:tc>
      </w:tr>
      <w:tr>
        <w:trPr>
          <w:trHeight w:val="212"/>
        </w:trPr>
        <w:tc>
          <w:tcPr>
            <w:tcW w:w="880" w:type="dxa"/>
            <w:vAlign w:val="bottom"/>
          </w:tcPr>
          <w:p>
            <w:pPr>
              <w:spacing w:after="0"/>
              <w:rPr>
                <w:sz w:val="18"/>
                <w:szCs w:val="18"/>
                <w:color w:val="auto"/>
              </w:rPr>
            </w:pPr>
          </w:p>
        </w:tc>
        <w:tc>
          <w:tcPr>
            <w:tcW w:w="5720" w:type="dxa"/>
            <w:vAlign w:val="bottom"/>
            <w:gridSpan w:val="3"/>
          </w:tcPr>
          <w:p>
            <w:pPr>
              <w:ind w:left="260"/>
              <w:spacing w:after="0"/>
              <w:rPr>
                <w:sz w:val="20"/>
                <w:szCs w:val="20"/>
                <w:color w:val="auto"/>
              </w:rPr>
            </w:pPr>
            <w:r>
              <w:rPr>
                <w:rFonts w:ascii="Arial" w:cs="Arial" w:eastAsia="Arial" w:hAnsi="Arial"/>
                <w:sz w:val="17"/>
                <w:szCs w:val="17"/>
                <w:color w:val="auto"/>
              </w:rPr>
              <w:t>Others</w:t>
            </w:r>
          </w:p>
        </w:tc>
        <w:tc>
          <w:tcPr>
            <w:tcW w:w="1040" w:type="dxa"/>
            <w:vAlign w:val="bottom"/>
          </w:tcPr>
          <w:p>
            <w:pPr>
              <w:jc w:val="center"/>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(1,000)</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46"/>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60" w:type="dxa"/>
            <w:vAlign w:val="bottom"/>
            <w:tcBorders>
              <w:bottom w:val="single" w:sz="8" w:color="CCEEFF"/>
            </w:tcBorders>
            <w:gridSpan w:val="2"/>
            <w:shd w:val="clear" w:color="auto" w:fill="CCEEFF"/>
          </w:tcPr>
          <w:p>
            <w:pPr>
              <w:spacing w:after="0" w:line="186" w:lineRule="exact"/>
              <w:rPr>
                <w:sz w:val="20"/>
                <w:szCs w:val="20"/>
                <w:color w:val="auto"/>
              </w:rPr>
            </w:pPr>
            <w:r>
              <w:rPr>
                <w:rFonts w:ascii="Arial" w:cs="Arial" w:eastAsia="Arial" w:hAnsi="Arial"/>
                <w:sz w:val="17"/>
                <w:szCs w:val="17"/>
                <w:color w:val="auto"/>
              </w:rPr>
              <w:t>Total identifiable intangible assets</w:t>
            </w: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169,263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(141,134)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4"/>
              <w:spacing w:after="0" w:line="186" w:lineRule="exact"/>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28,129</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 w:type="dxa"/>
            <w:vAlign w:val="bottom"/>
          </w:tcPr>
          <w:p>
            <w:pPr>
              <w:spacing w:after="0"/>
              <w:rPr>
                <w:sz w:val="20"/>
                <w:szCs w:val="20"/>
                <w:color w:val="auto"/>
              </w:rPr>
            </w:pPr>
            <w:r>
              <w:rPr>
                <w:rFonts w:ascii="Arial" w:cs="Arial" w:eastAsia="Arial" w:hAnsi="Arial"/>
                <w:sz w:val="17"/>
                <w:szCs w:val="17"/>
                <w:b w:val="1"/>
                <w:bCs w:val="1"/>
                <w:color w:val="auto"/>
              </w:rPr>
              <w:t>NOTE 9</w:t>
            </w:r>
          </w:p>
        </w:tc>
        <w:tc>
          <w:tcPr>
            <w:tcW w:w="8200" w:type="dxa"/>
            <w:vAlign w:val="bottom"/>
            <w:gridSpan w:val="2"/>
          </w:tcPr>
          <w:p>
            <w:pPr>
              <w:ind w:left="260"/>
              <w:spacing w:after="0"/>
              <w:rPr>
                <w:sz w:val="20"/>
                <w:szCs w:val="20"/>
                <w:color w:val="auto"/>
              </w:rPr>
            </w:pPr>
            <w:r>
              <w:rPr>
                <w:rFonts w:ascii="Arial" w:cs="Arial" w:eastAsia="Arial" w:hAnsi="Arial"/>
                <w:sz w:val="17"/>
                <w:szCs w:val="17"/>
                <w:b w:val="1"/>
                <w:bCs w:val="1"/>
                <w:color w:val="auto"/>
              </w:rPr>
              <w:t>-   DEFERRED TAX AND OTHER LONG-TERM ASSETS, NET</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24"/>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40" w:type="dxa"/>
            <w:vAlign w:val="bottom"/>
          </w:tcPr>
          <w:p>
            <w:pPr>
              <w:ind w:left="100"/>
              <w:spacing w:after="0"/>
              <w:rPr>
                <w:sz w:val="20"/>
                <w:szCs w:val="20"/>
                <w:color w:val="auto"/>
              </w:rPr>
            </w:pPr>
            <w:r>
              <w:rPr>
                <w:rFonts w:ascii="Arial" w:cs="Arial" w:eastAsia="Arial" w:hAnsi="Arial"/>
                <w:sz w:val="17"/>
                <w:szCs w:val="17"/>
                <w:color w:val="auto"/>
              </w:rPr>
              <w:t>Deferred tax and other long-term assets, net consist of the following:</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0"/>
        </w:trPr>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ind w:left="240"/>
              <w:spacing w:after="0"/>
              <w:rPr>
                <w:sz w:val="20"/>
                <w:szCs w:val="20"/>
                <w:color w:val="auto"/>
              </w:rPr>
            </w:pPr>
            <w:r>
              <w:rPr>
                <w:rFonts w:ascii="Arial" w:cs="Arial" w:eastAsia="Arial" w:hAnsi="Arial"/>
                <w:sz w:val="17"/>
                <w:szCs w:val="17"/>
                <w:color w:val="auto"/>
              </w:rPr>
              <w:t>As of December 31,</w:t>
            </w:r>
          </w:p>
        </w:tc>
      </w:tr>
      <w:tr>
        <w:trPr>
          <w:trHeight w:val="212"/>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2017</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 ( see Note 19)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82,852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40" w:type="dxa"/>
            <w:vAlign w:val="bottom"/>
          </w:tcPr>
          <w:p>
            <w:pPr>
              <w:spacing w:after="0"/>
              <w:rPr>
                <w:sz w:val="20"/>
                <w:szCs w:val="20"/>
                <w:color w:val="auto"/>
              </w:rPr>
            </w:pPr>
            <w:r>
              <w:rPr>
                <w:rFonts w:ascii="Arial" w:cs="Arial" w:eastAsia="Arial" w:hAnsi="Arial"/>
                <w:sz w:val="17"/>
                <w:szCs w:val="17"/>
                <w:color w:val="auto"/>
              </w:rPr>
              <w:t>Prepaid long-term land lease, net (see Note 15C)</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3,417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3,537</w:t>
            </w:r>
          </w:p>
        </w:tc>
      </w:tr>
      <w:tr>
        <w:trPr>
          <w:trHeight w:val="206"/>
        </w:trPr>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cross currency interest rate swap (see Note 13D)</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18,005</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12"/>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7"/>
                <w:szCs w:val="17"/>
                <w:color w:val="auto"/>
              </w:rPr>
              <w:t>Long-term prepaid expenses and others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6,995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910</w:t>
            </w:r>
          </w:p>
        </w:tc>
      </w:tr>
      <w:tr>
        <w:trPr>
          <w:trHeight w:val="246"/>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111,269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620"/>
        </w:trPr>
        <w:tc>
          <w:tcPr>
            <w:tcW w:w="880" w:type="dxa"/>
            <w:vAlign w:val="bottom"/>
          </w:tcPr>
          <w:p>
            <w:pPr>
              <w:spacing w:after="0"/>
              <w:rPr>
                <w:sz w:val="24"/>
                <w:szCs w:val="24"/>
                <w:color w:val="auto"/>
              </w:rPr>
            </w:pPr>
          </w:p>
        </w:tc>
        <w:tc>
          <w:tcPr>
            <w:tcW w:w="8200" w:type="dxa"/>
            <w:vAlign w:val="bottom"/>
            <w:gridSpan w:val="2"/>
          </w:tcPr>
          <w:p>
            <w:pPr>
              <w:jc w:val="right"/>
              <w:ind w:right="3094"/>
              <w:spacing w:after="0"/>
              <w:rPr>
                <w:sz w:val="20"/>
                <w:szCs w:val="20"/>
                <w:color w:val="auto"/>
              </w:rPr>
            </w:pPr>
            <w:r>
              <w:rPr>
                <w:rFonts w:ascii="Arial" w:cs="Arial" w:eastAsia="Arial" w:hAnsi="Arial"/>
                <w:sz w:val="17"/>
                <w:szCs w:val="17"/>
                <w:color w:val="auto"/>
              </w:rPr>
              <w:t>- 21 -</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
        </w:trPr>
        <w:tc>
          <w:tcPr>
            <w:tcW w:w="8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9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38" w:lineRule="exact"/>
        <w:rPr>
          <w:sz w:val="20"/>
          <w:szCs w:val="20"/>
          <w:color w:val="auto"/>
        </w:rPr>
      </w:pPr>
    </w:p>
    <w:p>
      <w:pPr>
        <w:spacing w:after="0"/>
        <w:tabs>
          <w:tab w:leader="none" w:pos="1100" w:val="left"/>
          <w:tab w:leader="none" w:pos="140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OTHER CURRENT LIABILITIES</w:t>
      </w:r>
    </w:p>
    <w:p>
      <w:pPr>
        <w:spacing w:after="0" w:line="286"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Other current liabilities consist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40" w:type="dxa"/>
            <w:vAlign w:val="bottom"/>
            <w:gridSpan w:val="11"/>
          </w:tcPr>
          <w:p>
            <w:pPr>
              <w:jc w:val="right"/>
              <w:ind w:right="520"/>
              <w:spacing w:after="0"/>
              <w:rPr>
                <w:sz w:val="20"/>
                <w:szCs w:val="20"/>
                <w:color w:val="auto"/>
              </w:rPr>
            </w:pPr>
            <w:r>
              <w:rPr>
                <w:rFonts w:ascii="Arial" w:cs="Arial" w:eastAsia="Arial" w:hAnsi="Arial"/>
                <w:sz w:val="17"/>
                <w:szCs w:val="17"/>
                <w:color w:val="auto"/>
                <w:w w:val="93"/>
              </w:rPr>
              <w:t>As of December 31,</w:t>
            </w:r>
          </w:p>
        </w:tc>
      </w:tr>
      <w:tr>
        <w:trPr>
          <w:trHeight w:val="212"/>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bottom w:val="single" w:sz="8" w:color="auto"/>
            </w:tcBorders>
            <w:gridSpan w:val="5"/>
          </w:tcPr>
          <w:p>
            <w:pPr>
              <w:jc w:val="right"/>
              <w:ind w:right="254"/>
              <w:spacing w:after="0"/>
              <w:rPr>
                <w:sz w:val="20"/>
                <w:szCs w:val="20"/>
                <w:color w:val="auto"/>
              </w:rPr>
            </w:pPr>
            <w:r>
              <w:rPr>
                <w:rFonts w:ascii="Arial" w:cs="Arial" w:eastAsia="Arial" w:hAnsi="Arial"/>
                <w:sz w:val="17"/>
                <w:szCs w:val="17"/>
                <w:color w:val="auto"/>
              </w:rPr>
              <w:t>2017</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w w:val="89"/>
              </w:rPr>
              <w:t>2016</w:t>
            </w:r>
          </w:p>
        </w:tc>
        <w:tc>
          <w:tcPr>
            <w:tcW w:w="80" w:type="dxa"/>
            <w:vAlign w:val="bottom"/>
          </w:tcPr>
          <w:p>
            <w:pPr>
              <w:spacing w:after="0"/>
              <w:rPr>
                <w:sz w:val="18"/>
                <w:szCs w:val="18"/>
                <w:color w:val="auto"/>
              </w:rPr>
            </w:pPr>
          </w:p>
        </w:tc>
      </w:tr>
      <w:tr>
        <w:trPr>
          <w:trHeight w:val="20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Interest payable</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3,160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4,683</w:t>
            </w:r>
          </w:p>
        </w:tc>
        <w:tc>
          <w:tcPr>
            <w:tcW w:w="80" w:type="dxa"/>
            <w:vAlign w:val="bottom"/>
            <w:shd w:val="clear" w:color="auto" w:fill="CCEEFF"/>
          </w:tcPr>
          <w:p>
            <w:pPr>
              <w:spacing w:after="0"/>
              <w:rPr>
                <w:sz w:val="17"/>
                <w:szCs w:val="17"/>
                <w:color w:val="auto"/>
              </w:rPr>
            </w:pPr>
          </w:p>
        </w:tc>
      </w:tr>
      <w:tr>
        <w:trPr>
          <w:trHeight w:val="20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5"/>
          </w:tcPr>
          <w:p>
            <w:pPr>
              <w:spacing w:after="0"/>
              <w:rPr>
                <w:sz w:val="20"/>
                <w:szCs w:val="20"/>
                <w:color w:val="auto"/>
              </w:rPr>
            </w:pPr>
            <w:r>
              <w:rPr>
                <w:rFonts w:ascii="Arial" w:cs="Arial" w:eastAsia="Arial" w:hAnsi="Arial"/>
                <w:sz w:val="17"/>
                <w:szCs w:val="17"/>
                <w:color w:val="auto"/>
              </w:rPr>
              <w:t>2014 Japan Restructuring related payables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1,793</w:t>
            </w:r>
          </w:p>
        </w:tc>
        <w:tc>
          <w:tcPr>
            <w:tcW w:w="80" w:type="dxa"/>
            <w:vAlign w:val="bottom"/>
          </w:tcPr>
          <w:p>
            <w:pPr>
              <w:spacing w:after="0"/>
              <w:rPr>
                <w:sz w:val="17"/>
                <w:szCs w:val="17"/>
                <w:color w:val="auto"/>
              </w:rPr>
            </w:pPr>
          </w:p>
        </w:tc>
      </w:tr>
      <w:tr>
        <w:trPr>
          <w:trHeight w:val="206"/>
        </w:trPr>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Tax authorities payables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8,567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10,342</w:t>
            </w:r>
          </w:p>
        </w:tc>
        <w:tc>
          <w:tcPr>
            <w:tcW w:w="80" w:type="dxa"/>
            <w:vAlign w:val="bottom"/>
            <w:shd w:val="clear" w:color="auto" w:fill="CCEEFF"/>
          </w:tcPr>
          <w:p>
            <w:pPr>
              <w:spacing w:after="0"/>
              <w:rPr>
                <w:sz w:val="17"/>
                <w:szCs w:val="17"/>
                <w:color w:val="auto"/>
              </w:rPr>
            </w:pPr>
          </w:p>
        </w:tc>
      </w:tr>
      <w:tr>
        <w:trPr>
          <w:trHeight w:val="212"/>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7"/>
                <w:szCs w:val="17"/>
                <w:color w:val="auto"/>
              </w:rPr>
              <w:t>Others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4,159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7,265</w:t>
            </w:r>
          </w:p>
        </w:tc>
        <w:tc>
          <w:tcPr>
            <w:tcW w:w="80" w:type="dxa"/>
            <w:vAlign w:val="bottom"/>
          </w:tcPr>
          <w:p>
            <w:pPr>
              <w:spacing w:after="0"/>
              <w:rPr>
                <w:sz w:val="18"/>
                <w:szCs w:val="18"/>
                <w:color w:val="auto"/>
              </w:rPr>
            </w:pPr>
          </w:p>
        </w:tc>
      </w:tr>
      <w:tr>
        <w:trPr>
          <w:trHeight w:val="246"/>
        </w:trPr>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15,886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24,083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92"/>
        </w:trPr>
        <w:tc>
          <w:tcPr>
            <w:tcW w:w="900" w:type="dxa"/>
            <w:vAlign w:val="bottom"/>
          </w:tcPr>
          <w:p>
            <w:pPr>
              <w:spacing w:after="0"/>
              <w:rPr>
                <w:sz w:val="20"/>
                <w:szCs w:val="20"/>
                <w:color w:val="auto"/>
              </w:rPr>
            </w:pPr>
            <w:r>
              <w:rPr>
                <w:rFonts w:ascii="Arial" w:cs="Arial" w:eastAsia="Arial" w:hAnsi="Arial"/>
                <w:sz w:val="17"/>
                <w:szCs w:val="17"/>
                <w:b w:val="1"/>
                <w:bCs w:val="1"/>
                <w:color w:val="auto"/>
              </w:rPr>
              <w:t>NOTE 11</w:t>
            </w:r>
          </w:p>
        </w:tc>
        <w:tc>
          <w:tcPr>
            <w:tcW w:w="520" w:type="dxa"/>
            <w:vAlign w:val="bottom"/>
            <w:gridSpan w:val="2"/>
          </w:tcPr>
          <w:p>
            <w:pPr>
              <w:jc w:val="right"/>
              <w:ind w:right="174"/>
              <w:spacing w:after="0"/>
              <w:rPr>
                <w:sz w:val="20"/>
                <w:szCs w:val="20"/>
                <w:color w:val="auto"/>
              </w:rPr>
            </w:pPr>
            <w:r>
              <w:rPr>
                <w:rFonts w:ascii="Arial" w:cs="Arial" w:eastAsia="Arial" w:hAnsi="Arial"/>
                <w:sz w:val="17"/>
                <w:szCs w:val="17"/>
                <w:b w:val="1"/>
                <w:bCs w:val="1"/>
                <w:color w:val="auto"/>
              </w:rPr>
              <w:t>-</w:t>
            </w:r>
          </w:p>
        </w:tc>
        <w:tc>
          <w:tcPr>
            <w:tcW w:w="2260" w:type="dxa"/>
            <w:vAlign w:val="bottom"/>
            <w:gridSpan w:val="2"/>
          </w:tcPr>
          <w:p>
            <w:pPr>
              <w:spacing w:after="0"/>
              <w:rPr>
                <w:sz w:val="20"/>
                <w:szCs w:val="20"/>
                <w:color w:val="auto"/>
              </w:rPr>
            </w:pPr>
            <w:r>
              <w:rPr>
                <w:rFonts w:ascii="Arial" w:cs="Arial" w:eastAsia="Arial" w:hAnsi="Arial"/>
                <w:sz w:val="17"/>
                <w:szCs w:val="17"/>
                <w:b w:val="1"/>
                <w:bCs w:val="1"/>
                <w:color w:val="auto"/>
              </w:rPr>
              <w:t>DEBENTURES</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6"/>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ind w:left="100"/>
              <w:spacing w:after="0"/>
              <w:rPr>
                <w:sz w:val="20"/>
                <w:szCs w:val="20"/>
                <w:color w:val="auto"/>
              </w:rPr>
            </w:pPr>
            <w:r>
              <w:rPr>
                <w:rFonts w:ascii="Arial" w:cs="Arial" w:eastAsia="Arial" w:hAnsi="Arial"/>
                <w:sz w:val="17"/>
                <w:szCs w:val="17"/>
                <w:b w:val="1"/>
                <w:bCs w:val="1"/>
                <w:color w:val="auto"/>
                <w:w w:val="93"/>
              </w:rPr>
              <w:t>A.</w:t>
            </w:r>
          </w:p>
        </w:tc>
        <w:tc>
          <w:tcPr>
            <w:tcW w:w="200" w:type="dxa"/>
            <w:vAlign w:val="bottom"/>
          </w:tcPr>
          <w:p>
            <w:pPr>
              <w:spacing w:after="0"/>
              <w:rPr>
                <w:sz w:val="24"/>
                <w:szCs w:val="24"/>
                <w:color w:val="auto"/>
              </w:rPr>
            </w:pPr>
          </w:p>
        </w:tc>
        <w:tc>
          <w:tcPr>
            <w:tcW w:w="3060" w:type="dxa"/>
            <w:vAlign w:val="bottom"/>
            <w:gridSpan w:val="3"/>
          </w:tcPr>
          <w:p>
            <w:pPr>
              <w:ind w:left="240"/>
              <w:spacing w:after="0"/>
              <w:rPr>
                <w:sz w:val="20"/>
                <w:szCs w:val="20"/>
                <w:color w:val="auto"/>
              </w:rPr>
            </w:pPr>
            <w:r>
              <w:rPr>
                <w:rFonts w:ascii="Arial" w:cs="Arial" w:eastAsia="Arial" w:hAnsi="Arial"/>
                <w:sz w:val="17"/>
                <w:szCs w:val="17"/>
                <w:b w:val="1"/>
                <w:bCs w:val="1"/>
                <w:color w:val="auto"/>
                <w:w w:val="90"/>
              </w:rPr>
              <w:t>Composition by Repayment Schedule:</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0"/>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ind w:left="60"/>
              <w:spacing w:after="0"/>
              <w:rPr>
                <w:sz w:val="20"/>
                <w:szCs w:val="20"/>
                <w:color w:val="auto"/>
              </w:rPr>
            </w:pPr>
            <w:r>
              <w:rPr>
                <w:rFonts w:ascii="Arial" w:cs="Arial" w:eastAsia="Arial" w:hAnsi="Arial"/>
                <w:sz w:val="17"/>
                <w:szCs w:val="17"/>
                <w:color w:val="auto"/>
              </w:rPr>
              <w:t>As of December 31, 2017</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3"/>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0" w:type="dxa"/>
            <w:vAlign w:val="bottom"/>
            <w:gridSpan w:val="2"/>
          </w:tcPr>
          <w:p>
            <w:pPr>
              <w:jc w:val="center"/>
              <w:ind w:right="200"/>
              <w:spacing w:after="0" w:line="194" w:lineRule="exact"/>
              <w:rPr>
                <w:sz w:val="20"/>
                <w:szCs w:val="20"/>
                <w:color w:val="auto"/>
              </w:rPr>
            </w:pPr>
            <w:r>
              <w:rPr>
                <w:rFonts w:ascii="Arial" w:cs="Arial" w:eastAsia="Arial" w:hAnsi="Arial"/>
                <w:sz w:val="17"/>
                <w:szCs w:val="17"/>
                <w:color w:val="auto"/>
                <w:w w:val="91"/>
              </w:rPr>
              <w:t>Interest</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6"/>
          </w:tcPr>
          <w:p>
            <w:pPr>
              <w:jc w:val="center"/>
              <w:ind w:right="100"/>
              <w:spacing w:after="0" w:line="194" w:lineRule="exact"/>
              <w:rPr>
                <w:sz w:val="20"/>
                <w:szCs w:val="20"/>
                <w:color w:val="auto"/>
              </w:rPr>
            </w:pPr>
            <w:r>
              <w:rPr>
                <w:rFonts w:ascii="Arial" w:cs="Arial" w:eastAsia="Arial" w:hAnsi="Arial"/>
                <w:sz w:val="17"/>
                <w:szCs w:val="17"/>
                <w:color w:val="auto"/>
                <w:w w:val="90"/>
              </w:rPr>
              <w:t>2023 and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4"/>
        </w:trPr>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color w:val="auto"/>
                <w:w w:val="81"/>
              </w:rPr>
              <w:t>rate</w:t>
            </w:r>
          </w:p>
        </w:tc>
        <w:tc>
          <w:tcPr>
            <w:tcW w:w="160" w:type="dxa"/>
            <w:vAlign w:val="bottom"/>
          </w:tcPr>
          <w:p>
            <w:pPr>
              <w:spacing w:after="0"/>
              <w:rPr>
                <w:sz w:val="19"/>
                <w:szCs w:val="19"/>
                <w:color w:val="auto"/>
              </w:rPr>
            </w:pPr>
          </w:p>
        </w:tc>
        <w:tc>
          <w:tcPr>
            <w:tcW w:w="640" w:type="dxa"/>
            <w:vAlign w:val="bottom"/>
          </w:tcPr>
          <w:p>
            <w:pPr>
              <w:jc w:val="right"/>
              <w:ind w:right="134"/>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34"/>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34"/>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34"/>
              <w:spacing w:after="0"/>
              <w:rPr>
                <w:sz w:val="20"/>
                <w:szCs w:val="20"/>
                <w:color w:val="auto"/>
              </w:rPr>
            </w:pPr>
            <w:r>
              <w:rPr>
                <w:rFonts w:ascii="Arial" w:cs="Arial" w:eastAsia="Arial" w:hAnsi="Arial"/>
                <w:sz w:val="17"/>
                <w:szCs w:val="17"/>
                <w:color w:val="auto"/>
              </w:rPr>
              <w:t>2021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Arial" w:cs="Arial" w:eastAsia="Arial" w:hAnsi="Arial"/>
                <w:sz w:val="17"/>
                <w:szCs w:val="17"/>
                <w:color w:val="auto"/>
              </w:rPr>
              <w:t>2022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tcPr>
          <w:p>
            <w:pPr>
              <w:jc w:val="center"/>
              <w:ind w:left="34"/>
              <w:spacing w:after="0"/>
              <w:rPr>
                <w:sz w:val="20"/>
                <w:szCs w:val="20"/>
                <w:color w:val="auto"/>
              </w:rPr>
            </w:pPr>
            <w:r>
              <w:rPr>
                <w:rFonts w:ascii="Arial" w:cs="Arial" w:eastAsia="Arial" w:hAnsi="Arial"/>
                <w:sz w:val="17"/>
                <w:szCs w:val="17"/>
                <w:color w:val="auto"/>
                <w:w w:val="84"/>
              </w:rPr>
              <w:t>on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7"/>
                <w:szCs w:val="17"/>
                <w:color w:val="auto"/>
              </w:rPr>
              <w:t>Total</w:t>
            </w:r>
          </w:p>
        </w:tc>
      </w:tr>
      <w:tr>
        <w:trPr>
          <w:trHeight w:val="193"/>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5"/>
              </w:rPr>
              <w:t>Debentures Series G (see B</w:t>
            </w: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below)</w:t>
            </w: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38,568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38,568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38,568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19,283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134,987</w:t>
            </w:r>
          </w:p>
        </w:tc>
        <w:tc>
          <w:tcPr>
            <w:tcW w:w="80" w:type="dxa"/>
            <w:vAlign w:val="bottom"/>
            <w:shd w:val="clear" w:color="auto" w:fill="CCEEFF"/>
          </w:tcPr>
          <w:p>
            <w:pPr>
              <w:spacing w:after="0"/>
              <w:rPr>
                <w:sz w:val="18"/>
                <w:szCs w:val="18"/>
                <w:color w:val="auto"/>
              </w:rPr>
            </w:pPr>
          </w:p>
        </w:tc>
      </w:tr>
      <w:tr>
        <w:trPr>
          <w:trHeight w:val="212"/>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7"/>
                <w:szCs w:val="17"/>
                <w:color w:val="auto"/>
                <w:w w:val="99"/>
              </w:rPr>
              <w:t>Jazz’s Notes (see C below)</w:t>
            </w:r>
          </w:p>
        </w:tc>
        <w:tc>
          <w:tcPr>
            <w:tcW w:w="800" w:type="dxa"/>
            <w:vAlign w:val="bottom"/>
          </w:tcPr>
          <w:p>
            <w:pPr>
              <w:jc w:val="center"/>
              <w:spacing w:after="0"/>
              <w:rPr>
                <w:sz w:val="20"/>
                <w:szCs w:val="20"/>
                <w:color w:val="auto"/>
              </w:rPr>
            </w:pPr>
            <w:r>
              <w:rPr>
                <w:rFonts w:ascii="Arial" w:cs="Arial" w:eastAsia="Arial" w:hAnsi="Arial"/>
                <w:sz w:val="17"/>
                <w:szCs w:val="17"/>
                <w:color w:val="auto"/>
                <w:w w:val="89"/>
              </w:rPr>
              <w:t>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58,307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58,307</w:t>
            </w:r>
          </w:p>
        </w:tc>
        <w:tc>
          <w:tcPr>
            <w:tcW w:w="80" w:type="dxa"/>
            <w:vAlign w:val="bottom"/>
          </w:tcPr>
          <w:p>
            <w:pPr>
              <w:spacing w:after="0"/>
              <w:rPr>
                <w:sz w:val="18"/>
                <w:szCs w:val="18"/>
                <w:color w:val="auto"/>
              </w:rPr>
            </w:pPr>
          </w:p>
        </w:tc>
      </w:tr>
      <w:tr>
        <w:trPr>
          <w:trHeight w:val="193"/>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outstanding principal</w:t>
            </w: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57"/>
        </w:trPr>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amounts of debentures</w:t>
            </w: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58,307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38,568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38,568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38,568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19,283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193,294</w:t>
            </w:r>
          </w:p>
        </w:tc>
        <w:tc>
          <w:tcPr>
            <w:tcW w:w="80" w:type="dxa"/>
            <w:vAlign w:val="bottom"/>
            <w:shd w:val="clear" w:color="auto" w:fill="CCEEFF"/>
          </w:tcPr>
          <w:p>
            <w:pPr>
              <w:spacing w:after="0"/>
              <w:rPr>
                <w:sz w:val="22"/>
                <w:szCs w:val="22"/>
                <w:color w:val="auto"/>
              </w:rPr>
            </w:pPr>
          </w:p>
        </w:tc>
      </w:tr>
      <w:tr>
        <w:trPr>
          <w:trHeight w:val="186"/>
        </w:trPr>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Borders>
              <w:top w:val="single" w:sz="8" w:color="CCEEFF"/>
            </w:tcBorders>
          </w:tcPr>
          <w:p>
            <w:pPr>
              <w:spacing w:after="0" w:line="185" w:lineRule="exact"/>
              <w:rPr>
                <w:sz w:val="20"/>
                <w:szCs w:val="20"/>
                <w:color w:val="auto"/>
              </w:rPr>
            </w:pPr>
            <w:r>
              <w:rPr>
                <w:rFonts w:ascii="Arial" w:cs="Arial" w:eastAsia="Arial" w:hAnsi="Arial"/>
                <w:sz w:val="17"/>
                <w:szCs w:val="17"/>
                <w:color w:val="auto"/>
              </w:rPr>
              <w:t>Accretion of carrying</w:t>
            </w:r>
          </w:p>
        </w:tc>
        <w:tc>
          <w:tcPr>
            <w:tcW w:w="8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24"/>
        </w:trPr>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7"/>
                <w:szCs w:val="17"/>
                <w:color w:val="auto"/>
                <w:w w:val="99"/>
              </w:rPr>
              <w:t>amount to principal amount</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(11,629)</w:t>
            </w:r>
          </w:p>
        </w:tc>
      </w:tr>
      <w:tr>
        <w:trPr>
          <w:trHeight w:val="246"/>
        </w:trPr>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Carrying amount</w:t>
            </w: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181,665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45" w:lineRule="exact"/>
        <w:rPr>
          <w:sz w:val="20"/>
          <w:szCs w:val="20"/>
          <w:color w:val="auto"/>
        </w:rPr>
      </w:pPr>
    </w:p>
    <w:p>
      <w:pPr>
        <w:ind w:left="1780"/>
        <w:spacing w:after="0" w:line="278" w:lineRule="auto"/>
        <w:rPr>
          <w:sz w:val="20"/>
          <w:szCs w:val="20"/>
          <w:color w:val="auto"/>
        </w:rPr>
      </w:pPr>
      <w:r>
        <w:rPr>
          <w:rFonts w:ascii="Arial" w:cs="Arial" w:eastAsia="Arial" w:hAnsi="Arial"/>
          <w:sz w:val="17"/>
          <w:szCs w:val="17"/>
          <w:color w:val="auto"/>
        </w:rPr>
        <w:t>In January 2017, Tower fully redeemed its debentures Series D and Series F which had principal outstanding amounts of $5,977 and $238, respectively, as of December 31, 2016.</w:t>
      </w:r>
    </w:p>
    <w:p>
      <w:pPr>
        <w:spacing w:after="0" w:line="165"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For details with regards to Jazz Notes (see C below). Tower’s Series G Debentures carry a negative pledge covenant (see B below).</w:t>
      </w:r>
    </w:p>
    <w:p>
      <w:pPr>
        <w:spacing w:after="0" w:line="273" w:lineRule="exact"/>
        <w:rPr>
          <w:sz w:val="20"/>
          <w:szCs w:val="20"/>
          <w:color w:val="auto"/>
        </w:rPr>
      </w:pPr>
    </w:p>
    <w:p>
      <w:pPr>
        <w:ind w:left="1780" w:hanging="542"/>
        <w:spacing w:after="0"/>
        <w:tabs>
          <w:tab w:leader="none" w:pos="178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Debentures Series G</w:t>
      </w:r>
    </w:p>
    <w:p>
      <w:pPr>
        <w:spacing w:after="0" w:line="273"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In June 2016, Tower raised approximately $115,000 through the issuance of long-term unsecured non-convertible debentures (“Series G Debentures”).</w:t>
      </w:r>
    </w:p>
    <w:p>
      <w:pPr>
        <w:spacing w:after="0" w:line="216" w:lineRule="exact"/>
        <w:rPr>
          <w:rFonts w:ascii="Arial" w:cs="Arial" w:eastAsia="Arial" w:hAnsi="Arial"/>
          <w:sz w:val="17"/>
          <w:szCs w:val="17"/>
          <w:b w:val="1"/>
          <w:bCs w:val="1"/>
          <w:color w:val="auto"/>
        </w:rPr>
      </w:pPr>
    </w:p>
    <w:p>
      <w:pPr>
        <w:jc w:val="both"/>
        <w:ind w:left="1780"/>
        <w:spacing w:after="0" w:line="306" w:lineRule="auto"/>
        <w:rPr>
          <w:rFonts w:ascii="Arial" w:cs="Arial" w:eastAsia="Arial" w:hAnsi="Arial"/>
          <w:sz w:val="17"/>
          <w:szCs w:val="17"/>
          <w:b w:val="1"/>
          <w:bCs w:val="1"/>
          <w:color w:val="auto"/>
        </w:rPr>
      </w:pPr>
      <w:r>
        <w:rPr>
          <w:rFonts w:ascii="Arial" w:cs="Arial" w:eastAsia="Arial" w:hAnsi="Arial"/>
          <w:sz w:val="15"/>
          <w:szCs w:val="15"/>
          <w:color w:val="auto"/>
        </w:rPr>
        <w:t>The Series G Debentures are payable in seven semi-annual consecutive equal installments from March 2020 to March 2023 and carrying an annual interest rate of 2.79%, payable in thirteen semi-annual consecutive equal installments from March 2017 to March 2023. The principal and interest amounts are denominated in NIS and are not linked to any index or to any other currency. The Company entered into hedging transactions to mitigate the foreign exchange rate differences on the principal and interest using a cross currency swap.</w:t>
      </w:r>
    </w:p>
    <w:p>
      <w:pPr>
        <w:spacing w:after="0" w:line="110" w:lineRule="exact"/>
        <w:rPr>
          <w:rFonts w:ascii="Arial" w:cs="Arial" w:eastAsia="Arial" w:hAnsi="Arial"/>
          <w:sz w:val="17"/>
          <w:szCs w:val="17"/>
          <w:b w:val="1"/>
          <w:bCs w:val="1"/>
          <w:color w:val="auto"/>
        </w:rPr>
      </w:pPr>
    </w:p>
    <w:p>
      <w:pPr>
        <w:ind w:left="5620" w:hanging="92"/>
        <w:spacing w:after="0"/>
        <w:tabs>
          <w:tab w:leader="none" w:pos="5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80" w:val="left"/>
          <w:tab w:leader="none" w:pos="140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6"/>
          <w:szCs w:val="16"/>
          <w:b w:val="1"/>
          <w:bCs w:val="1"/>
          <w:color w:val="auto"/>
        </w:rPr>
        <w:t>DEBENTURES (cont.)</w:t>
      </w:r>
    </w:p>
    <w:p>
      <w:pPr>
        <w:spacing w:after="0" w:line="280" w:lineRule="exact"/>
        <w:rPr>
          <w:sz w:val="20"/>
          <w:szCs w:val="20"/>
          <w:color w:val="auto"/>
        </w:rPr>
      </w:pPr>
    </w:p>
    <w:p>
      <w:pPr>
        <w:ind w:left="1780" w:hanging="542"/>
        <w:spacing w:after="0"/>
        <w:tabs>
          <w:tab w:leader="none" w:pos="178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Debentures Series G (cont.)</w:t>
      </w:r>
    </w:p>
    <w:p>
      <w:pPr>
        <w:spacing w:after="0" w:line="273"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As of December 31, 2017, the outstanding principal amount of Series G Debentures was NIS 468,000 (approximately $135,000), with related hedging transactions net asset fair value of $16,455. The fair value increase in 2017 is mainly attributed to the devaluation of the USD against the NIS (see Note 13D).</w:t>
      </w:r>
    </w:p>
    <w:p>
      <w:pPr>
        <w:spacing w:after="0" w:line="227" w:lineRule="exact"/>
        <w:rPr>
          <w:rFonts w:ascii="Arial" w:cs="Arial" w:eastAsia="Arial" w:hAnsi="Arial"/>
          <w:sz w:val="17"/>
          <w:szCs w:val="17"/>
          <w:b w:val="1"/>
          <w:bCs w:val="1"/>
          <w:color w:val="auto"/>
        </w:rPr>
      </w:pPr>
    </w:p>
    <w:p>
      <w:pPr>
        <w:ind w:left="1780"/>
        <w:spacing w:after="0" w:line="311" w:lineRule="auto"/>
        <w:rPr>
          <w:rFonts w:ascii="Arial" w:cs="Arial" w:eastAsia="Arial" w:hAnsi="Arial"/>
          <w:sz w:val="17"/>
          <w:szCs w:val="17"/>
          <w:b w:val="1"/>
          <w:bCs w:val="1"/>
          <w:color w:val="auto"/>
        </w:rPr>
      </w:pPr>
      <w:r>
        <w:rPr>
          <w:rFonts w:ascii="Arial" w:cs="Arial" w:eastAsia="Arial" w:hAnsi="Arial"/>
          <w:sz w:val="16"/>
          <w:szCs w:val="16"/>
          <w:color w:val="auto"/>
        </w:rPr>
        <w:t>The Series G Debentures’ indenture includes customary financial and other terms and conditions, including a negative pledge and financial covenants. As of December 31, 2017, the Company was in compliance with all of the financial covenants under the indenture.</w:t>
      </w:r>
    </w:p>
    <w:p>
      <w:pPr>
        <w:spacing w:after="0" w:line="186" w:lineRule="exact"/>
        <w:rPr>
          <w:rFonts w:ascii="Arial" w:cs="Arial" w:eastAsia="Arial" w:hAnsi="Arial"/>
          <w:sz w:val="17"/>
          <w:szCs w:val="17"/>
          <w:b w:val="1"/>
          <w:bCs w:val="1"/>
          <w:color w:val="auto"/>
        </w:rPr>
      </w:pPr>
    </w:p>
    <w:p>
      <w:pPr>
        <w:ind w:left="1780" w:hanging="542"/>
        <w:spacing w:after="0"/>
        <w:tabs>
          <w:tab w:leader="none" w:pos="178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Jazz 2014 Notes Exchange Agreement</w:t>
      </w:r>
    </w:p>
    <w:p>
      <w:pPr>
        <w:spacing w:after="0" w:line="273"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In March 2014, Jazz, certain of its domestic subsidiaries and Tower entered into an exchange agreement with certain holders of previously issued Jazz notes from 2010 (the “2014 Participating Holders”) (the “2010 Notes”) according to which Jazz issued new unsecured convertible senior notes due December 2018 (the “2014 Notes” or the “Jazz Notes”) in exchange for approximately $45,000 in aggregate principal amount of the 2010 Notes that were originally due June 2015.</w:t>
      </w:r>
    </w:p>
    <w:p>
      <w:pPr>
        <w:spacing w:after="0" w:line="230"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In addition, in March 2014, Jazz, Tower and certain of the 2014 Participating Holders entered into a purchase agreement pursuant to which they purchased $10,000 in aggregate principal amount of the 2014 Notes for cash consideration.</w:t>
      </w:r>
    </w:p>
    <w:p>
      <w:pPr>
        <w:spacing w:after="0" w:line="216"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Holders of the 2014 Notes may submit a conversion request with respect to their 2014 Notes, to be settled at Jazz’s discretion through cash or ordinary shares of Tower. The conversion price is set to $10.07 per share. Interest on the 2014 Notes at a rate of 8% per annum is payable semiannually.</w:t>
      </w:r>
    </w:p>
    <w:p>
      <w:pPr>
        <w:spacing w:after="0" w:line="175"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The 2014 Notes are unsecured senior obligations of Jazz, rank equally with all other existing and future unsecured senior indebtedness of Jazz, and are effectively subordinated to all existing and future secured indebtedness of Jazz, including the Jazz Credit Line Agreement (see below), to the extent of the value of the collateral securing such indebtedness. The 2014 Notes rank senior to all existing and future subordinated debt. The 2014 Notes are not guaranteed by Tower.</w:t>
      </w:r>
    </w:p>
    <w:p>
      <w:pPr>
        <w:spacing w:after="0" w:line="230"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Holders of the 2014 Notes are entitled, subject to certain conditions and restrictions, to require Jazz to repurchase the 2014 Notes at par value plus accrued interest and 1% redemption premium in the event of certain change of control transactions as set forth in the Indenture governing the 2014 Notes.</w:t>
      </w:r>
    </w:p>
    <w:p>
      <w:pPr>
        <w:spacing w:after="0" w:line="227"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The Indenture contains certain customary covenants including covenants restricting the ability of Jazz and its subsidiaries to, among other things, incur additional debt, incur additional liens, make specified payments and make certain asset sales.</w:t>
      </w:r>
    </w:p>
    <w:p>
      <w:pPr>
        <w:spacing w:after="0" w:line="125" w:lineRule="exact"/>
        <w:rPr>
          <w:rFonts w:ascii="Arial" w:cs="Arial" w:eastAsia="Arial" w:hAnsi="Arial"/>
          <w:sz w:val="17"/>
          <w:szCs w:val="17"/>
          <w:b w:val="1"/>
          <w:bCs w:val="1"/>
          <w:color w:val="auto"/>
        </w:rPr>
      </w:pPr>
    </w:p>
    <w:p>
      <w:pPr>
        <w:ind w:left="5620" w:hanging="92"/>
        <w:spacing w:after="0"/>
        <w:tabs>
          <w:tab w:leader="none" w:pos="56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80" w:val="left"/>
          <w:tab w:leader="none" w:pos="140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6"/>
          <w:szCs w:val="16"/>
          <w:b w:val="1"/>
          <w:bCs w:val="1"/>
          <w:color w:val="auto"/>
        </w:rPr>
        <w:t>DEBENTURES (cont.)</w:t>
      </w:r>
    </w:p>
    <w:p>
      <w:pPr>
        <w:spacing w:after="0" w:line="280" w:lineRule="exact"/>
        <w:rPr>
          <w:sz w:val="20"/>
          <w:szCs w:val="20"/>
          <w:color w:val="auto"/>
        </w:rPr>
      </w:pPr>
    </w:p>
    <w:p>
      <w:pPr>
        <w:ind w:left="1780" w:hanging="542"/>
        <w:spacing w:after="0"/>
        <w:tabs>
          <w:tab w:leader="none" w:pos="178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Jazz 2014 Notes Exchange Agreement (cont.)</w:t>
      </w:r>
    </w:p>
    <w:p>
      <w:pPr>
        <w:spacing w:after="0" w:line="273"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Jazz’s obligations under the 2014 Notes are guaranteed by Jazz’s wholly owned domestic subsidiaries.</w:t>
      </w:r>
    </w:p>
    <w:p>
      <w:pPr>
        <w:spacing w:after="0" w:line="267"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As of December 31, 2017 and 2016, approximately $58,000 principal amount of 2014 Notes was outstanding.</w:t>
      </w:r>
    </w:p>
    <w:p>
      <w:pPr>
        <w:spacing w:after="0" w:line="21" w:lineRule="exact"/>
        <w:rPr>
          <w:rFonts w:ascii="Arial" w:cs="Arial" w:eastAsia="Arial" w:hAnsi="Arial"/>
          <w:sz w:val="17"/>
          <w:szCs w:val="17"/>
          <w:b w:val="1"/>
          <w:bCs w:val="1"/>
          <w:color w:val="auto"/>
        </w:rPr>
      </w:pPr>
    </w:p>
    <w:p>
      <w:pPr>
        <w:jc w:val="both"/>
        <w:ind w:left="178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Jazz Credit Line Agreement imposes certain limitations on the ability to repay the 2014 Notes and/or to incur additional indebtedness without Wells Fargo’s consent. Any default on payment or refinancing of the 2014 Notes prior to said notes maturity, in a form not satisfactory to Wells Fargo, may trigger a cross default under the Jazz Credit Line Agreement, which would permit the lenders to accelerate the obligations thereunder, potentially requiring Jazz to repay or refinance the Jazz Credit Line Agreement. As of December 31, 2017 there are no outstanding loan drawdowns under the Wells Fargo Credit Line.</w:t>
      </w:r>
    </w:p>
    <w:p>
      <w:pPr>
        <w:spacing w:after="0" w:line="269" w:lineRule="exact"/>
        <w:rPr>
          <w:sz w:val="20"/>
          <w:szCs w:val="20"/>
          <w:color w:val="auto"/>
        </w:rPr>
      </w:pPr>
    </w:p>
    <w:p>
      <w:pPr>
        <w:spacing w:after="0"/>
        <w:tabs>
          <w:tab w:leader="none" w:pos="1100" w:val="left"/>
          <w:tab w:leader="none" w:pos="140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OTHER LONG-TERM DEBT</w:t>
      </w:r>
    </w:p>
    <w:p>
      <w:pPr>
        <w:spacing w:after="0" w:line="280" w:lineRule="exact"/>
        <w:rPr>
          <w:sz w:val="20"/>
          <w:szCs w:val="20"/>
          <w:color w:val="auto"/>
        </w:rPr>
      </w:pPr>
    </w:p>
    <w:tbl>
      <w:tblPr>
        <w:tblLayout w:type="fixed"/>
        <w:tblInd w:w="124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7"/>
                <w:szCs w:val="17"/>
                <w:b w:val="1"/>
                <w:bCs w:val="1"/>
                <w:color w:val="auto"/>
              </w:rPr>
              <w:t>A.</w:t>
            </w:r>
          </w:p>
        </w:tc>
        <w:tc>
          <w:tcPr>
            <w:tcW w:w="7560" w:type="dxa"/>
            <w:vAlign w:val="bottom"/>
          </w:tcPr>
          <w:p>
            <w:pPr>
              <w:ind w:left="160"/>
              <w:spacing w:after="0"/>
              <w:rPr>
                <w:sz w:val="20"/>
                <w:szCs w:val="20"/>
                <w:color w:val="auto"/>
              </w:rPr>
            </w:pPr>
            <w:r>
              <w:rPr>
                <w:rFonts w:ascii="Arial" w:cs="Arial" w:eastAsia="Arial" w:hAnsi="Arial"/>
                <w:sz w:val="17"/>
                <w:szCs w:val="17"/>
                <w:b w:val="1"/>
                <w:bCs w:val="1"/>
                <w:color w:val="auto"/>
              </w:rPr>
              <w:t>Composition:</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70"/>
        </w:trPr>
        <w:tc>
          <w:tcPr>
            <w:tcW w:w="3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tcPr>
          <w:p>
            <w:pPr>
              <w:jc w:val="right"/>
              <w:ind w:right="480"/>
              <w:spacing w:after="0"/>
              <w:rPr>
                <w:sz w:val="20"/>
                <w:szCs w:val="20"/>
                <w:color w:val="auto"/>
              </w:rPr>
            </w:pPr>
            <w:r>
              <w:rPr>
                <w:rFonts w:ascii="Arial" w:cs="Arial" w:eastAsia="Arial" w:hAnsi="Arial"/>
                <w:sz w:val="17"/>
                <w:szCs w:val="17"/>
                <w:color w:val="auto"/>
              </w:rPr>
              <w:t>As of December 31,</w:t>
            </w:r>
          </w:p>
        </w:tc>
      </w:tr>
      <w:tr>
        <w:trPr>
          <w:trHeight w:val="212"/>
        </w:trPr>
        <w:tc>
          <w:tcPr>
            <w:tcW w:w="38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206"/>
        </w:trPr>
        <w:tc>
          <w:tcPr>
            <w:tcW w:w="38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In U.S. Dollars, see also E below</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80" w:type="dxa"/>
            <w:vAlign w:val="bottom"/>
            <w:shd w:val="clear" w:color="auto" w:fill="CCEEFF"/>
          </w:tcPr>
          <w:p>
            <w:pPr>
              <w:spacing w:after="0"/>
              <w:rPr>
                <w:sz w:val="17"/>
                <w:szCs w:val="17"/>
                <w:color w:val="auto"/>
              </w:rPr>
            </w:pPr>
          </w:p>
        </w:tc>
      </w:tr>
      <w:tr>
        <w:trPr>
          <w:trHeight w:val="212"/>
        </w:trPr>
        <w:tc>
          <w:tcPr>
            <w:tcW w:w="38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In JPY, see also D below</w:t>
            </w: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98,239</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126,376</w:t>
            </w:r>
          </w:p>
        </w:tc>
      </w:tr>
      <w:tr>
        <w:trPr>
          <w:trHeight w:val="206"/>
        </w:trPr>
        <w:tc>
          <w:tcPr>
            <w:tcW w:w="38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Total long-term loan from banks - principal amount</w:t>
            </w: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138,239</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166,376</w:t>
            </w:r>
          </w:p>
        </w:tc>
        <w:tc>
          <w:tcPr>
            <w:tcW w:w="80" w:type="dxa"/>
            <w:vAlign w:val="bottom"/>
            <w:shd w:val="clear" w:color="auto" w:fill="CCEEFF"/>
          </w:tcPr>
          <w:p>
            <w:pPr>
              <w:spacing w:after="0"/>
              <w:rPr>
                <w:sz w:val="17"/>
                <w:szCs w:val="17"/>
                <w:color w:val="auto"/>
              </w:rPr>
            </w:pPr>
          </w:p>
        </w:tc>
      </w:tr>
      <w:tr>
        <w:trPr>
          <w:trHeight w:val="212"/>
        </w:trPr>
        <w:tc>
          <w:tcPr>
            <w:tcW w:w="38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Deferred issuance costs</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(1,077)</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(1,344)</w:t>
            </w:r>
          </w:p>
        </w:tc>
      </w:tr>
      <w:tr>
        <w:trPr>
          <w:trHeight w:val="206"/>
        </w:trPr>
        <w:tc>
          <w:tcPr>
            <w:tcW w:w="38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Total long-term loans from banks</w:t>
            </w: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137,162</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165,032</w:t>
            </w:r>
          </w:p>
        </w:tc>
        <w:tc>
          <w:tcPr>
            <w:tcW w:w="80" w:type="dxa"/>
            <w:vAlign w:val="bottom"/>
            <w:shd w:val="clear" w:color="auto" w:fill="CCEEFF"/>
          </w:tcPr>
          <w:p>
            <w:pPr>
              <w:spacing w:after="0"/>
              <w:rPr>
                <w:sz w:val="17"/>
                <w:szCs w:val="17"/>
                <w:color w:val="auto"/>
              </w:rPr>
            </w:pPr>
          </w:p>
        </w:tc>
      </w:tr>
      <w:tr>
        <w:trPr>
          <w:trHeight w:val="206"/>
        </w:trPr>
        <w:tc>
          <w:tcPr>
            <w:tcW w:w="380" w:type="dxa"/>
            <w:vAlign w:val="bottom"/>
          </w:tcPr>
          <w:p>
            <w:pPr>
              <w:spacing w:after="0"/>
              <w:rPr>
                <w:sz w:val="17"/>
                <w:szCs w:val="17"/>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Capital leases - see Note 15C</w:t>
            </w:r>
          </w:p>
        </w:tc>
        <w:tc>
          <w:tcPr>
            <w:tcW w:w="2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15,854</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12"/>
        </w:trPr>
        <w:tc>
          <w:tcPr>
            <w:tcW w:w="38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Current maturities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(52,661)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(31,869)</w:t>
            </w:r>
          </w:p>
        </w:tc>
      </w:tr>
      <w:tr>
        <w:trPr>
          <w:trHeight w:val="206"/>
        </w:trPr>
        <w:tc>
          <w:tcPr>
            <w:tcW w:w="380" w:type="dxa"/>
            <w:vAlign w:val="bottom"/>
          </w:tcPr>
          <w:p>
            <w:pPr>
              <w:spacing w:after="0"/>
              <w:rPr>
                <w:sz w:val="17"/>
                <w:szCs w:val="17"/>
                <w:color w:val="auto"/>
              </w:rPr>
            </w:pPr>
          </w:p>
        </w:tc>
        <w:tc>
          <w:tcPr>
            <w:tcW w:w="756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100,355</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133,163</w:t>
            </w:r>
          </w:p>
        </w:tc>
        <w:tc>
          <w:tcPr>
            <w:tcW w:w="80" w:type="dxa"/>
            <w:vAlign w:val="bottom"/>
            <w:tcBorders>
              <w:top w:val="single" w:sz="8" w:color="CCEEFF"/>
            </w:tcBorders>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9" w:lineRule="exact"/>
        <w:rPr>
          <w:sz w:val="20"/>
          <w:szCs w:val="20"/>
          <w:color w:val="auto"/>
        </w:rPr>
      </w:pPr>
    </w:p>
    <w:p>
      <w:pPr>
        <w:ind w:left="1780" w:hanging="542"/>
        <w:spacing w:after="0"/>
        <w:tabs>
          <w:tab w:leader="none" w:pos="178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Composition by Repayment Schedule of Loans:</w:t>
      </w:r>
    </w:p>
    <w:p>
      <w:pPr>
        <w:spacing w:after="0" w:line="274" w:lineRule="exact"/>
        <w:rPr>
          <w:sz w:val="20"/>
          <w:szCs w:val="20"/>
          <w:color w:val="auto"/>
        </w:rPr>
      </w:pPr>
    </w:p>
    <w:tbl>
      <w:tblPr>
        <w:tblLayout w:type="fixed"/>
        <w:tblInd w:w="1620" w:type="dxa"/>
        <w:tblCellMar>
          <w:top w:w="0" w:type="dxa"/>
          <w:left w:w="0" w:type="dxa"/>
          <w:bottom w:w="0" w:type="dxa"/>
          <w:right w:w="0" w:type="dxa"/>
        </w:tblCellMar>
      </w:tblPr>
      <w:tr>
        <w:trPr>
          <w:trHeight w:val="224"/>
        </w:trPr>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0"/>
              </w:rPr>
              <w:t>Interest rate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4"/>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4"/>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4"/>
              <w:spacing w:after="0"/>
              <w:rPr>
                <w:sz w:val="20"/>
                <w:szCs w:val="20"/>
                <w:color w:val="auto"/>
              </w:rPr>
            </w:pPr>
            <w:r>
              <w:rPr>
                <w:rFonts w:ascii="Arial" w:cs="Arial" w:eastAsia="Arial" w:hAnsi="Arial"/>
                <w:sz w:val="17"/>
                <w:szCs w:val="17"/>
                <w:color w:val="auto"/>
              </w:rPr>
              <w:t>2020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54"/>
              <w:spacing w:after="0"/>
              <w:rPr>
                <w:sz w:val="20"/>
                <w:szCs w:val="20"/>
                <w:color w:val="auto"/>
              </w:rPr>
            </w:pPr>
            <w:r>
              <w:rPr>
                <w:rFonts w:ascii="Arial" w:cs="Arial" w:eastAsia="Arial" w:hAnsi="Arial"/>
                <w:sz w:val="17"/>
                <w:szCs w:val="17"/>
                <w:color w:val="auto"/>
              </w:rPr>
              <w:t>2021</w:t>
            </w:r>
          </w:p>
        </w:tc>
        <w:tc>
          <w:tcPr>
            <w:tcW w:w="200" w:type="dxa"/>
            <w:vAlign w:val="bottom"/>
          </w:tcPr>
          <w:p>
            <w:pPr>
              <w:spacing w:after="0"/>
              <w:rPr>
                <w:sz w:val="19"/>
                <w:szCs w:val="19"/>
                <w:color w:val="auto"/>
              </w:rPr>
            </w:pPr>
          </w:p>
        </w:tc>
        <w:tc>
          <w:tcPr>
            <w:tcW w:w="1220" w:type="dxa"/>
            <w:vAlign w:val="bottom"/>
            <w:gridSpan w:val="3"/>
          </w:tcPr>
          <w:p>
            <w:pPr>
              <w:ind w:left="80"/>
              <w:spacing w:after="0"/>
              <w:rPr>
                <w:sz w:val="20"/>
                <w:szCs w:val="20"/>
                <w:color w:val="auto"/>
              </w:rPr>
            </w:pPr>
            <w:r>
              <w:rPr>
                <w:rFonts w:ascii="Arial" w:cs="Arial" w:eastAsia="Arial" w:hAnsi="Arial"/>
                <w:sz w:val="17"/>
                <w:szCs w:val="17"/>
                <w:color w:val="auto"/>
              </w:rPr>
              <w:t>2022 and on</w:t>
            </w: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06"/>
        </w:trPr>
        <w:tc>
          <w:tcPr>
            <w:tcW w:w="1000" w:type="dxa"/>
            <w:vAlign w:val="bottom"/>
            <w:shd w:val="clear" w:color="auto" w:fill="CCEEFF"/>
          </w:tcPr>
          <w:p>
            <w:pPr>
              <w:spacing w:after="0"/>
              <w:rPr>
                <w:sz w:val="20"/>
                <w:szCs w:val="20"/>
                <w:color w:val="auto"/>
              </w:rPr>
            </w:pPr>
            <w:r>
              <w:rPr>
                <w:rFonts w:ascii="Arial" w:cs="Arial" w:eastAsia="Arial" w:hAnsi="Arial"/>
                <w:sz w:val="17"/>
                <w:szCs w:val="17"/>
                <w:color w:val="auto"/>
                <w:w w:val="93"/>
              </w:rPr>
              <w:t>In U.S Dollars</w:t>
            </w:r>
          </w:p>
        </w:tc>
        <w:tc>
          <w:tcPr>
            <w:tcW w:w="260" w:type="dxa"/>
            <w:vAlign w:val="bottom"/>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6"/>
              </w:rPr>
              <w:t>Libor + 2.00%</w:t>
            </w: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w w:val="84"/>
              </w:rPr>
              <w:t>11,429</w:t>
            </w: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11,428</w:t>
            </w:r>
          </w:p>
        </w:tc>
        <w:tc>
          <w:tcPr>
            <w:tcW w:w="20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4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w w:val="70"/>
              </w:rPr>
              <w:t>--</w:t>
            </w: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000" w:type="dxa"/>
            <w:vAlign w:val="bottom"/>
            <w:vMerge w:val="restart"/>
          </w:tcPr>
          <w:p>
            <w:pPr>
              <w:spacing w:after="0"/>
              <w:rPr>
                <w:sz w:val="20"/>
                <w:szCs w:val="20"/>
                <w:color w:val="auto"/>
              </w:rPr>
            </w:pPr>
            <w:r>
              <w:rPr>
                <w:rFonts w:ascii="Arial" w:cs="Arial" w:eastAsia="Arial" w:hAnsi="Arial"/>
                <w:sz w:val="17"/>
                <w:szCs w:val="17"/>
                <w:color w:val="auto"/>
              </w:rPr>
              <w:t>In JPY</w:t>
            </w:r>
          </w:p>
        </w:tc>
        <w:tc>
          <w:tcPr>
            <w:tcW w:w="260" w:type="dxa"/>
            <w:vAlign w:val="bottom"/>
          </w:tcPr>
          <w:p>
            <w:pPr>
              <w:spacing w:after="0"/>
              <w:rPr>
                <w:sz w:val="16"/>
                <w:szCs w:val="16"/>
                <w:color w:val="auto"/>
              </w:rPr>
            </w:pPr>
          </w:p>
        </w:tc>
        <w:tc>
          <w:tcPr>
            <w:tcW w:w="1300" w:type="dxa"/>
            <w:vAlign w:val="bottom"/>
          </w:tcPr>
          <w:p>
            <w:pPr>
              <w:jc w:val="center"/>
              <w:spacing w:after="0" w:line="194" w:lineRule="exact"/>
              <w:rPr>
                <w:sz w:val="20"/>
                <w:szCs w:val="20"/>
                <w:color w:val="auto"/>
              </w:rPr>
            </w:pPr>
            <w:r>
              <w:rPr>
                <w:rFonts w:ascii="Arial" w:cs="Arial" w:eastAsia="Arial" w:hAnsi="Arial"/>
                <w:sz w:val="17"/>
                <w:szCs w:val="17"/>
                <w:color w:val="auto"/>
                <w:w w:val="93"/>
              </w:rPr>
              <w:t>Tibor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43,915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32,747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restart"/>
          </w:tcPr>
          <w:p>
            <w:pPr>
              <w:ind w:left="320"/>
              <w:spacing w:after="0"/>
              <w:rPr>
                <w:sz w:val="20"/>
                <w:szCs w:val="20"/>
                <w:color w:val="auto"/>
              </w:rPr>
            </w:pPr>
            <w:r>
              <w:rPr>
                <w:rFonts w:ascii="Arial" w:cs="Arial" w:eastAsia="Arial" w:hAnsi="Arial"/>
                <w:sz w:val="17"/>
                <w:szCs w:val="17"/>
                <w:color w:val="auto"/>
              </w:rPr>
              <w:t>21,577</w:t>
            </w:r>
          </w:p>
        </w:tc>
        <w:tc>
          <w:tcPr>
            <w:tcW w:w="2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vMerge w:val="restart"/>
          </w:tcPr>
          <w:p>
            <w:pPr>
              <w:ind w:left="4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98,239</w:t>
            </w:r>
          </w:p>
        </w:tc>
        <w:tc>
          <w:tcPr>
            <w:tcW w:w="0" w:type="dxa"/>
            <w:vAlign w:val="bottom"/>
          </w:tcPr>
          <w:p>
            <w:pPr>
              <w:spacing w:after="0"/>
              <w:rPr>
                <w:sz w:val="1"/>
                <w:szCs w:val="1"/>
                <w:color w:val="auto"/>
              </w:rPr>
            </w:pPr>
          </w:p>
        </w:tc>
      </w:tr>
      <w:tr>
        <w:trPr>
          <w:trHeight w:val="198"/>
        </w:trPr>
        <w:tc>
          <w:tcPr>
            <w:tcW w:w="1000" w:type="dxa"/>
            <w:vAlign w:val="bottom"/>
            <w:vMerge w:val="continue"/>
          </w:tcPr>
          <w:p>
            <w:pPr>
              <w:spacing w:after="0"/>
              <w:rPr>
                <w:sz w:val="17"/>
                <w:szCs w:val="17"/>
                <w:color w:val="auto"/>
              </w:rPr>
            </w:pPr>
          </w:p>
        </w:tc>
        <w:tc>
          <w:tcPr>
            <w:tcW w:w="1560" w:type="dxa"/>
            <w:vAlign w:val="bottom"/>
            <w:gridSpan w:val="2"/>
          </w:tcPr>
          <w:p>
            <w:pPr>
              <w:jc w:val="center"/>
              <w:ind w:left="174"/>
              <w:spacing w:after="0" w:line="193" w:lineRule="exact"/>
              <w:rPr>
                <w:sz w:val="20"/>
                <w:szCs w:val="20"/>
                <w:color w:val="auto"/>
              </w:rPr>
            </w:pPr>
            <w:r>
              <w:rPr>
                <w:rFonts w:ascii="Arial" w:cs="Arial" w:eastAsia="Arial" w:hAnsi="Arial"/>
                <w:sz w:val="17"/>
                <w:szCs w:val="17"/>
                <w:color w:val="auto"/>
                <w:w w:val="92"/>
              </w:rPr>
              <w:t>1.65%-2.00%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60" w:type="dxa"/>
            <w:vAlign w:val="bottom"/>
            <w:gridSpan w:val="3"/>
            <w:shd w:val="clear" w:color="auto" w:fill="CCEEFF"/>
          </w:tcPr>
          <w:p>
            <w:pPr>
              <w:jc w:val="center"/>
              <w:spacing w:after="0" w:line="194" w:lineRule="exact"/>
              <w:rPr>
                <w:sz w:val="20"/>
                <w:szCs w:val="20"/>
                <w:color w:val="auto"/>
              </w:rPr>
            </w:pPr>
            <w:r>
              <w:rPr>
                <w:rFonts w:ascii="Arial" w:cs="Arial" w:eastAsia="Arial" w:hAnsi="Arial"/>
                <w:sz w:val="17"/>
                <w:szCs w:val="17"/>
                <w:color w:val="auto"/>
                <w:w w:val="91"/>
              </w:rPr>
              <w:t>Total outstanding principal amounts</w:t>
            </w: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0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934"/>
              <w:spacing w:after="0"/>
              <w:rPr>
                <w:sz w:val="20"/>
                <w:szCs w:val="20"/>
                <w:color w:val="auto"/>
              </w:rPr>
            </w:pPr>
            <w:r>
              <w:rPr>
                <w:rFonts w:ascii="Arial" w:cs="Arial" w:eastAsia="Arial" w:hAnsi="Arial"/>
                <w:sz w:val="17"/>
                <w:szCs w:val="17"/>
                <w:color w:val="auto"/>
                <w:w w:val="90"/>
              </w:rPr>
              <w:t>of loans</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49,629</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44,176</w:t>
            </w:r>
          </w:p>
        </w:tc>
        <w:tc>
          <w:tcPr>
            <w:tcW w:w="3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33,006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11,428</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138,239</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For repayment schedule of capital lease agreements, see Note 15C.</w:t>
      </w:r>
    </w:p>
    <w:p>
      <w:pPr>
        <w:spacing w:after="0" w:line="178"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55" w:lineRule="exact"/>
        <w:rPr>
          <w:sz w:val="20"/>
          <w:szCs w:val="20"/>
          <w:color w:val="auto"/>
        </w:rPr>
      </w:pPr>
    </w:p>
    <w:p>
      <w:pPr>
        <w:spacing w:after="0"/>
        <w:tabs>
          <w:tab w:leader="none" w:pos="1180" w:val="left"/>
          <w:tab w:leader="none" w:pos="1620" w:val="left"/>
        </w:tabs>
        <w:rPr>
          <w:sz w:val="20"/>
          <w:szCs w:val="20"/>
          <w:color w:val="auto"/>
        </w:rPr>
      </w:pPr>
      <w:r>
        <w:rPr>
          <w:rFonts w:ascii="Arial" w:cs="Arial" w:eastAsia="Arial" w:hAnsi="Arial"/>
          <w:sz w:val="21"/>
          <w:szCs w:val="21"/>
          <w:b w:val="1"/>
          <w:bCs w:val="1"/>
          <w:color w:val="auto"/>
        </w:rPr>
        <w:t>NOTE 12</w:t>
      </w:r>
      <w:r>
        <w:rPr>
          <w:sz w:val="20"/>
          <w:szCs w:val="20"/>
          <w:color w:val="auto"/>
        </w:rPr>
        <w:tab/>
      </w:r>
      <w:r>
        <w:rPr>
          <w:rFonts w:ascii="Arial" w:cs="Arial" w:eastAsia="Arial" w:hAnsi="Arial"/>
          <w:sz w:val="21"/>
          <w:szCs w:val="21"/>
          <w:b w:val="1"/>
          <w:bCs w:val="1"/>
          <w:color w:val="auto"/>
        </w:rPr>
        <w:t>-</w:t>
      </w:r>
      <w:r>
        <w:rPr>
          <w:sz w:val="20"/>
          <w:szCs w:val="20"/>
          <w:color w:val="auto"/>
        </w:rPr>
        <w:tab/>
      </w:r>
      <w:r>
        <w:rPr>
          <w:rFonts w:ascii="Arial" w:cs="Arial" w:eastAsia="Arial" w:hAnsi="Arial"/>
          <w:sz w:val="20"/>
          <w:szCs w:val="20"/>
          <w:b w:val="1"/>
          <w:bCs w:val="1"/>
          <w:color w:val="auto"/>
        </w:rPr>
        <w:t>OTHER LONG-TERM DEBT (cont.)</w:t>
      </w:r>
    </w:p>
    <w:p>
      <w:pPr>
        <w:spacing w:after="0" w:line="269" w:lineRule="exact"/>
        <w:rPr>
          <w:sz w:val="20"/>
          <w:szCs w:val="20"/>
          <w:color w:val="auto"/>
        </w:rPr>
      </w:pPr>
    </w:p>
    <w:p>
      <w:pPr>
        <w:ind w:left="1780" w:hanging="542"/>
        <w:spacing w:after="0"/>
        <w:tabs>
          <w:tab w:leader="none" w:pos="178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Wells Fargo Credit Line</w:t>
      </w:r>
    </w:p>
    <w:p>
      <w:pPr>
        <w:spacing w:after="0" w:line="273" w:lineRule="exact"/>
        <w:rPr>
          <w:rFonts w:ascii="Arial" w:cs="Arial" w:eastAsia="Arial" w:hAnsi="Arial"/>
          <w:sz w:val="17"/>
          <w:szCs w:val="17"/>
          <w:b w:val="1"/>
          <w:bCs w:val="1"/>
          <w:color w:val="auto"/>
        </w:rPr>
      </w:pPr>
    </w:p>
    <w:p>
      <w:pPr>
        <w:jc w:val="both"/>
        <w:ind w:left="178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In December 2013, Jazz entered into an agreement with Wells Fargo Capital Finance, part of Wells Fargo &amp; Company (“Wells Fargo”), for a five-year secured asset-based revolving credit line in the total amount of up to $70,000, maturing in December 2018 (the “Jazz Credit Line Agreement”). The applicable interest on the loans under the Jazz Credit Line Agreement for the period following February 2016 is at a rate equal to, at lender’s option, either the lender’s prime rate plus a margin ranging from 0.25% to 0.75% or the LIBOR rate plus a margin ranging from 1.5% to 2.0% per annum.</w:t>
      </w:r>
    </w:p>
    <w:p>
      <w:pPr>
        <w:spacing w:after="0" w:line="231" w:lineRule="exact"/>
        <w:rPr>
          <w:rFonts w:ascii="Arial" w:cs="Arial" w:eastAsia="Arial" w:hAnsi="Arial"/>
          <w:sz w:val="17"/>
          <w:szCs w:val="17"/>
          <w:b w:val="1"/>
          <w:bCs w:val="1"/>
          <w:color w:val="auto"/>
        </w:rPr>
      </w:pPr>
    </w:p>
    <w:p>
      <w:pPr>
        <w:jc w:val="both"/>
        <w:ind w:left="178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The outstanding borrowing availability varies from time to time based on the levels of Jazz’s eligible accounts receivable, eligible equipment, eligible inventories and other terms and conditions described in the Jazz Credit Line Agreement. The obligations of Jazz under the Jazz Credit Line Agreement are secured by a security interest on all the assets of Jazz. The Jazz Credit Line Agreement contains customary covenants and other terms, including customary events of default. If any event of default will occur, Wells Fargo may declare all borrowings under the facility due immediately and foreclose on the collateral. Furthermore, an event of default under the Credit Line Agreement would result in an increase in the interest rate on any amounts outstanding. Jazz’s obligations pursuant to the Jazz Credit Line Agreement are not guaranteed by Tower or any of its affiliates.</w:t>
      </w:r>
    </w:p>
    <w:p>
      <w:pPr>
        <w:spacing w:after="0" w:line="232"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As of December 31, 2017, borrowing availability under the Jazz Credit Line Agreement was approximately $58,000, of which approximately $1,000 was utilized through letters of credit.</w:t>
      </w:r>
    </w:p>
    <w:p>
      <w:pPr>
        <w:spacing w:after="0" w:line="216"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As of December 31, 2016 and 2017 no loan amounts were outstanding.</w:t>
      </w:r>
    </w:p>
    <w:p>
      <w:pPr>
        <w:spacing w:after="0" w:line="267"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As of December 31, 2017, Jazz was in compliance with all of the covenants under this agreement.</w:t>
      </w:r>
    </w:p>
    <w:p>
      <w:pPr>
        <w:spacing w:after="0" w:line="267"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In February 2018, Jazz and Wells Fargo signed an amendment to the Jazz Credit Line Agreement for a five years extension to the Jazz Credit Line Agreement to mature in 2023, in the total amount of up to $70,000. The applicable interest on the loans is at a rate equal to, at lender’s option, either the lender’s prime rate plus a margin ranging from 0.0% to 0.5% or the LIBOR rate plus a margin ranging from 1.25% to 1.75% per annum.</w:t>
      </w:r>
    </w:p>
    <w:p>
      <w:pPr>
        <w:spacing w:after="0" w:line="224" w:lineRule="exact"/>
        <w:rPr>
          <w:rFonts w:ascii="Arial" w:cs="Arial" w:eastAsia="Arial" w:hAnsi="Arial"/>
          <w:sz w:val="17"/>
          <w:szCs w:val="17"/>
          <w:b w:val="1"/>
          <w:bCs w:val="1"/>
          <w:color w:val="auto"/>
        </w:rPr>
      </w:pPr>
    </w:p>
    <w:p>
      <w:pPr>
        <w:ind w:left="1780" w:hanging="542"/>
        <w:spacing w:after="0"/>
        <w:tabs>
          <w:tab w:leader="none" w:pos="178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Loans to TPSCo from Japanese Financial Institutions</w:t>
      </w:r>
    </w:p>
    <w:p>
      <w:pPr>
        <w:spacing w:after="0" w:line="273"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In June 2014, TPSCo entered into a long-term loan agreement with JA Mitsui Leasing, Ltd. and Bank of Tokyo (BOT) Lease Co., Ltd, under which it borrowed 8.8 billion Japanese Yen (outstanding principal amount was approximately $33,000 and $53,000 as of December 31, 2017 and 2016, respectively).</w:t>
      </w:r>
    </w:p>
    <w:p>
      <w:pPr>
        <w:spacing w:after="0" w:line="394" w:lineRule="exact"/>
        <w:rPr>
          <w:rFonts w:ascii="Arial" w:cs="Arial" w:eastAsia="Arial" w:hAnsi="Arial"/>
          <w:sz w:val="17"/>
          <w:szCs w:val="17"/>
          <w:b w:val="1"/>
          <w:bCs w:val="1"/>
          <w:color w:val="auto"/>
        </w:rPr>
      </w:pPr>
    </w:p>
    <w:p>
      <w:pPr>
        <w:ind w:left="5620" w:hanging="92"/>
        <w:spacing w:after="0"/>
        <w:tabs>
          <w:tab w:leader="none" w:pos="5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42" w:lineRule="exact"/>
        <w:rPr>
          <w:sz w:val="20"/>
          <w:szCs w:val="20"/>
          <w:color w:val="auto"/>
        </w:rPr>
      </w:pPr>
    </w:p>
    <w:p>
      <w:pPr>
        <w:spacing w:after="0"/>
        <w:tabs>
          <w:tab w:leader="none" w:pos="1180" w:val="left"/>
          <w:tab w:leader="none" w:pos="1620" w:val="left"/>
        </w:tabs>
        <w:rPr>
          <w:sz w:val="20"/>
          <w:szCs w:val="20"/>
          <w:color w:val="auto"/>
        </w:rPr>
      </w:pPr>
      <w:r>
        <w:rPr>
          <w:rFonts w:ascii="Arial" w:cs="Arial" w:eastAsia="Arial" w:hAnsi="Arial"/>
          <w:sz w:val="21"/>
          <w:szCs w:val="21"/>
          <w:b w:val="1"/>
          <w:bCs w:val="1"/>
          <w:color w:val="auto"/>
        </w:rPr>
        <w:t>NOTE 12</w:t>
      </w:r>
      <w:r>
        <w:rPr>
          <w:sz w:val="20"/>
          <w:szCs w:val="20"/>
          <w:color w:val="auto"/>
        </w:rPr>
        <w:tab/>
      </w:r>
      <w:r>
        <w:rPr>
          <w:rFonts w:ascii="Arial" w:cs="Arial" w:eastAsia="Arial" w:hAnsi="Arial"/>
          <w:sz w:val="21"/>
          <w:szCs w:val="21"/>
          <w:b w:val="1"/>
          <w:bCs w:val="1"/>
          <w:color w:val="auto"/>
        </w:rPr>
        <w:t>-</w:t>
      </w:r>
      <w:r>
        <w:rPr>
          <w:sz w:val="20"/>
          <w:szCs w:val="20"/>
          <w:color w:val="auto"/>
        </w:rPr>
        <w:tab/>
      </w:r>
      <w:r>
        <w:rPr>
          <w:rFonts w:ascii="Arial" w:cs="Arial" w:eastAsia="Arial" w:hAnsi="Arial"/>
          <w:sz w:val="20"/>
          <w:szCs w:val="20"/>
          <w:b w:val="1"/>
          <w:bCs w:val="1"/>
          <w:color w:val="auto"/>
        </w:rPr>
        <w:t>OTHER LONG-TERM DEBT (cont.)</w:t>
      </w:r>
    </w:p>
    <w:p>
      <w:pPr>
        <w:spacing w:after="0" w:line="256" w:lineRule="exact"/>
        <w:rPr>
          <w:sz w:val="20"/>
          <w:szCs w:val="20"/>
          <w:color w:val="auto"/>
        </w:rPr>
      </w:pPr>
    </w:p>
    <w:p>
      <w:pPr>
        <w:ind w:left="1780" w:hanging="542"/>
        <w:spacing w:after="0"/>
        <w:tabs>
          <w:tab w:leader="none" w:pos="178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Loans to TPSCo from Japanese Financial Institutions (cont.)</w:t>
      </w:r>
    </w:p>
    <w:p>
      <w:pPr>
        <w:spacing w:after="0" w:line="273" w:lineRule="exact"/>
        <w:rPr>
          <w:rFonts w:ascii="Arial" w:cs="Arial" w:eastAsia="Arial" w:hAnsi="Arial"/>
          <w:sz w:val="17"/>
          <w:szCs w:val="17"/>
          <w:b w:val="1"/>
          <w:bCs w:val="1"/>
          <w:color w:val="auto"/>
        </w:rPr>
      </w:pPr>
    </w:p>
    <w:p>
      <w:pPr>
        <w:jc w:val="both"/>
        <w:ind w:left="178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The loan carries an annual interest of the TIBOR (Tokyo Interbank Offered Rate) six months’ rate plus 1.65% per annum with the principal outstanding amount payable during 2018 and 2019 (the “Term Loan”). The Term Loan is secured by an assignment of TPSCo’s right to receive any amounts under its manufacturing and production related services agreements with Panasonic. The Term Loan contains certain covenants, as well as definitions of events of default and acceleration terms of the repayment schedule. TPSCo’s obligations pursuant to the loan are not guaranteed by Tower or any of its affiliates. As of December 31, 2017, TPSCo was in compliance with all of the covenants under this loan.</w:t>
      </w:r>
    </w:p>
    <w:p>
      <w:pPr>
        <w:spacing w:after="0" w:line="236"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In December 2015, TPSCo and JA Mitsui Leasing, Ltd., Sumitomo Mitsui Trust Bank Limited and Showa Leasing Co., Ltd. (“JP Banks”) signed an asset-based loan agreement (the “ABL”), according to which TPSCo entered into a five year term loan agreement with the JP Banks under which TPSCo borrowed an amount of 8.5 billion Japanese Yen, outstanding principal amount was approximately $65,000 and $73,000 as of December 31, 2017 and 2016, respectively.</w:t>
      </w:r>
    </w:p>
    <w:p>
      <w:pPr>
        <w:spacing w:after="0" w:line="178"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The ABL carries an interest equal to the six month TIBOR (Tokyo Interbank Offered Rate) plus 2.0% per annum with the outstanding principal amount payable between 2018 and 2020. The ABL is secured by a lien over the machinery and equipment of TPSCo located in Uozu and Tonami manufacturing facilities.</w:t>
      </w:r>
    </w:p>
    <w:p>
      <w:pPr>
        <w:spacing w:after="0" w:line="227"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The ABL also contains certain financial ratios and covenants, as well as definitions of events of default and acceleration of the repayment schedule. TPSCo’s obligations pursuant to the ABL are not guaranteed by Tower or any of its affiliates. As of December 31, 2017, TPSCo was in compliance with all of the covenants under this ABL.</w:t>
      </w:r>
    </w:p>
    <w:p>
      <w:pPr>
        <w:spacing w:after="0" w:line="221" w:lineRule="exact"/>
        <w:rPr>
          <w:rFonts w:ascii="Arial" w:cs="Arial" w:eastAsia="Arial" w:hAnsi="Arial"/>
          <w:sz w:val="17"/>
          <w:szCs w:val="17"/>
          <w:b w:val="1"/>
          <w:bCs w:val="1"/>
          <w:color w:val="auto"/>
        </w:rPr>
      </w:pPr>
    </w:p>
    <w:p>
      <w:pPr>
        <w:ind w:left="1840" w:hanging="551"/>
        <w:spacing w:after="0"/>
        <w:tabs>
          <w:tab w:leader="none" w:pos="1840" w:val="left"/>
        </w:tabs>
        <w:numPr>
          <w:ilvl w:val="1"/>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Bank Loan to TJT</w:t>
      </w:r>
    </w:p>
    <w:p>
      <w:pPr>
        <w:spacing w:after="0" w:line="274" w:lineRule="exact"/>
        <w:rPr>
          <w:sz w:val="20"/>
          <w:szCs w:val="20"/>
          <w:color w:val="auto"/>
        </w:rPr>
      </w:pPr>
    </w:p>
    <w:p>
      <w:pPr>
        <w:jc w:val="both"/>
        <w:ind w:left="1780"/>
        <w:spacing w:after="0" w:line="261" w:lineRule="auto"/>
        <w:rPr>
          <w:sz w:val="20"/>
          <w:szCs w:val="20"/>
          <w:color w:val="auto"/>
        </w:rPr>
      </w:pPr>
      <w:r>
        <w:rPr>
          <w:rFonts w:ascii="Arial" w:cs="Arial" w:eastAsia="Arial" w:hAnsi="Arial"/>
          <w:sz w:val="17"/>
          <w:szCs w:val="17"/>
          <w:color w:val="auto"/>
        </w:rPr>
        <w:t>In July 2016, TJT entered into an asset based long-term loan agreement with JA Mitsui Leasing Capital Corporation (“JA Mitsui”) in the total amount of $40,000. The loan carries annual interest of LIBOR+2.0% and is repayable between 2018 and 2021. The loan is secured mainly by a lien over TJT’s machinery and equipment and an assignment of TJT’s right to receive any amounts under its manufacturing agreement with Maxim.</w:t>
      </w:r>
    </w:p>
    <w:p>
      <w:pPr>
        <w:spacing w:after="0" w:line="230" w:lineRule="exact"/>
        <w:rPr>
          <w:sz w:val="20"/>
          <w:szCs w:val="20"/>
          <w:color w:val="auto"/>
        </w:rPr>
      </w:pPr>
    </w:p>
    <w:p>
      <w:pPr>
        <w:jc w:val="both"/>
        <w:ind w:left="1780"/>
        <w:spacing w:after="0" w:line="265" w:lineRule="auto"/>
        <w:rPr>
          <w:sz w:val="20"/>
          <w:szCs w:val="20"/>
          <w:color w:val="auto"/>
        </w:rPr>
      </w:pPr>
      <w:r>
        <w:rPr>
          <w:rFonts w:ascii="Arial" w:cs="Arial" w:eastAsia="Arial" w:hAnsi="Arial"/>
          <w:sz w:val="17"/>
          <w:szCs w:val="17"/>
          <w:color w:val="auto"/>
        </w:rPr>
        <w:t>This loan agreement contains customary terms, conditions and covenants, as well as customary events of default. TJT’s obligations pursuant to the loan agreement are not guaranteed by Tower or any of its affiliates. As of December 31, 2017, TJT was in compliance with all of the covenants under this loan agreement.</w:t>
      </w:r>
    </w:p>
    <w:p>
      <w:pPr>
        <w:spacing w:after="0" w:line="221" w:lineRule="exact"/>
        <w:rPr>
          <w:sz w:val="20"/>
          <w:szCs w:val="20"/>
          <w:color w:val="auto"/>
        </w:rPr>
      </w:pPr>
    </w:p>
    <w:p>
      <w:pPr>
        <w:ind w:left="1800" w:hanging="511"/>
        <w:spacing w:after="0"/>
        <w:tabs>
          <w:tab w:leader="none" w:pos="180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Capital Lease Agreements</w:t>
      </w:r>
    </w:p>
    <w:p>
      <w:pPr>
        <w:spacing w:after="0" w:line="274"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See Note 15C.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100" w:val="left"/>
          <w:tab w:leader="none" w:pos="140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7"/>
          <w:szCs w:val="17"/>
          <w:b w:val="1"/>
          <w:bCs w:val="1"/>
          <w:color w:val="auto"/>
        </w:rPr>
        <w:t>-</w:t>
        <w:tab/>
        <w:t>FINANCIAL INSTRUMENTS AND FAIR VALUE MEASURMENTS</w:t>
      </w:r>
    </w:p>
    <w:p>
      <w:pPr>
        <w:spacing w:after="0" w:line="286" w:lineRule="exact"/>
        <w:rPr>
          <w:sz w:val="20"/>
          <w:szCs w:val="20"/>
          <w:color w:val="auto"/>
        </w:rPr>
      </w:pPr>
    </w:p>
    <w:p>
      <w:pPr>
        <w:jc w:val="both"/>
        <w:ind w:left="1240"/>
        <w:spacing w:after="0" w:line="265" w:lineRule="auto"/>
        <w:rPr>
          <w:sz w:val="20"/>
          <w:szCs w:val="20"/>
          <w:color w:val="auto"/>
        </w:rPr>
      </w:pPr>
      <w:r>
        <w:rPr>
          <w:rFonts w:ascii="Arial" w:cs="Arial" w:eastAsia="Arial" w:hAnsi="Arial"/>
          <w:sz w:val="17"/>
          <w:szCs w:val="17"/>
          <w:color w:val="auto"/>
        </w:rPr>
        <w:t>The Company makes certain disclosures as detailed below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221" w:lineRule="exact"/>
        <w:rPr>
          <w:sz w:val="20"/>
          <w:szCs w:val="20"/>
          <w:color w:val="auto"/>
        </w:rPr>
      </w:pPr>
    </w:p>
    <w:p>
      <w:pPr>
        <w:ind w:left="1780" w:hanging="542"/>
        <w:spacing w:after="0"/>
        <w:tabs>
          <w:tab w:leader="none" w:pos="178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Non-Designated Exchange Rate Transactions</w:t>
      </w:r>
    </w:p>
    <w:p>
      <w:pPr>
        <w:spacing w:after="0" w:line="273"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As the functional currency of Tower is the USD and part of Tower's expenses are denominated in NIS, Tower enters from time to time into exchange rate agreements to protect against the volatility of future cash flows caused by changes in foreign exchange rates on NIS denominated expenses.</w:t>
      </w:r>
    </w:p>
    <w:p>
      <w:pPr>
        <w:spacing w:after="0" w:line="227" w:lineRule="exact"/>
        <w:rPr>
          <w:rFonts w:ascii="Arial" w:cs="Arial" w:eastAsia="Arial" w:hAnsi="Arial"/>
          <w:sz w:val="17"/>
          <w:szCs w:val="17"/>
          <w:b w:val="1"/>
          <w:bCs w:val="1"/>
          <w:color w:val="auto"/>
        </w:rPr>
      </w:pPr>
    </w:p>
    <w:p>
      <w:pPr>
        <w:jc w:val="both"/>
        <w:ind w:left="1780"/>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As of December 31, 2017 and 2016 the fair value amounts of such exchange rate agreements were approximately $24 in an asset position presented in short-term assets and $294 in a liability position presented in short-term liabilities with face value of $18,000 and $96,000, respectively. Changes in the fair values of such derivatives are presented in cost of revenues in the statements of operations.</w:t>
      </w:r>
    </w:p>
    <w:p>
      <w:pPr>
        <w:spacing w:after="0" w:line="210" w:lineRule="exact"/>
        <w:rPr>
          <w:rFonts w:ascii="Arial" w:cs="Arial" w:eastAsia="Arial" w:hAnsi="Arial"/>
          <w:sz w:val="17"/>
          <w:szCs w:val="17"/>
          <w:b w:val="1"/>
          <w:bCs w:val="1"/>
          <w:color w:val="auto"/>
        </w:rPr>
      </w:pPr>
    </w:p>
    <w:p>
      <w:pPr>
        <w:jc w:val="both"/>
        <w:ind w:left="178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As the functional currency of TPSCo is the JPY and part of TPSCo revenues are denominated in USD, TPSCo enters from time to time into exchange rate agreements to protect against the volatility of future cash flows caused by changes in foreign exchange rates on USD denominated amounts. As of December 31, 2017 and 2016, the fair value amounts of such exchange rate agreements were $169 and $682, respectively, in a liability position presented in short-term liabilities with face value of $48,000 and $36,000, respectively. Changes in the fair value of such derivatives are presented in the statements of operations.</w:t>
      </w:r>
    </w:p>
    <w:p>
      <w:pPr>
        <w:spacing w:after="0" w:line="174" w:lineRule="exact"/>
        <w:rPr>
          <w:rFonts w:ascii="Arial" w:cs="Arial" w:eastAsia="Arial" w:hAnsi="Arial"/>
          <w:sz w:val="17"/>
          <w:szCs w:val="17"/>
          <w:b w:val="1"/>
          <w:bCs w:val="1"/>
          <w:color w:val="auto"/>
        </w:rPr>
      </w:pPr>
    </w:p>
    <w:p>
      <w:pPr>
        <w:ind w:left="1780" w:hanging="542"/>
        <w:spacing w:after="0"/>
        <w:tabs>
          <w:tab w:leader="none" w:pos="178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Concentration of Credit Risks</w:t>
      </w:r>
    </w:p>
    <w:p>
      <w:pPr>
        <w:spacing w:after="0" w:line="273" w:lineRule="exact"/>
        <w:rPr>
          <w:rFonts w:ascii="Arial" w:cs="Arial" w:eastAsia="Arial" w:hAnsi="Arial"/>
          <w:sz w:val="17"/>
          <w:szCs w:val="17"/>
          <w:b w:val="1"/>
          <w:bCs w:val="1"/>
          <w:color w:val="auto"/>
        </w:rPr>
      </w:pPr>
    </w:p>
    <w:p>
      <w:pPr>
        <w:jc w:val="both"/>
        <w:ind w:left="1780"/>
        <w:spacing w:after="0" w:line="306" w:lineRule="auto"/>
        <w:rPr>
          <w:rFonts w:ascii="Arial" w:cs="Arial" w:eastAsia="Arial" w:hAnsi="Arial"/>
          <w:sz w:val="17"/>
          <w:szCs w:val="17"/>
          <w:b w:val="1"/>
          <w:bCs w:val="1"/>
          <w:color w:val="auto"/>
        </w:rPr>
      </w:pPr>
      <w:r>
        <w:rPr>
          <w:rFonts w:ascii="Arial" w:cs="Arial" w:eastAsia="Arial" w:hAnsi="Arial"/>
          <w:sz w:val="15"/>
          <w:szCs w:val="15"/>
          <w:color w:val="auto"/>
        </w:rPr>
        <w:t>Financial instruments that potentially subject the Company to concentrations of credit risk consist principally of cash and cash equivalents, bank deposits, marketable securities, derivative, trade receivables and government and other receivables. The Company's cash, deposits, marketable securities and derivative are maintained with large and reputable banks and investment banks, the composition and maturities of investments are regularly monitored by the Company. Generally, these securities may be redeemed upon demand and bear minimal risk.</w:t>
      </w:r>
    </w:p>
    <w:p>
      <w:pPr>
        <w:spacing w:after="0" w:line="200" w:lineRule="exact"/>
        <w:rPr>
          <w:rFonts w:ascii="Arial" w:cs="Arial" w:eastAsia="Arial" w:hAnsi="Arial"/>
          <w:sz w:val="17"/>
          <w:szCs w:val="17"/>
          <w:b w:val="1"/>
          <w:bCs w:val="1"/>
          <w:color w:val="auto"/>
        </w:rPr>
      </w:pPr>
    </w:p>
    <w:p>
      <w:pPr>
        <w:jc w:val="both"/>
        <w:ind w:left="1780"/>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The Company generally does not require collateral for insurance of receivables; however, in certain circumstances, the Company obtains credit insurance or may require advance payments. An allowance for doubtful accounts is determined with respect to those amounts which their collection determined to be doubtful. The Company performs ongoing credit evaluations of its customers.</w:t>
      </w:r>
    </w:p>
    <w:p>
      <w:pPr>
        <w:spacing w:after="0" w:line="119" w:lineRule="exact"/>
        <w:rPr>
          <w:rFonts w:ascii="Arial" w:cs="Arial" w:eastAsia="Arial" w:hAnsi="Arial"/>
          <w:sz w:val="17"/>
          <w:szCs w:val="17"/>
          <w:b w:val="1"/>
          <w:bCs w:val="1"/>
          <w:color w:val="auto"/>
        </w:rPr>
      </w:pPr>
    </w:p>
    <w:p>
      <w:pPr>
        <w:ind w:left="5620" w:hanging="92"/>
        <w:spacing w:after="0"/>
        <w:tabs>
          <w:tab w:leader="none" w:pos="56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100" w:val="left"/>
          <w:tab w:leader="none" w:pos="140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FINANCIAL INSTRUMENTS AND FAIR VALUE MEASURMENTS (cont.)</w:t>
      </w:r>
    </w:p>
    <w:p>
      <w:pPr>
        <w:spacing w:after="0" w:line="280" w:lineRule="exact"/>
        <w:rPr>
          <w:sz w:val="20"/>
          <w:szCs w:val="20"/>
          <w:color w:val="auto"/>
        </w:rPr>
      </w:pPr>
    </w:p>
    <w:p>
      <w:pPr>
        <w:ind w:left="1780" w:hanging="542"/>
        <w:spacing w:after="0"/>
        <w:tabs>
          <w:tab w:leader="none" w:pos="178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273"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The estimated fair values of the Company’s financial instruments, excluding debentures do not materially differ from their respective carrying amounts as of December 31, 2017 and 2016. The fair values of Tower and Jazz’s debentures, based on quoted market prices or other valuation as of December 31, 2017 and 2016, were approximately $345,000 and $245,000, respectively, compared to carrying amounts of approximately $182,000 and $163,000, for the above dates, respectively.</w:t>
      </w:r>
    </w:p>
    <w:p>
      <w:pPr>
        <w:spacing w:after="0" w:line="224" w:lineRule="exact"/>
        <w:rPr>
          <w:rFonts w:ascii="Arial" w:cs="Arial" w:eastAsia="Arial" w:hAnsi="Arial"/>
          <w:sz w:val="17"/>
          <w:szCs w:val="17"/>
          <w:b w:val="1"/>
          <w:bCs w:val="1"/>
          <w:color w:val="auto"/>
        </w:rPr>
      </w:pPr>
    </w:p>
    <w:p>
      <w:pPr>
        <w:ind w:left="1780" w:hanging="542"/>
        <w:spacing w:after="0"/>
        <w:tabs>
          <w:tab w:leader="none" w:pos="178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Cash Flow Hedge Gains (Losses)</w:t>
      </w:r>
    </w:p>
    <w:p>
      <w:pPr>
        <w:spacing w:after="0" w:line="273"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The Company entered into cash flow hedging transactions to mitigate the foreign exchange rate differences on the principle and interest using a cross currency swap to mitigate the risk arising from Series G Debentures denomination in NIS.</w:t>
      </w:r>
    </w:p>
    <w:p>
      <w:pPr>
        <w:spacing w:after="0" w:line="216" w:lineRule="exact"/>
        <w:rPr>
          <w:rFonts w:ascii="Arial" w:cs="Arial" w:eastAsia="Arial" w:hAnsi="Arial"/>
          <w:sz w:val="17"/>
          <w:szCs w:val="17"/>
          <w:b w:val="1"/>
          <w:bCs w:val="1"/>
          <w:color w:val="auto"/>
        </w:rPr>
      </w:pPr>
    </w:p>
    <w:p>
      <w:pPr>
        <w:jc w:val="both"/>
        <w:ind w:left="178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As of December 31, 2017 the fair value of the swap was $16,455 in an asset position, of which $1,550 presented in short-term liabilities and $18,005 presented in long-term assets. As of December 31, 2016 the fair value of the swap was $67 in a liability position, presented in short-term liabilities. As of December 31, 2017 and December 31, 2016, the effective portion of $2,758 and $202, respectively, were recorded in OCI, of which a loss of approximately $1,500 is expected to be reclassified into earnings during the twelve months ended December 31, 2018. For the years ended December 31, 2017 and December 31, 2016, the effect of the hedge on the Company’s results of operations was $11,654 income and $915 expense, respectively, and was recognized as financing expense to offset the effect of the rate difference related to Series G Debentures.</w:t>
      </w:r>
    </w:p>
    <w:p>
      <w:pPr>
        <w:spacing w:after="0" w:line="226" w:lineRule="exact"/>
        <w:rPr>
          <w:rFonts w:ascii="Arial" w:cs="Arial" w:eastAsia="Arial" w:hAnsi="Arial"/>
          <w:sz w:val="17"/>
          <w:szCs w:val="17"/>
          <w:b w:val="1"/>
          <w:bCs w:val="1"/>
          <w:color w:val="auto"/>
        </w:rPr>
      </w:pPr>
    </w:p>
    <w:p>
      <w:pPr>
        <w:ind w:left="1780" w:right="7760" w:hanging="542"/>
        <w:spacing w:after="0" w:line="648" w:lineRule="auto"/>
        <w:tabs>
          <w:tab w:leader="none" w:pos="1780"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 Valuation Techniques</w:t>
      </w:r>
    </w:p>
    <w:p>
      <w:pPr>
        <w:jc w:val="both"/>
        <w:ind w:left="1780"/>
        <w:spacing w:after="0" w:line="259" w:lineRule="auto"/>
        <w:rPr>
          <w:rFonts w:ascii="Arial" w:cs="Arial" w:eastAsia="Arial" w:hAnsi="Arial"/>
          <w:sz w:val="15"/>
          <w:szCs w:val="15"/>
          <w:b w:val="1"/>
          <w:bCs w:val="1"/>
          <w:color w:val="auto"/>
        </w:rPr>
      </w:pPr>
      <w:r>
        <w:rPr>
          <w:rFonts w:ascii="Arial" w:cs="Arial" w:eastAsia="Arial" w:hAnsi="Arial"/>
          <w:sz w:val="17"/>
          <w:szCs w:val="17"/>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141" w:lineRule="exact"/>
        <w:rPr>
          <w:rFonts w:ascii="Arial" w:cs="Arial" w:eastAsia="Arial" w:hAnsi="Arial"/>
          <w:sz w:val="15"/>
          <w:szCs w:val="15"/>
          <w:b w:val="1"/>
          <w:bCs w:val="1"/>
          <w:color w:val="auto"/>
        </w:rPr>
      </w:pPr>
    </w:p>
    <w:p>
      <w:pPr>
        <w:ind w:left="5620" w:hanging="92"/>
        <w:spacing w:after="0"/>
        <w:tabs>
          <w:tab w:leader="none" w:pos="56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38" w:lineRule="exact"/>
        <w:rPr>
          <w:sz w:val="20"/>
          <w:szCs w:val="20"/>
          <w:color w:val="auto"/>
        </w:rPr>
      </w:pPr>
    </w:p>
    <w:p>
      <w:pPr>
        <w:spacing w:after="0"/>
        <w:tabs>
          <w:tab w:leader="none" w:pos="1100" w:val="left"/>
          <w:tab w:leader="none" w:pos="140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7"/>
          <w:szCs w:val="17"/>
          <w:b w:val="1"/>
          <w:bCs w:val="1"/>
          <w:color w:val="auto"/>
        </w:rPr>
        <w:t>-</w:t>
        <w:tab/>
        <w:t>FINANCIAL INSTRUMENTS AND FAIR VALUE MEASURMENTS (cont.)</w:t>
      </w:r>
    </w:p>
    <w:p>
      <w:pPr>
        <w:spacing w:after="0" w:line="280" w:lineRule="exact"/>
        <w:rPr>
          <w:sz w:val="20"/>
          <w:szCs w:val="20"/>
          <w:color w:val="auto"/>
        </w:rPr>
      </w:pPr>
    </w:p>
    <w:p>
      <w:pPr>
        <w:ind w:left="1780" w:hanging="542"/>
        <w:spacing w:after="0"/>
        <w:tabs>
          <w:tab w:leader="none" w:pos="178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 (cont.)</w:t>
      </w:r>
    </w:p>
    <w:p>
      <w:pPr>
        <w:spacing w:after="0" w:line="273" w:lineRule="exact"/>
        <w:rPr>
          <w:rFonts w:ascii="Arial" w:cs="Arial" w:eastAsia="Arial" w:hAnsi="Arial"/>
          <w:sz w:val="17"/>
          <w:szCs w:val="17"/>
          <w:b w:val="1"/>
          <w:bCs w:val="1"/>
          <w:color w:val="auto"/>
        </w:rPr>
      </w:pPr>
    </w:p>
    <w:p>
      <w:pPr>
        <w:jc w:val="both"/>
        <w:ind w:left="1780"/>
        <w:spacing w:after="0" w:line="275" w:lineRule="auto"/>
        <w:rPr>
          <w:rFonts w:ascii="Arial" w:cs="Arial" w:eastAsia="Arial" w:hAnsi="Arial"/>
          <w:sz w:val="17"/>
          <w:szCs w:val="17"/>
          <w:b w:val="1"/>
          <w:bCs w:val="1"/>
          <w:color w:val="auto"/>
        </w:rPr>
      </w:pPr>
      <w:r>
        <w:rPr>
          <w:rFonts w:ascii="Arial" w:cs="Arial" w:eastAsia="Arial" w:hAnsi="Arial"/>
          <w:sz w:val="16"/>
          <w:szCs w:val="16"/>
          <w:color w:val="auto"/>
        </w:rPr>
        <w:t>Assets held for sale - securities classified as available for sale are reported at fair value on a recurring basis. These securities are classified as Level 1 of the valuation hierarchy where quoted market prices from reputable third-party brokers are available in an active market. If quoted market prices are not available, the Company obtains fair value measurements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 Changes in fair value of securities available for sale are recorded in other comprehensive income, net of income tax effect.</w:t>
      </w:r>
    </w:p>
    <w:p>
      <w:pPr>
        <w:spacing w:after="0" w:line="216"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Level 2 Measurements</w:t>
      </w:r>
    </w:p>
    <w:p>
      <w:pPr>
        <w:spacing w:after="0" w:line="273"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6"/>
          <w:szCs w:val="16"/>
          <w:color w:val="auto"/>
        </w:rPr>
        <w:t>Over the counter derivatives - the Company uses the market approach using quotations from banks and other public information.</w:t>
      </w:r>
    </w:p>
    <w:p>
      <w:pPr>
        <w:spacing w:after="0" w:line="273"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Level 3 Measurements</w:t>
      </w:r>
    </w:p>
    <w:p>
      <w:pPr>
        <w:spacing w:after="0" w:line="273"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Recurring Fair Value Measurements Using the Indicated Inputs: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7"/>
                <w:szCs w:val="17"/>
                <w:color w:val="auto"/>
                <w:w w:val="90"/>
              </w:rPr>
              <w:t>Quoted prices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in active</w:t>
            </w:r>
          </w:p>
        </w:tc>
        <w:tc>
          <w:tcPr>
            <w:tcW w:w="1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Significant</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7"/>
                <w:szCs w:val="17"/>
                <w:color w:val="auto"/>
                <w:w w:val="94"/>
              </w:rPr>
              <w:t>market for</w:t>
            </w:r>
          </w:p>
        </w:tc>
        <w:tc>
          <w:tcPr>
            <w:tcW w:w="1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other</w:t>
            </w:r>
          </w:p>
        </w:tc>
        <w:tc>
          <w:tcPr>
            <w:tcW w:w="8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color w:val="auto"/>
                <w:w w:val="94"/>
              </w:rPr>
              <w:t>Significant</w:t>
            </w:r>
          </w:p>
        </w:tc>
      </w:tr>
      <w:tr>
        <w:trPr>
          <w:trHeight w:val="206"/>
        </w:trPr>
        <w:tc>
          <w:tcPr>
            <w:tcW w:w="16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identical</w:t>
            </w:r>
          </w:p>
        </w:tc>
        <w:tc>
          <w:tcPr>
            <w:tcW w:w="10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color w:val="auto"/>
                <w:w w:val="88"/>
              </w:rPr>
              <w:t>observable</w:t>
            </w:r>
          </w:p>
        </w:tc>
        <w:tc>
          <w:tcPr>
            <w:tcW w:w="1040" w:type="dxa"/>
            <w:vAlign w:val="bottom"/>
            <w:gridSpan w:val="3"/>
          </w:tcPr>
          <w:p>
            <w:pPr>
              <w:jc w:val="center"/>
              <w:ind w:right="100"/>
              <w:spacing w:after="0"/>
              <w:rPr>
                <w:sz w:val="20"/>
                <w:szCs w:val="20"/>
                <w:color w:val="auto"/>
              </w:rPr>
            </w:pPr>
            <w:r>
              <w:rPr>
                <w:rFonts w:ascii="Arial" w:cs="Arial" w:eastAsia="Arial" w:hAnsi="Arial"/>
                <w:sz w:val="17"/>
                <w:szCs w:val="17"/>
                <w:color w:val="auto"/>
                <w:w w:val="88"/>
              </w:rPr>
              <w:t>unobservable</w:t>
            </w:r>
          </w:p>
        </w:tc>
      </w:tr>
      <w:tr>
        <w:trPr>
          <w:trHeight w:val="206"/>
        </w:trPr>
        <w:tc>
          <w:tcPr>
            <w:tcW w:w="16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Arial" w:cs="Arial" w:eastAsia="Arial" w:hAnsi="Arial"/>
                <w:sz w:val="17"/>
                <w:szCs w:val="17"/>
                <w:color w:val="auto"/>
              </w:rPr>
              <w:t>December 31,</w:t>
            </w:r>
          </w:p>
        </w:tc>
        <w:tc>
          <w:tcPr>
            <w:tcW w:w="10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color w:val="auto"/>
              </w:rPr>
              <w:t>liability</w:t>
            </w:r>
          </w:p>
        </w:tc>
        <w:tc>
          <w:tcPr>
            <w:tcW w:w="10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color w:val="auto"/>
                <w:w w:val="92"/>
              </w:rPr>
              <w:t>inputs</w:t>
            </w:r>
          </w:p>
        </w:tc>
        <w:tc>
          <w:tcPr>
            <w:tcW w:w="8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inputs</w:t>
            </w:r>
          </w:p>
        </w:tc>
      </w:tr>
      <w:tr>
        <w:trPr>
          <w:trHeight w:val="224"/>
        </w:trPr>
        <w:tc>
          <w:tcPr>
            <w:tcW w:w="16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54"/>
              <w:spacing w:after="0"/>
              <w:rPr>
                <w:sz w:val="20"/>
                <w:szCs w:val="20"/>
                <w:color w:val="auto"/>
              </w:rPr>
            </w:pPr>
            <w:r>
              <w:rPr>
                <w:rFonts w:ascii="Arial" w:cs="Arial" w:eastAsia="Arial" w:hAnsi="Arial"/>
                <w:sz w:val="17"/>
                <w:szCs w:val="17"/>
                <w:color w:val="auto"/>
              </w:rPr>
              <w:t>2017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color w:val="auto"/>
                <w:w w:val="93"/>
              </w:rPr>
              <w:t>(Level 1)</w:t>
            </w:r>
          </w:p>
        </w:tc>
        <w:tc>
          <w:tcPr>
            <w:tcW w:w="10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(Level 2)</w:t>
            </w:r>
          </w:p>
        </w:tc>
        <w:tc>
          <w:tcPr>
            <w:tcW w:w="80" w:type="dxa"/>
            <w:vAlign w:val="bottom"/>
          </w:tcPr>
          <w:p>
            <w:pPr>
              <w:spacing w:after="0"/>
              <w:rPr>
                <w:sz w:val="19"/>
                <w:szCs w:val="19"/>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(Level 3)</w:t>
            </w:r>
          </w:p>
        </w:tc>
      </w:tr>
      <w:tr>
        <w:trPr>
          <w:trHeight w:val="206"/>
        </w:trPr>
        <w:tc>
          <w:tcPr>
            <w:tcW w:w="1620" w:type="dxa"/>
            <w:vAlign w:val="bottom"/>
          </w:tcPr>
          <w:p>
            <w:pPr>
              <w:spacing w:after="0"/>
              <w:rPr>
                <w:sz w:val="17"/>
                <w:szCs w:val="17"/>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Cross currency swap- asset position</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16,455</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16,455</w:t>
            </w: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Marketable securities held for sale</w:t>
            </w:r>
          </w:p>
        </w:tc>
        <w:tc>
          <w:tcPr>
            <w:tcW w:w="2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113,168</w:t>
            </w:r>
          </w:p>
        </w:tc>
        <w:tc>
          <w:tcPr>
            <w:tcW w:w="1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113,168</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forward and cylinders - liability position</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(169)</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12"/>
        </w:trPr>
        <w:tc>
          <w:tcPr>
            <w:tcW w:w="162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Foreign exchange forward and cylinders - asset position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46"/>
        </w:trPr>
        <w:tc>
          <w:tcPr>
            <w:tcW w:w="16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129,478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113,168</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16,310</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620"/>
        </w:trPr>
        <w:tc>
          <w:tcPr>
            <w:tcW w:w="6820" w:type="dxa"/>
            <w:vAlign w:val="bottom"/>
            <w:gridSpan w:val="2"/>
          </w:tcPr>
          <w:p>
            <w:pPr>
              <w:jc w:val="right"/>
              <w:ind w:right="834"/>
              <w:spacing w:after="0"/>
              <w:rPr>
                <w:sz w:val="20"/>
                <w:szCs w:val="20"/>
                <w:color w:val="auto"/>
              </w:rPr>
            </w:pPr>
            <w:r>
              <w:rPr>
                <w:rFonts w:ascii="Arial" w:cs="Arial" w:eastAsia="Arial" w:hAnsi="Arial"/>
                <w:sz w:val="17"/>
                <w:szCs w:val="17"/>
                <w:color w:val="auto"/>
              </w:rPr>
              <w:t>- 29 -</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
        </w:trPr>
        <w:tc>
          <w:tcPr>
            <w:tcW w:w="1620" w:type="dxa"/>
            <w:vAlign w:val="bottom"/>
            <w:tcBorders>
              <w:bottom w:val="single" w:sz="8" w:color="auto"/>
            </w:tcBorders>
          </w:tcPr>
          <w:p>
            <w:pPr>
              <w:spacing w:after="0"/>
              <w:rPr>
                <w:sz w:val="5"/>
                <w:szCs w:val="5"/>
                <w:color w:val="auto"/>
              </w:rPr>
            </w:pPr>
          </w:p>
        </w:tc>
        <w:tc>
          <w:tcPr>
            <w:tcW w:w="5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100" w:val="left"/>
          <w:tab w:leader="none" w:pos="140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7"/>
          <w:szCs w:val="17"/>
          <w:b w:val="1"/>
          <w:bCs w:val="1"/>
          <w:color w:val="auto"/>
        </w:rPr>
        <w:t>-</w:t>
        <w:tab/>
        <w:t>FINANCIAL INSTRUMENTS AND FAIR VALUE MEASURMENTS (cont.)</w:t>
      </w:r>
    </w:p>
    <w:p>
      <w:pPr>
        <w:spacing w:after="0" w:line="280" w:lineRule="exact"/>
        <w:rPr>
          <w:sz w:val="20"/>
          <w:szCs w:val="20"/>
          <w:color w:val="auto"/>
        </w:rPr>
      </w:pPr>
    </w:p>
    <w:tbl>
      <w:tblPr>
        <w:tblLayout w:type="fixed"/>
        <w:tblInd w:w="124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7"/>
                <w:szCs w:val="17"/>
                <w:b w:val="1"/>
                <w:bCs w:val="1"/>
                <w:color w:val="auto"/>
              </w:rPr>
              <w:t>E.</w:t>
            </w:r>
          </w:p>
        </w:tc>
        <w:tc>
          <w:tcPr>
            <w:tcW w:w="4020" w:type="dxa"/>
            <w:vAlign w:val="bottom"/>
          </w:tcPr>
          <w:p>
            <w:pPr>
              <w:ind w:left="160"/>
              <w:spacing w:after="0"/>
              <w:rPr>
                <w:sz w:val="20"/>
                <w:szCs w:val="20"/>
                <w:color w:val="auto"/>
              </w:rPr>
            </w:pPr>
            <w:r>
              <w:rPr>
                <w:rFonts w:ascii="Arial" w:cs="Arial" w:eastAsia="Arial" w:hAnsi="Arial"/>
                <w:sz w:val="17"/>
                <w:szCs w:val="17"/>
                <w:b w:val="1"/>
                <w:bCs w:val="1"/>
                <w:color w:val="auto"/>
              </w:rPr>
              <w:t>Fair Value Measurements (cont.)</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52"/>
        </w:trPr>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7"/>
                <w:szCs w:val="17"/>
                <w:color w:val="auto"/>
                <w:w w:val="92"/>
              </w:rPr>
              <w:t>Quoted prices in</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6"/>
              </w:rPr>
              <w:t>Significant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3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spacing w:after="0"/>
              <w:rPr>
                <w:sz w:val="20"/>
                <w:szCs w:val="20"/>
                <w:color w:val="auto"/>
              </w:rPr>
            </w:pPr>
            <w:r>
              <w:rPr>
                <w:rFonts w:ascii="Arial" w:cs="Arial" w:eastAsia="Arial" w:hAnsi="Arial"/>
                <w:sz w:val="17"/>
                <w:szCs w:val="17"/>
                <w:color w:val="auto"/>
                <w:w w:val="93"/>
              </w:rPr>
              <w:t>active market for</w:t>
            </w:r>
          </w:p>
        </w:tc>
        <w:tc>
          <w:tcPr>
            <w:tcW w:w="220" w:type="dxa"/>
            <w:vAlign w:val="bottom"/>
          </w:tcPr>
          <w:p>
            <w:pPr>
              <w:spacing w:after="0"/>
              <w:rPr>
                <w:sz w:val="17"/>
                <w:szCs w:val="17"/>
                <w:color w:val="auto"/>
              </w:rPr>
            </w:pPr>
          </w:p>
        </w:tc>
        <w:tc>
          <w:tcPr>
            <w:tcW w:w="1440" w:type="dxa"/>
            <w:vAlign w:val="bottom"/>
            <w:gridSpan w:val="5"/>
          </w:tcPr>
          <w:p>
            <w:pPr>
              <w:jc w:val="center"/>
              <w:ind w:right="180"/>
              <w:spacing w:after="0"/>
              <w:rPr>
                <w:sz w:val="20"/>
                <w:szCs w:val="20"/>
                <w:color w:val="auto"/>
              </w:rPr>
            </w:pPr>
            <w:r>
              <w:rPr>
                <w:rFonts w:ascii="Arial" w:cs="Arial" w:eastAsia="Arial" w:hAnsi="Arial"/>
                <w:sz w:val="17"/>
                <w:szCs w:val="17"/>
                <w:color w:val="auto"/>
                <w:w w:val="93"/>
              </w:rPr>
              <w:t>Significant other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unobservable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3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color w:val="auto"/>
              </w:rPr>
              <w:t>December 31,</w:t>
            </w:r>
          </w:p>
        </w:tc>
        <w:tc>
          <w:tcPr>
            <w:tcW w:w="1280" w:type="dxa"/>
            <w:vAlign w:val="bottom"/>
            <w:gridSpan w:val="2"/>
          </w:tcPr>
          <w:p>
            <w:pPr>
              <w:jc w:val="center"/>
              <w:spacing w:after="0"/>
              <w:rPr>
                <w:sz w:val="20"/>
                <w:szCs w:val="20"/>
                <w:color w:val="auto"/>
              </w:rPr>
            </w:pPr>
            <w:r>
              <w:rPr>
                <w:rFonts w:ascii="Arial" w:cs="Arial" w:eastAsia="Arial" w:hAnsi="Arial"/>
                <w:sz w:val="17"/>
                <w:szCs w:val="17"/>
                <w:color w:val="auto"/>
                <w:w w:val="98"/>
              </w:rPr>
              <w:t>identical liability</w:t>
            </w:r>
          </w:p>
        </w:tc>
        <w:tc>
          <w:tcPr>
            <w:tcW w:w="220" w:type="dxa"/>
            <w:vAlign w:val="bottom"/>
          </w:tcPr>
          <w:p>
            <w:pPr>
              <w:spacing w:after="0"/>
              <w:rPr>
                <w:sz w:val="17"/>
                <w:szCs w:val="17"/>
                <w:color w:val="auto"/>
              </w:rPr>
            </w:pPr>
          </w:p>
        </w:tc>
        <w:tc>
          <w:tcPr>
            <w:tcW w:w="1440" w:type="dxa"/>
            <w:vAlign w:val="bottom"/>
            <w:gridSpan w:val="5"/>
          </w:tcPr>
          <w:p>
            <w:pPr>
              <w:jc w:val="center"/>
              <w:ind w:right="200"/>
              <w:spacing w:after="0"/>
              <w:rPr>
                <w:sz w:val="20"/>
                <w:szCs w:val="20"/>
                <w:color w:val="auto"/>
              </w:rPr>
            </w:pPr>
            <w:r>
              <w:rPr>
                <w:rFonts w:ascii="Arial" w:cs="Arial" w:eastAsia="Arial" w:hAnsi="Arial"/>
                <w:sz w:val="17"/>
                <w:szCs w:val="17"/>
                <w:color w:val="auto"/>
                <w:w w:val="90"/>
              </w:rPr>
              <w:t>observable inputs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inputs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4"/>
        </w:trPr>
        <w:tc>
          <w:tcPr>
            <w:tcW w:w="3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94"/>
              <w:spacing w:after="0"/>
              <w:rPr>
                <w:sz w:val="20"/>
                <w:szCs w:val="20"/>
                <w:color w:val="auto"/>
              </w:rPr>
            </w:pPr>
            <w:r>
              <w:rPr>
                <w:rFonts w:ascii="Arial" w:cs="Arial" w:eastAsia="Arial" w:hAnsi="Arial"/>
                <w:sz w:val="17"/>
                <w:szCs w:val="17"/>
                <w:color w:val="auto"/>
              </w:rPr>
              <w:t>2016</w:t>
            </w:r>
          </w:p>
        </w:tc>
        <w:tc>
          <w:tcPr>
            <w:tcW w:w="200" w:type="dxa"/>
            <w:vAlign w:val="bottom"/>
          </w:tcPr>
          <w:p>
            <w:pPr>
              <w:spacing w:after="0"/>
              <w:rPr>
                <w:sz w:val="19"/>
                <w:szCs w:val="19"/>
                <w:color w:val="auto"/>
              </w:rPr>
            </w:pPr>
          </w:p>
        </w:tc>
        <w:tc>
          <w:tcPr>
            <w:tcW w:w="1060" w:type="dxa"/>
            <w:vAlign w:val="bottom"/>
          </w:tcPr>
          <w:p>
            <w:pPr>
              <w:jc w:val="center"/>
              <w:ind w:left="138"/>
              <w:spacing w:after="0"/>
              <w:rPr>
                <w:sz w:val="20"/>
                <w:szCs w:val="20"/>
                <w:color w:val="auto"/>
              </w:rPr>
            </w:pPr>
            <w:r>
              <w:rPr>
                <w:rFonts w:ascii="Arial" w:cs="Arial" w:eastAsia="Arial" w:hAnsi="Arial"/>
                <w:sz w:val="17"/>
                <w:szCs w:val="17"/>
                <w:color w:val="auto"/>
                <w:w w:val="96"/>
              </w:rPr>
              <w:t>(Level 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7"/>
                <w:szCs w:val="17"/>
                <w:color w:val="auto"/>
                <w:w w:val="96"/>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6"/>
              </w:rPr>
              <w:t>(Level 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38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Cross currency swap- liability position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0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193"/>
        </w:trPr>
        <w:tc>
          <w:tcPr>
            <w:tcW w:w="380" w:type="dxa"/>
            <w:vAlign w:val="bottom"/>
          </w:tcPr>
          <w:p>
            <w:pPr>
              <w:spacing w:after="0"/>
              <w:rPr>
                <w:sz w:val="16"/>
                <w:szCs w:val="16"/>
                <w:color w:val="auto"/>
              </w:rPr>
            </w:pPr>
          </w:p>
        </w:tc>
        <w:tc>
          <w:tcPr>
            <w:tcW w:w="4020" w:type="dxa"/>
            <w:vAlign w:val="bottom"/>
          </w:tcPr>
          <w:p>
            <w:pPr>
              <w:ind w:left="20"/>
              <w:spacing w:after="0" w:line="194" w:lineRule="exact"/>
              <w:rPr>
                <w:sz w:val="20"/>
                <w:szCs w:val="20"/>
                <w:color w:val="auto"/>
              </w:rPr>
            </w:pPr>
            <w:r>
              <w:rPr>
                <w:rFonts w:ascii="Arial" w:cs="Arial" w:eastAsia="Arial" w:hAnsi="Arial"/>
                <w:sz w:val="17"/>
                <w:szCs w:val="17"/>
                <w:color w:val="auto"/>
              </w:rPr>
              <w:t>Foreign exchange forward and cylinders - liability</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4"/>
        </w:trPr>
        <w:tc>
          <w:tcPr>
            <w:tcW w:w="38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7"/>
                <w:szCs w:val="17"/>
                <w:color w:val="auto"/>
              </w:rPr>
              <w:t>position</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976</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976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46"/>
        </w:trPr>
        <w:tc>
          <w:tcPr>
            <w:tcW w:w="38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53"/>
        </w:trPr>
        <w:tc>
          <w:tcPr>
            <w:tcW w:w="380" w:type="dxa"/>
            <w:vAlign w:val="bottom"/>
          </w:tcPr>
          <w:p>
            <w:pPr>
              <w:spacing w:after="0"/>
              <w:rPr>
                <w:sz w:val="24"/>
                <w:szCs w:val="24"/>
                <w:color w:val="auto"/>
              </w:rPr>
            </w:pPr>
          </w:p>
        </w:tc>
        <w:tc>
          <w:tcPr>
            <w:tcW w:w="6580" w:type="dxa"/>
            <w:vAlign w:val="bottom"/>
            <w:gridSpan w:val="5"/>
          </w:tcPr>
          <w:p>
            <w:pPr>
              <w:ind w:left="160"/>
              <w:spacing w:after="0"/>
              <w:rPr>
                <w:sz w:val="20"/>
                <w:szCs w:val="20"/>
                <w:color w:val="auto"/>
              </w:rPr>
            </w:pPr>
            <w:r>
              <w:rPr>
                <w:rFonts w:ascii="Arial" w:cs="Arial" w:eastAsia="Arial" w:hAnsi="Arial"/>
                <w:sz w:val="17"/>
                <w:szCs w:val="17"/>
                <w:color w:val="auto"/>
                <w:w w:val="96"/>
              </w:rPr>
              <w:t>Liabilities measured on a recurring basis using significant unobservable inputs (Level 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Tower’s Israeli</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3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7"/>
                <w:szCs w:val="17"/>
                <w:color w:val="auto"/>
                <w:w w:val="89"/>
              </w:rPr>
              <w:t>Banks Loans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3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7"/>
                <w:szCs w:val="17"/>
                <w:color w:val="auto"/>
                <w:w w:val="98"/>
              </w:rPr>
              <w:t>(including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38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7"/>
                <w:szCs w:val="17"/>
                <w:color w:val="auto"/>
                <w:w w:val="90"/>
              </w:rPr>
              <w:t>current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4"/>
        </w:trPr>
        <w:tc>
          <w:tcPr>
            <w:tcW w:w="3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7"/>
                <w:szCs w:val="17"/>
                <w:color w:val="auto"/>
                <w:w w:val="95"/>
              </w:rPr>
              <w:t>maturities)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jc w:val="right"/>
              <w:ind w:right="136"/>
              <w:spacing w:after="0"/>
              <w:rPr>
                <w:sz w:val="20"/>
                <w:szCs w:val="20"/>
                <w:color w:val="auto"/>
              </w:rPr>
            </w:pPr>
            <w:r>
              <w:rPr>
                <w:rFonts w:ascii="Arial" w:cs="Arial" w:eastAsia="Arial" w:hAnsi="Arial"/>
                <w:sz w:val="17"/>
                <w:szCs w:val="17"/>
                <w:color w:val="auto"/>
              </w:rPr>
              <w:t>Others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6"/>
        </w:trPr>
        <w:tc>
          <w:tcPr>
            <w:tcW w:w="38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As of January 1, 2016 - at fair value</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74,955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5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6"/>
        </w:trPr>
        <w:tc>
          <w:tcPr>
            <w:tcW w:w="38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principal repayment</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7"/>
                <w:szCs w:val="17"/>
                <w:color w:val="auto"/>
              </w:rPr>
              <w:t>(82,855)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12"/>
        </w:trPr>
        <w:tc>
          <w:tcPr>
            <w:tcW w:w="38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changes in fair value recognized in earnings</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7,900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38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As of December 31, 2016 - at fair value</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856"/>
              <w:spacing w:after="0"/>
              <w:rPr>
                <w:sz w:val="20"/>
                <w:szCs w:val="20"/>
                <w:color w:val="auto"/>
              </w:rPr>
            </w:pPr>
            <w:r>
              <w:rPr>
                <w:rFonts w:ascii="Arial" w:cs="Arial" w:eastAsia="Arial" w:hAnsi="Arial"/>
                <w:sz w:val="17"/>
                <w:szCs w:val="17"/>
                <w:color w:val="auto"/>
                <w:w w:val="84"/>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left="1780" w:hanging="542"/>
        <w:spacing w:after="0"/>
        <w:tabs>
          <w:tab w:leader="none" w:pos="17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Short-Term and Long-Term Investments</w:t>
      </w:r>
    </w:p>
    <w:p>
      <w:pPr>
        <w:spacing w:after="0" w:line="273"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Short-term and long-term investments include marketable securities in the amount of $113,874 (including accrued interest) and long-term bank deposit in the amount of $12,500 as of December 31, 2017; Short-term and long-term investments include short-term bank deposits in the amount of $34,093 and long-term bank deposit in the amount of $12,500 as of December 31, 2016.</w:t>
      </w:r>
    </w:p>
    <w:p>
      <w:pPr>
        <w:spacing w:after="0" w:line="227"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The following table summarizes amortized costs, gross unrealized gains and losses and estimated fair values of available-for-sale marketable securities as of December 31, 2017:</w:t>
      </w:r>
    </w:p>
    <w:p>
      <w:pPr>
        <w:spacing w:after="0" w:line="216" w:lineRule="exact"/>
        <w:rPr>
          <w:sz w:val="20"/>
          <w:szCs w:val="20"/>
          <w:color w:val="auto"/>
        </w:rPr>
      </w:pPr>
    </w:p>
    <w:tbl>
      <w:tblPr>
        <w:tblLayout w:type="fixed"/>
        <w:tblInd w:w="1620" w:type="dxa"/>
        <w:tblCellMar>
          <w:top w:w="0" w:type="dxa"/>
          <w:left w:w="0" w:type="dxa"/>
          <w:bottom w:w="0" w:type="dxa"/>
          <w:right w:w="0" w:type="dxa"/>
        </w:tblCellMar>
      </w:tblPr>
      <w:tr>
        <w:trPr>
          <w:trHeight w:val="206"/>
        </w:trPr>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7"/>
                <w:szCs w:val="17"/>
                <w:color w:val="auto"/>
              </w:rPr>
              <w:t>Gross</w:t>
            </w:r>
          </w:p>
        </w:tc>
        <w:tc>
          <w:tcPr>
            <w:tcW w:w="10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color w:val="auto"/>
              </w:rPr>
              <w:t>Gross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5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9"/>
              </w:rPr>
              <w:t>Amortized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7"/>
                <w:szCs w:val="17"/>
                <w:color w:val="auto"/>
                <w:w w:val="91"/>
              </w:rPr>
              <w:t>unrealized</w:t>
            </w:r>
          </w:p>
        </w:tc>
        <w:tc>
          <w:tcPr>
            <w:tcW w:w="100" w:type="dxa"/>
            <w:vAlign w:val="bottom"/>
          </w:tcPr>
          <w:p>
            <w:pPr>
              <w:spacing w:after="0"/>
              <w:rPr>
                <w:sz w:val="17"/>
                <w:szCs w:val="17"/>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w w:val="91"/>
              </w:rPr>
              <w:t>unrealized</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7"/>
                <w:szCs w:val="17"/>
                <w:color w:val="auto"/>
              </w:rPr>
              <w:t>Estimated</w:t>
            </w:r>
          </w:p>
        </w:tc>
      </w:tr>
      <w:tr>
        <w:trPr>
          <w:trHeight w:val="224"/>
        </w:trPr>
        <w:tc>
          <w:tcPr>
            <w:tcW w:w="5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ind w:right="274"/>
              <w:spacing w:after="0"/>
              <w:rPr>
                <w:sz w:val="20"/>
                <w:szCs w:val="20"/>
                <w:color w:val="auto"/>
              </w:rPr>
            </w:pPr>
            <w:r>
              <w:rPr>
                <w:rFonts w:ascii="Arial" w:cs="Arial" w:eastAsia="Arial" w:hAnsi="Arial"/>
                <w:sz w:val="17"/>
                <w:szCs w:val="17"/>
                <w:color w:val="auto"/>
              </w:rPr>
              <w:t>cost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gains</w:t>
            </w:r>
          </w:p>
        </w:tc>
        <w:tc>
          <w:tcPr>
            <w:tcW w:w="10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rPr>
              <w:t>losses</w:t>
            </w:r>
          </w:p>
        </w:tc>
        <w:tc>
          <w:tcPr>
            <w:tcW w:w="140" w:type="dxa"/>
            <w:vAlign w:val="bottom"/>
          </w:tcPr>
          <w:p>
            <w:pPr>
              <w:spacing w:after="0"/>
              <w:rPr>
                <w:sz w:val="19"/>
                <w:szCs w:val="19"/>
                <w:color w:val="auto"/>
              </w:rPr>
            </w:pPr>
          </w:p>
        </w:tc>
        <w:tc>
          <w:tcPr>
            <w:tcW w:w="900" w:type="dxa"/>
            <w:vAlign w:val="bottom"/>
            <w:gridSpan w:val="2"/>
          </w:tcPr>
          <w:p>
            <w:pPr>
              <w:ind w:left="60"/>
              <w:spacing w:after="0"/>
              <w:rPr>
                <w:sz w:val="20"/>
                <w:szCs w:val="20"/>
                <w:color w:val="auto"/>
              </w:rPr>
            </w:pPr>
            <w:r>
              <w:rPr>
                <w:rFonts w:ascii="Arial" w:cs="Arial" w:eastAsia="Arial" w:hAnsi="Arial"/>
                <w:sz w:val="17"/>
                <w:szCs w:val="17"/>
                <w:color w:val="auto"/>
              </w:rPr>
              <w:t>fair value</w:t>
            </w:r>
          </w:p>
        </w:tc>
      </w:tr>
      <w:tr>
        <w:trPr>
          <w:trHeight w:val="206"/>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98,998</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98,340</w:t>
            </w:r>
          </w:p>
        </w:tc>
        <w:tc>
          <w:tcPr>
            <w:tcW w:w="80" w:type="dxa"/>
            <w:vAlign w:val="bottom"/>
            <w:shd w:val="clear" w:color="auto" w:fill="CCEEFF"/>
          </w:tcPr>
          <w:p>
            <w:pPr>
              <w:spacing w:after="0"/>
              <w:rPr>
                <w:sz w:val="17"/>
                <w:szCs w:val="17"/>
                <w:color w:val="auto"/>
              </w:rPr>
            </w:pPr>
          </w:p>
        </w:tc>
      </w:tr>
      <w:tr>
        <w:trPr>
          <w:trHeight w:val="206"/>
        </w:trPr>
        <w:tc>
          <w:tcPr>
            <w:tcW w:w="5200" w:type="dxa"/>
            <w:vAlign w:val="bottom"/>
          </w:tcPr>
          <w:p>
            <w:pPr>
              <w:spacing w:after="0"/>
              <w:rPr>
                <w:sz w:val="20"/>
                <w:szCs w:val="20"/>
                <w:color w:val="auto"/>
              </w:rPr>
            </w:pPr>
            <w:r>
              <w:rPr>
                <w:rFonts w:ascii="Arial" w:cs="Arial" w:eastAsia="Arial" w:hAnsi="Arial"/>
                <w:sz w:val="17"/>
                <w:szCs w:val="17"/>
                <w:color w:val="auto"/>
              </w:rPr>
              <w:t>Non- U.S government bonds</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2,711</w:t>
            </w:r>
          </w:p>
        </w:tc>
      </w:tr>
      <w:tr>
        <w:trPr>
          <w:trHeight w:val="206"/>
        </w:trPr>
        <w:tc>
          <w:tcPr>
            <w:tcW w:w="5200" w:type="dxa"/>
            <w:vAlign w:val="bottom"/>
            <w:shd w:val="clear" w:color="auto" w:fill="CCEEFF"/>
          </w:tcPr>
          <w:p>
            <w:pPr>
              <w:spacing w:after="0"/>
              <w:rPr>
                <w:sz w:val="20"/>
                <w:szCs w:val="20"/>
                <w:color w:val="auto"/>
              </w:rPr>
            </w:pPr>
            <w:r>
              <w:rPr>
                <w:rFonts w:ascii="Arial" w:cs="Arial" w:eastAsia="Arial" w:hAnsi="Arial"/>
                <w:sz w:val="17"/>
                <w:szCs w:val="17"/>
                <w:color w:val="auto"/>
              </w:rPr>
              <w:t>Municipal bonds</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11,869</w:t>
            </w:r>
          </w:p>
        </w:tc>
        <w:tc>
          <w:tcPr>
            <w:tcW w:w="80" w:type="dxa"/>
            <w:vAlign w:val="bottom"/>
            <w:shd w:val="clear" w:color="auto" w:fill="CCEEFF"/>
          </w:tcPr>
          <w:p>
            <w:pPr>
              <w:spacing w:after="0"/>
              <w:rPr>
                <w:sz w:val="17"/>
                <w:szCs w:val="17"/>
                <w:color w:val="auto"/>
              </w:rPr>
            </w:pPr>
          </w:p>
        </w:tc>
      </w:tr>
      <w:tr>
        <w:trPr>
          <w:trHeight w:val="212"/>
        </w:trPr>
        <w:tc>
          <w:tcPr>
            <w:tcW w:w="5200" w:type="dxa"/>
            <w:vAlign w:val="bottom"/>
          </w:tcPr>
          <w:p>
            <w:pPr>
              <w:spacing w:after="0"/>
              <w:rPr>
                <w:sz w:val="20"/>
                <w:szCs w:val="20"/>
                <w:color w:val="auto"/>
              </w:rPr>
            </w:pPr>
            <w:r>
              <w:rPr>
                <w:rFonts w:ascii="Arial" w:cs="Arial" w:eastAsia="Arial" w:hAnsi="Arial"/>
                <w:sz w:val="17"/>
                <w:szCs w:val="17"/>
                <w:color w:val="auto"/>
              </w:rPr>
              <w:t>Certificate of deposits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248</w:t>
            </w:r>
          </w:p>
        </w:tc>
      </w:tr>
      <w:tr>
        <w:trPr>
          <w:trHeight w:val="246"/>
        </w:trPr>
        <w:tc>
          <w:tcPr>
            <w:tcW w:w="5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113,926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(798)</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113,168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100" w:val="left"/>
          <w:tab w:leader="none" w:pos="140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7"/>
          <w:szCs w:val="17"/>
          <w:b w:val="1"/>
          <w:bCs w:val="1"/>
          <w:color w:val="auto"/>
        </w:rPr>
        <w:t>-</w:t>
        <w:tab/>
        <w:t>FINANCIAL INSTRUMENTS AND FAIR VALUE MEASURMENTS (cont.)</w:t>
      </w:r>
    </w:p>
    <w:p>
      <w:pPr>
        <w:spacing w:after="0" w:line="280" w:lineRule="exact"/>
        <w:rPr>
          <w:sz w:val="20"/>
          <w:szCs w:val="20"/>
          <w:color w:val="auto"/>
        </w:rPr>
      </w:pPr>
    </w:p>
    <w:p>
      <w:pPr>
        <w:ind w:left="1840" w:hanging="602"/>
        <w:spacing w:after="0"/>
        <w:tabs>
          <w:tab w:leader="none" w:pos="184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Short-Term and Long-Term Investments (cont.)</w:t>
      </w:r>
    </w:p>
    <w:p>
      <w:pPr>
        <w:spacing w:after="0" w:line="274"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The scheduled maturities of available-for-sale marketable securities as of December 31, 2017 were as follows:</w:t>
      </w:r>
    </w:p>
    <w:p>
      <w:pPr>
        <w:spacing w:after="0" w:line="268" w:lineRule="exact"/>
        <w:rPr>
          <w:sz w:val="20"/>
          <w:szCs w:val="20"/>
          <w:color w:val="auto"/>
        </w:rPr>
      </w:pPr>
    </w:p>
    <w:tbl>
      <w:tblPr>
        <w:tblLayout w:type="fixed"/>
        <w:tblInd w:w="1500" w:type="dxa"/>
        <w:tblCellMar>
          <w:top w:w="0" w:type="dxa"/>
          <w:left w:w="0" w:type="dxa"/>
          <w:bottom w:w="0" w:type="dxa"/>
          <w:right w:w="0" w:type="dxa"/>
        </w:tblCellMar>
      </w:tblPr>
      <w:tr>
        <w:trPr>
          <w:trHeight w:val="206"/>
        </w:trPr>
        <w:tc>
          <w:tcPr>
            <w:tcW w:w="7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Estimated fair</w:t>
            </w:r>
          </w:p>
        </w:tc>
      </w:tr>
      <w:tr>
        <w:trPr>
          <w:trHeight w:val="224"/>
        </w:trPr>
        <w:tc>
          <w:tcPr>
            <w:tcW w:w="724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Amortized cost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value</w:t>
            </w:r>
          </w:p>
        </w:tc>
      </w:tr>
      <w:tr>
        <w:trPr>
          <w:trHeight w:val="206"/>
        </w:trPr>
        <w:tc>
          <w:tcPr>
            <w:tcW w:w="7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Due within one year</w:t>
            </w: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7,688</w:t>
            </w: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7,679</w:t>
            </w:r>
          </w:p>
        </w:tc>
        <w:tc>
          <w:tcPr>
            <w:tcW w:w="80" w:type="dxa"/>
            <w:vAlign w:val="bottom"/>
            <w:shd w:val="clear" w:color="auto" w:fill="CCEEFF"/>
          </w:tcPr>
          <w:p>
            <w:pPr>
              <w:spacing w:after="0"/>
              <w:rPr>
                <w:sz w:val="17"/>
                <w:szCs w:val="17"/>
                <w:color w:val="auto"/>
              </w:rPr>
            </w:pPr>
          </w:p>
        </w:tc>
      </w:tr>
      <w:tr>
        <w:trPr>
          <w:trHeight w:val="212"/>
        </w:trPr>
        <w:tc>
          <w:tcPr>
            <w:tcW w:w="7240" w:type="dxa"/>
            <w:vAlign w:val="bottom"/>
          </w:tcPr>
          <w:p>
            <w:pPr>
              <w:ind w:left="120"/>
              <w:spacing w:after="0"/>
              <w:rPr>
                <w:sz w:val="20"/>
                <w:szCs w:val="20"/>
                <w:color w:val="auto"/>
              </w:rPr>
            </w:pPr>
            <w:r>
              <w:rPr>
                <w:rFonts w:ascii="Arial" w:cs="Arial" w:eastAsia="Arial" w:hAnsi="Arial"/>
                <w:sz w:val="17"/>
                <w:szCs w:val="17"/>
                <w:color w:val="auto"/>
              </w:rPr>
              <w:t>Due after one year through five years</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106,238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105,489</w:t>
            </w:r>
          </w:p>
        </w:tc>
      </w:tr>
      <w:tr>
        <w:trPr>
          <w:trHeight w:val="246"/>
        </w:trPr>
        <w:tc>
          <w:tcPr>
            <w:tcW w:w="7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113,926</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113,168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ind w:left="1780"/>
        <w:spacing w:after="0" w:line="278" w:lineRule="auto"/>
        <w:rPr>
          <w:sz w:val="20"/>
          <w:szCs w:val="20"/>
          <w:color w:val="auto"/>
        </w:rPr>
      </w:pPr>
      <w:r>
        <w:rPr>
          <w:rFonts w:ascii="Arial" w:cs="Arial" w:eastAsia="Arial" w:hAnsi="Arial"/>
          <w:sz w:val="17"/>
          <w:szCs w:val="17"/>
          <w:color w:val="auto"/>
        </w:rPr>
        <w:t>Investments with continuous unrealized losses for less than 12 months and 12 months or greater and their related fair values as of December 31, 2017 were as indicated in the following tables: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7"/>
                <w:szCs w:val="17"/>
                <w:color w:val="auto"/>
              </w:rPr>
              <w:t>December 31, 2017</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3"/>
        </w:trPr>
        <w:tc>
          <w:tcPr>
            <w:tcW w:w="16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jc w:val="right"/>
              <w:ind w:right="320"/>
              <w:spacing w:after="0" w:line="194" w:lineRule="exact"/>
              <w:rPr>
                <w:sz w:val="20"/>
                <w:szCs w:val="20"/>
                <w:color w:val="auto"/>
              </w:rPr>
            </w:pPr>
            <w:r>
              <w:rPr>
                <w:rFonts w:ascii="Arial" w:cs="Arial" w:eastAsia="Arial" w:hAnsi="Arial"/>
                <w:sz w:val="17"/>
                <w:szCs w:val="17"/>
                <w:color w:val="auto"/>
                <w:w w:val="93"/>
              </w:rPr>
              <w:t>Investment with continuous</w:t>
            </w:r>
          </w:p>
        </w:tc>
        <w:tc>
          <w:tcPr>
            <w:tcW w:w="100" w:type="dxa"/>
            <w:vAlign w:val="bottom"/>
          </w:tcPr>
          <w:p>
            <w:pPr>
              <w:spacing w:after="0"/>
              <w:rPr>
                <w:sz w:val="16"/>
                <w:szCs w:val="16"/>
                <w:color w:val="auto"/>
              </w:rPr>
            </w:pPr>
          </w:p>
        </w:tc>
        <w:tc>
          <w:tcPr>
            <w:tcW w:w="2260" w:type="dxa"/>
            <w:vAlign w:val="bottom"/>
            <w:gridSpan w:val="5"/>
          </w:tcPr>
          <w:p>
            <w:pPr>
              <w:jc w:val="right"/>
              <w:ind w:right="280"/>
              <w:spacing w:after="0" w:line="194" w:lineRule="exact"/>
              <w:rPr>
                <w:sz w:val="20"/>
                <w:szCs w:val="20"/>
                <w:color w:val="auto"/>
              </w:rPr>
            </w:pPr>
            <w:r>
              <w:rPr>
                <w:rFonts w:ascii="Arial" w:cs="Arial" w:eastAsia="Arial" w:hAnsi="Arial"/>
                <w:sz w:val="17"/>
                <w:szCs w:val="17"/>
                <w:color w:val="auto"/>
                <w:w w:val="91"/>
              </w:rPr>
              <w:t>Investments with continuous</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16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400" w:type="dxa"/>
            <w:vAlign w:val="bottom"/>
            <w:gridSpan w:val="6"/>
          </w:tcPr>
          <w:p>
            <w:pPr>
              <w:jc w:val="center"/>
              <w:ind w:right="200"/>
              <w:spacing w:after="0"/>
              <w:rPr>
                <w:sz w:val="20"/>
                <w:szCs w:val="20"/>
                <w:color w:val="auto"/>
              </w:rPr>
            </w:pPr>
            <w:r>
              <w:rPr>
                <w:rFonts w:ascii="Arial" w:cs="Arial" w:eastAsia="Arial" w:hAnsi="Arial"/>
                <w:sz w:val="17"/>
                <w:szCs w:val="17"/>
                <w:color w:val="auto"/>
                <w:w w:val="89"/>
              </w:rPr>
              <w:t>unrealized losses for less than</w:t>
            </w:r>
          </w:p>
        </w:tc>
        <w:tc>
          <w:tcPr>
            <w:tcW w:w="2360" w:type="dxa"/>
            <w:vAlign w:val="bottom"/>
            <w:gridSpan w:val="6"/>
          </w:tcPr>
          <w:p>
            <w:pPr>
              <w:spacing w:after="0"/>
              <w:rPr>
                <w:sz w:val="20"/>
                <w:szCs w:val="20"/>
                <w:color w:val="auto"/>
              </w:rPr>
            </w:pPr>
            <w:r>
              <w:rPr>
                <w:rFonts w:ascii="Arial" w:cs="Arial" w:eastAsia="Arial" w:hAnsi="Arial"/>
                <w:sz w:val="17"/>
                <w:szCs w:val="17"/>
                <w:color w:val="auto"/>
                <w:w w:val="97"/>
              </w:rPr>
              <w:t>unrealized losses for 12 months</w:t>
            </w:r>
          </w:p>
        </w:tc>
        <w:tc>
          <w:tcPr>
            <w:tcW w:w="180" w:type="dxa"/>
            <w:vAlign w:val="bottom"/>
          </w:tcPr>
          <w:p>
            <w:pPr>
              <w:spacing w:after="0"/>
              <w:rPr>
                <w:sz w:val="17"/>
                <w:szCs w:val="17"/>
                <w:color w:val="auto"/>
              </w:rPr>
            </w:pPr>
          </w:p>
        </w:tc>
        <w:tc>
          <w:tcPr>
            <w:tcW w:w="2020" w:type="dxa"/>
            <w:vAlign w:val="bottom"/>
            <w:gridSpan w:val="5"/>
          </w:tcPr>
          <w:p>
            <w:pPr>
              <w:jc w:val="right"/>
              <w:ind w:right="360"/>
              <w:spacing w:after="0"/>
              <w:rPr>
                <w:sz w:val="20"/>
                <w:szCs w:val="20"/>
                <w:color w:val="auto"/>
              </w:rPr>
            </w:pPr>
            <w:r>
              <w:rPr>
                <w:rFonts w:ascii="Arial" w:cs="Arial" w:eastAsia="Arial" w:hAnsi="Arial"/>
                <w:sz w:val="17"/>
                <w:szCs w:val="17"/>
                <w:color w:val="auto"/>
                <w:w w:val="96"/>
              </w:rPr>
              <w:t>Total Investments with</w:t>
            </w:r>
          </w:p>
        </w:tc>
      </w:tr>
      <w:tr>
        <w:trPr>
          <w:trHeight w:val="224"/>
        </w:trPr>
        <w:tc>
          <w:tcPr>
            <w:tcW w:w="16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3"/>
          </w:tcPr>
          <w:p>
            <w:pPr>
              <w:jc w:val="center"/>
              <w:ind w:left="494"/>
              <w:spacing w:after="0"/>
              <w:rPr>
                <w:sz w:val="20"/>
                <w:szCs w:val="20"/>
                <w:color w:val="auto"/>
              </w:rPr>
            </w:pPr>
            <w:r>
              <w:rPr>
                <w:rFonts w:ascii="Arial" w:cs="Arial" w:eastAsia="Arial" w:hAnsi="Arial"/>
                <w:sz w:val="17"/>
                <w:szCs w:val="17"/>
                <w:color w:val="auto"/>
                <w:w w:val="90"/>
              </w:rPr>
              <w:t>12 months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5"/>
          </w:tcPr>
          <w:p>
            <w:pPr>
              <w:jc w:val="right"/>
              <w:ind w:right="940"/>
              <w:spacing w:after="0"/>
              <w:rPr>
                <w:sz w:val="20"/>
                <w:szCs w:val="20"/>
                <w:color w:val="auto"/>
              </w:rPr>
            </w:pPr>
            <w:r>
              <w:rPr>
                <w:rFonts w:ascii="Arial" w:cs="Arial" w:eastAsia="Arial" w:hAnsi="Arial"/>
                <w:sz w:val="17"/>
                <w:szCs w:val="17"/>
                <w:color w:val="auto"/>
              </w:rPr>
              <w:t>or greater</w:t>
            </w:r>
          </w:p>
        </w:tc>
        <w:tc>
          <w:tcPr>
            <w:tcW w:w="2200" w:type="dxa"/>
            <w:vAlign w:val="bottom"/>
            <w:gridSpan w:val="6"/>
          </w:tcPr>
          <w:p>
            <w:pPr>
              <w:jc w:val="right"/>
              <w:ind w:right="160"/>
              <w:spacing w:after="0"/>
              <w:rPr>
                <w:sz w:val="20"/>
                <w:szCs w:val="20"/>
                <w:color w:val="auto"/>
              </w:rPr>
            </w:pPr>
            <w:r>
              <w:rPr>
                <w:rFonts w:ascii="Arial" w:cs="Arial" w:eastAsia="Arial" w:hAnsi="Arial"/>
                <w:sz w:val="17"/>
                <w:szCs w:val="17"/>
                <w:color w:val="auto"/>
                <w:w w:val="92"/>
              </w:rPr>
              <w:t>continuous unrealized losses</w:t>
            </w:r>
          </w:p>
        </w:tc>
      </w:tr>
      <w:tr>
        <w:trPr>
          <w:trHeight w:val="193"/>
        </w:trPr>
        <w:tc>
          <w:tcPr>
            <w:tcW w:w="16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14"/>
              <w:spacing w:after="0" w:line="194" w:lineRule="exact"/>
              <w:rPr>
                <w:sz w:val="20"/>
                <w:szCs w:val="20"/>
                <w:color w:val="auto"/>
              </w:rPr>
            </w:pPr>
            <w:r>
              <w:rPr>
                <w:rFonts w:ascii="Arial" w:cs="Arial" w:eastAsia="Arial" w:hAnsi="Arial"/>
                <w:sz w:val="17"/>
                <w:szCs w:val="17"/>
                <w:color w:val="auto"/>
              </w:rPr>
              <w:t>Fair</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4"/>
              <w:spacing w:after="0" w:line="194" w:lineRule="exact"/>
              <w:rPr>
                <w:sz w:val="20"/>
                <w:szCs w:val="20"/>
                <w:color w:val="auto"/>
              </w:rPr>
            </w:pPr>
            <w:r>
              <w:rPr>
                <w:rFonts w:ascii="Arial" w:cs="Arial" w:eastAsia="Arial" w:hAnsi="Arial"/>
                <w:sz w:val="17"/>
                <w:szCs w:val="17"/>
                <w:color w:val="auto"/>
              </w:rPr>
              <w:t>Unrealized</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54"/>
              <w:spacing w:after="0" w:line="194" w:lineRule="exact"/>
              <w:rPr>
                <w:sz w:val="20"/>
                <w:szCs w:val="20"/>
                <w:color w:val="auto"/>
              </w:rPr>
            </w:pPr>
            <w:r>
              <w:rPr>
                <w:rFonts w:ascii="Arial" w:cs="Arial" w:eastAsia="Arial" w:hAnsi="Arial"/>
                <w:sz w:val="17"/>
                <w:szCs w:val="17"/>
                <w:color w:val="auto"/>
              </w:rPr>
              <w:t>Fair</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4"/>
              <w:spacing w:after="0" w:line="194" w:lineRule="exact"/>
              <w:rPr>
                <w:sz w:val="20"/>
                <w:szCs w:val="20"/>
                <w:color w:val="auto"/>
              </w:rPr>
            </w:pPr>
            <w:r>
              <w:rPr>
                <w:rFonts w:ascii="Arial" w:cs="Arial" w:eastAsia="Arial" w:hAnsi="Arial"/>
                <w:sz w:val="17"/>
                <w:szCs w:val="17"/>
                <w:color w:val="auto"/>
                <w:w w:val="91"/>
              </w:rPr>
              <w:t>Unrealized</w:t>
            </w: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380"/>
              <w:spacing w:after="0" w:line="194" w:lineRule="exact"/>
              <w:rPr>
                <w:sz w:val="20"/>
                <w:szCs w:val="20"/>
                <w:color w:val="auto"/>
              </w:rPr>
            </w:pPr>
            <w:r>
              <w:rPr>
                <w:rFonts w:ascii="Arial" w:cs="Arial" w:eastAsia="Arial" w:hAnsi="Arial"/>
                <w:sz w:val="17"/>
                <w:szCs w:val="17"/>
                <w:color w:val="auto"/>
                <w:w w:val="95"/>
              </w:rPr>
              <w:t>Fair</w:t>
            </w: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4"/>
              <w:spacing w:after="0" w:line="194" w:lineRule="exact"/>
              <w:rPr>
                <w:sz w:val="20"/>
                <w:szCs w:val="20"/>
                <w:color w:val="auto"/>
              </w:rPr>
            </w:pPr>
            <w:r>
              <w:rPr>
                <w:rFonts w:ascii="Arial" w:cs="Arial" w:eastAsia="Arial" w:hAnsi="Arial"/>
                <w:sz w:val="17"/>
                <w:szCs w:val="17"/>
                <w:color w:val="auto"/>
                <w:w w:val="91"/>
              </w:rPr>
              <w:t>Unrealized</w:t>
            </w:r>
          </w:p>
        </w:tc>
        <w:tc>
          <w:tcPr>
            <w:tcW w:w="80" w:type="dxa"/>
            <w:vAlign w:val="bottom"/>
          </w:tcPr>
          <w:p>
            <w:pPr>
              <w:spacing w:after="0"/>
              <w:rPr>
                <w:sz w:val="16"/>
                <w:szCs w:val="16"/>
                <w:color w:val="auto"/>
              </w:rPr>
            </w:pPr>
          </w:p>
        </w:tc>
      </w:tr>
      <w:tr>
        <w:trPr>
          <w:trHeight w:val="224"/>
        </w:trPr>
        <w:tc>
          <w:tcPr>
            <w:tcW w:w="16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274"/>
              <w:spacing w:after="0"/>
              <w:rPr>
                <w:sz w:val="20"/>
                <w:szCs w:val="20"/>
                <w:color w:val="auto"/>
              </w:rPr>
            </w:pPr>
            <w:r>
              <w:rPr>
                <w:rFonts w:ascii="Arial" w:cs="Arial" w:eastAsia="Arial" w:hAnsi="Arial"/>
                <w:sz w:val="17"/>
                <w:szCs w:val="17"/>
                <w:color w:val="auto"/>
              </w:rPr>
              <w:t>value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7"/>
                <w:szCs w:val="17"/>
                <w:color w:val="auto"/>
                <w:w w:val="82"/>
              </w:rPr>
              <w:t>losses</w:t>
            </w:r>
          </w:p>
        </w:tc>
        <w:tc>
          <w:tcPr>
            <w:tcW w:w="100" w:type="dxa"/>
            <w:vAlign w:val="bottom"/>
          </w:tcPr>
          <w:p>
            <w:pPr>
              <w:spacing w:after="0"/>
              <w:rPr>
                <w:sz w:val="19"/>
                <w:szCs w:val="19"/>
                <w:color w:val="auto"/>
              </w:rPr>
            </w:pPr>
          </w:p>
        </w:tc>
        <w:tc>
          <w:tcPr>
            <w:tcW w:w="880" w:type="dxa"/>
            <w:vAlign w:val="bottom"/>
          </w:tcPr>
          <w:p>
            <w:pPr>
              <w:jc w:val="right"/>
              <w:ind w:right="214"/>
              <w:spacing w:after="0"/>
              <w:rPr>
                <w:sz w:val="20"/>
                <w:szCs w:val="20"/>
                <w:color w:val="auto"/>
              </w:rPr>
            </w:pPr>
            <w:r>
              <w:rPr>
                <w:rFonts w:ascii="Arial" w:cs="Arial" w:eastAsia="Arial" w:hAnsi="Arial"/>
                <w:sz w:val="17"/>
                <w:szCs w:val="17"/>
                <w:color w:val="auto"/>
              </w:rPr>
              <w:t>value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losses</w:t>
            </w:r>
          </w:p>
        </w:tc>
        <w:tc>
          <w:tcPr>
            <w:tcW w:w="180" w:type="dxa"/>
            <w:vAlign w:val="bottom"/>
          </w:tcPr>
          <w:p>
            <w:pPr>
              <w:spacing w:after="0"/>
              <w:rPr>
                <w:sz w:val="19"/>
                <w:szCs w:val="19"/>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7"/>
                <w:szCs w:val="17"/>
                <w:color w:val="auto"/>
                <w:w w:val="93"/>
              </w:rPr>
              <w:t>value</w:t>
            </w:r>
          </w:p>
        </w:tc>
        <w:tc>
          <w:tcPr>
            <w:tcW w:w="8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7"/>
                <w:szCs w:val="17"/>
                <w:color w:val="auto"/>
              </w:rPr>
              <w:t>losses</w:t>
            </w:r>
          </w:p>
        </w:tc>
      </w:tr>
      <w:tr>
        <w:trPr>
          <w:trHeight w:val="206"/>
        </w:trPr>
        <w:tc>
          <w:tcPr>
            <w:tcW w:w="16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Corporate debentures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89,133</w:t>
            </w:r>
          </w:p>
        </w:tc>
        <w:tc>
          <w:tcPr>
            <w:tcW w:w="1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center"/>
              <w:ind w:right="114"/>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89,133</w:t>
            </w: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w:t>
            </w:r>
          </w:p>
        </w:tc>
        <w:tc>
          <w:tcPr>
            <w:tcW w:w="80" w:type="dxa"/>
            <w:vAlign w:val="bottom"/>
            <w:shd w:val="clear" w:color="auto" w:fill="CCEEFF"/>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7"/>
                <w:szCs w:val="17"/>
                <w:color w:val="auto"/>
              </w:rPr>
              <w:t>Non- U.S government bonds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2,711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2,711</w:t>
            </w:r>
          </w:p>
        </w:tc>
        <w:tc>
          <w:tcPr>
            <w:tcW w:w="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(19)</w:t>
            </w:r>
          </w:p>
        </w:tc>
      </w:tr>
      <w:tr>
        <w:trPr>
          <w:trHeight w:val="206"/>
        </w:trPr>
        <w:tc>
          <w:tcPr>
            <w:tcW w:w="1620" w:type="dxa"/>
            <w:vAlign w:val="bottom"/>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Municipal bonds</w:t>
            </w:r>
          </w:p>
        </w:tc>
        <w:tc>
          <w:tcPr>
            <w:tcW w:w="14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8,837</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8,837</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(96)</w:t>
            </w:r>
          </w:p>
        </w:tc>
      </w:tr>
      <w:tr>
        <w:trPr>
          <w:trHeight w:val="26"/>
        </w:trPr>
        <w:tc>
          <w:tcPr>
            <w:tcW w:w="1620" w:type="dxa"/>
            <w:vAlign w:val="bottom"/>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6"/>
        </w:trPr>
        <w:tc>
          <w:tcPr>
            <w:tcW w:w="1620" w:type="dxa"/>
            <w:vAlign w:val="bottom"/>
          </w:tcPr>
          <w:p>
            <w:pPr>
              <w:spacing w:after="0"/>
              <w:rPr>
                <w:sz w:val="17"/>
                <w:szCs w:val="17"/>
                <w:color w:val="auto"/>
              </w:rPr>
            </w:pPr>
          </w:p>
        </w:tc>
        <w:tc>
          <w:tcPr>
            <w:tcW w:w="2840" w:type="dxa"/>
            <w:vAlign w:val="bottom"/>
          </w:tcPr>
          <w:p>
            <w:pPr>
              <w:spacing w:after="0" w:line="186" w:lineRule="exact"/>
              <w:rPr>
                <w:sz w:val="20"/>
                <w:szCs w:val="20"/>
                <w:color w:val="auto"/>
              </w:rPr>
            </w:pPr>
            <w:r>
              <w:rPr>
                <w:rFonts w:ascii="Arial" w:cs="Arial" w:eastAsia="Arial" w:hAnsi="Arial"/>
                <w:sz w:val="17"/>
                <w:szCs w:val="17"/>
                <w:color w:val="auto"/>
              </w:rPr>
              <w:t>Total</w:t>
            </w:r>
          </w:p>
        </w:tc>
        <w:tc>
          <w:tcPr>
            <w:tcW w:w="140" w:type="dxa"/>
            <w:vAlign w:val="bottom"/>
          </w:tcPr>
          <w:p>
            <w:pPr>
              <w:jc w:val="right"/>
              <w:spacing w:after="0" w:line="186" w:lineRule="exact"/>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line="186" w:lineRule="exact"/>
              <w:rPr>
                <w:sz w:val="20"/>
                <w:szCs w:val="20"/>
                <w:color w:val="auto"/>
              </w:rPr>
            </w:pPr>
            <w:r>
              <w:rPr>
                <w:rFonts w:ascii="Arial" w:cs="Arial" w:eastAsia="Arial" w:hAnsi="Arial"/>
                <w:sz w:val="17"/>
                <w:szCs w:val="17"/>
                <w:color w:val="auto"/>
              </w:rPr>
              <w:t>100,681</w:t>
            </w:r>
          </w:p>
        </w:tc>
        <w:tc>
          <w:tcPr>
            <w:tcW w:w="160" w:type="dxa"/>
            <w:vAlign w:val="bottom"/>
          </w:tcPr>
          <w:p>
            <w:pPr>
              <w:spacing w:after="0"/>
              <w:rPr>
                <w:sz w:val="17"/>
                <w:szCs w:val="17"/>
                <w:color w:val="auto"/>
              </w:rPr>
            </w:pPr>
          </w:p>
        </w:tc>
        <w:tc>
          <w:tcPr>
            <w:tcW w:w="280" w:type="dxa"/>
            <w:vAlign w:val="bottom"/>
          </w:tcPr>
          <w:p>
            <w:pPr>
              <w:jc w:val="center"/>
              <w:ind w:right="114"/>
              <w:spacing w:after="0" w:line="186" w:lineRule="exact"/>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40"/>
              <w:spacing w:after="0" w:line="186" w:lineRule="exact"/>
              <w:rPr>
                <w:sz w:val="20"/>
                <w:szCs w:val="20"/>
                <w:color w:val="auto"/>
              </w:rPr>
            </w:pPr>
            <w:r>
              <w:rPr>
                <w:rFonts w:ascii="Arial" w:cs="Arial" w:eastAsia="Arial" w:hAnsi="Arial"/>
                <w:sz w:val="17"/>
                <w:szCs w:val="17"/>
                <w:color w:val="auto"/>
              </w:rPr>
              <w:t>(798)</w:t>
            </w:r>
          </w:p>
        </w:tc>
        <w:tc>
          <w:tcPr>
            <w:tcW w:w="100" w:type="dxa"/>
            <w:vAlign w:val="bottom"/>
          </w:tcPr>
          <w:p>
            <w:pPr>
              <w:spacing w:after="0" w:line="186" w:lineRule="exact"/>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80"/>
              <w:spacing w:after="0" w:line="186" w:lineRule="exact"/>
              <w:rPr>
                <w:sz w:val="20"/>
                <w:szCs w:val="20"/>
                <w:color w:val="auto"/>
              </w:rPr>
            </w:pPr>
            <w:r>
              <w:rPr>
                <w:rFonts w:ascii="Arial" w:cs="Arial" w:eastAsia="Arial" w:hAnsi="Arial"/>
                <w:sz w:val="17"/>
                <w:szCs w:val="17"/>
                <w:color w:val="auto"/>
              </w:rPr>
              <w:t>--</w:t>
            </w:r>
          </w:p>
        </w:tc>
        <w:tc>
          <w:tcPr>
            <w:tcW w:w="180" w:type="dxa"/>
            <w:vAlign w:val="bottom"/>
          </w:tcPr>
          <w:p>
            <w:pPr>
              <w:jc w:val="right"/>
              <w:spacing w:after="0" w:line="186" w:lineRule="exact"/>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180"/>
              <w:spacing w:after="0" w:line="186" w:lineRule="exact"/>
              <w:rPr>
                <w:sz w:val="20"/>
                <w:szCs w:val="20"/>
                <w:color w:val="auto"/>
              </w:rPr>
            </w:pPr>
            <w:r>
              <w:rPr>
                <w:rFonts w:ascii="Arial" w:cs="Arial" w:eastAsia="Arial" w:hAnsi="Arial"/>
                <w:sz w:val="17"/>
                <w:szCs w:val="17"/>
                <w:color w:val="auto"/>
              </w:rPr>
              <w:t>100,681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(798)</w:t>
            </w:r>
          </w:p>
        </w:tc>
      </w:tr>
      <w:tr>
        <w:trPr>
          <w:trHeight w:val="20"/>
        </w:trPr>
        <w:tc>
          <w:tcPr>
            <w:tcW w:w="1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0"/>
        </w:trPr>
        <w:tc>
          <w:tcPr>
            <w:tcW w:w="16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gridSpan w:val="2"/>
          </w:tcPr>
          <w:p>
            <w:pPr>
              <w:jc w:val="center"/>
              <w:spacing w:after="0"/>
              <w:rPr>
                <w:sz w:val="20"/>
                <w:szCs w:val="20"/>
                <w:color w:val="auto"/>
              </w:rPr>
            </w:pPr>
            <w:r>
              <w:rPr>
                <w:rFonts w:ascii="Arial" w:cs="Arial" w:eastAsia="Arial" w:hAnsi="Arial"/>
                <w:sz w:val="17"/>
                <w:szCs w:val="17"/>
                <w:color w:val="auto"/>
                <w:w w:val="95"/>
              </w:rPr>
              <w:t>- 31 -</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
        </w:trPr>
        <w:tc>
          <w:tcPr>
            <w:tcW w:w="1620" w:type="dxa"/>
            <w:vAlign w:val="bottom"/>
            <w:tcBorders>
              <w:bottom w:val="single" w:sz="8" w:color="auto"/>
            </w:tcBorders>
          </w:tcPr>
          <w:p>
            <w:pPr>
              <w:spacing w:after="0"/>
              <w:rPr>
                <w:sz w:val="5"/>
                <w:szCs w:val="5"/>
                <w:color w:val="auto"/>
              </w:rPr>
            </w:pPr>
          </w:p>
        </w:tc>
        <w:tc>
          <w:tcPr>
            <w:tcW w:w="28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38" w:lineRule="exact"/>
        <w:rPr>
          <w:sz w:val="20"/>
          <w:szCs w:val="20"/>
          <w:color w:val="auto"/>
        </w:rPr>
      </w:pPr>
    </w:p>
    <w:p>
      <w:pPr>
        <w:spacing w:after="0"/>
        <w:tabs>
          <w:tab w:leader="none" w:pos="1100" w:val="left"/>
          <w:tab w:leader="none" w:pos="140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EMPLOYEE RELATED LIABILITIES</w:t>
      </w:r>
    </w:p>
    <w:p>
      <w:pPr>
        <w:spacing w:after="0" w:line="280" w:lineRule="exact"/>
        <w:rPr>
          <w:sz w:val="20"/>
          <w:szCs w:val="20"/>
          <w:color w:val="auto"/>
        </w:rPr>
      </w:pPr>
    </w:p>
    <w:p>
      <w:pPr>
        <w:ind w:left="1780" w:hanging="542"/>
        <w:spacing w:after="0"/>
        <w:tabs>
          <w:tab w:leader="none" w:pos="178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Employee Termination Benefits</w:t>
      </w:r>
    </w:p>
    <w:p>
      <w:pPr>
        <w:spacing w:after="0" w:line="273" w:lineRule="exact"/>
        <w:rPr>
          <w:rFonts w:ascii="Arial" w:cs="Arial" w:eastAsia="Arial" w:hAnsi="Arial"/>
          <w:sz w:val="17"/>
          <w:szCs w:val="17"/>
          <w:b w:val="1"/>
          <w:bCs w:val="1"/>
          <w:color w:val="auto"/>
        </w:rPr>
      </w:pPr>
    </w:p>
    <w:p>
      <w:pPr>
        <w:jc w:val="both"/>
        <w:ind w:left="1780"/>
        <w:spacing w:after="0" w:line="298" w:lineRule="auto"/>
        <w:rPr>
          <w:rFonts w:ascii="Arial" w:cs="Arial" w:eastAsia="Arial" w:hAnsi="Arial"/>
          <w:sz w:val="17"/>
          <w:szCs w:val="17"/>
          <w:b w:val="1"/>
          <w:bCs w:val="1"/>
          <w:color w:val="auto"/>
        </w:rPr>
      </w:pPr>
      <w:r>
        <w:rPr>
          <w:rFonts w:ascii="Arial" w:cs="Arial" w:eastAsia="Arial" w:hAnsi="Arial"/>
          <w:sz w:val="15"/>
          <w:szCs w:val="15"/>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 The amounts so funded and the liability are included on the balance sheets in long-term investments and employee related liabilities in the amounts of $10,711 and $12,258, respectively, as of December 31, 2017.</w:t>
      </w:r>
    </w:p>
    <w:p>
      <w:pPr>
        <w:spacing w:after="0" w:line="207" w:lineRule="exact"/>
        <w:rPr>
          <w:rFonts w:ascii="Arial" w:cs="Arial" w:eastAsia="Arial" w:hAnsi="Arial"/>
          <w:sz w:val="17"/>
          <w:szCs w:val="17"/>
          <w:b w:val="1"/>
          <w:bCs w:val="1"/>
          <w:color w:val="auto"/>
        </w:rPr>
      </w:pPr>
    </w:p>
    <w:p>
      <w:pPr>
        <w:jc w:val="both"/>
        <w:ind w:left="178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Commencing January 1, 2005, Tower implemented a labor agreement with regard to most of its Israeli employees, according to which monthly deposits into recognized severance and pension funds or insurance policies will release it from any additional severance obligation in excess of the balance in such accounts to such Israeli employees and, therefore, Tower incurs no liability or asset with respect to such severance obligations and deposits, since that date. Any net severance amount as of such date will be released on the employee’s termination date. Payments relating to Israeli employee termination benefits were $5,059, $4,345 and, $3,986 for 2017, 2016 and 2015, respectively.</w:t>
      </w:r>
    </w:p>
    <w:p>
      <w:pPr>
        <w:spacing w:after="0" w:line="184" w:lineRule="exact"/>
        <w:rPr>
          <w:rFonts w:ascii="Arial" w:cs="Arial" w:eastAsia="Arial" w:hAnsi="Arial"/>
          <w:sz w:val="17"/>
          <w:szCs w:val="17"/>
          <w:b w:val="1"/>
          <w:bCs w:val="1"/>
          <w:color w:val="auto"/>
        </w:rPr>
      </w:pPr>
    </w:p>
    <w:p>
      <w:pPr>
        <w:jc w:val="both"/>
        <w:ind w:left="178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TPSCo established a Defined Contribution Retirement Plan (the “DC Plan”) for its employees through which TPSCo contributes approximately 10% with employee average match of 1% from employee base salary to the DC Plan. Such contribution releases the employer from further obligation to any payments upon termination of employment. The contribution is remitted either to third party benefit funds based on employee preference, or directly, to those employees who elected not to enroll in the DC Plan. Total payments under the DC Plan in 2017, 2016 and 2015 amounted to $6,706, $7,015 and $6,823, respectively.</w:t>
      </w:r>
    </w:p>
    <w:p>
      <w:pPr>
        <w:spacing w:after="0" w:line="141" w:lineRule="exact"/>
        <w:rPr>
          <w:rFonts w:ascii="Arial" w:cs="Arial" w:eastAsia="Arial" w:hAnsi="Arial"/>
          <w:sz w:val="17"/>
          <w:szCs w:val="17"/>
          <w:b w:val="1"/>
          <w:bCs w:val="1"/>
          <w:color w:val="auto"/>
        </w:rPr>
      </w:pPr>
    </w:p>
    <w:p>
      <w:pPr>
        <w:ind w:left="5620" w:hanging="92"/>
        <w:spacing w:after="0"/>
        <w:tabs>
          <w:tab w:leader="none" w:pos="5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38" w:lineRule="exact"/>
        <w:rPr>
          <w:sz w:val="20"/>
          <w:szCs w:val="20"/>
          <w:color w:val="auto"/>
        </w:rPr>
      </w:pPr>
    </w:p>
    <w:p>
      <w:pPr>
        <w:spacing w:after="0"/>
        <w:tabs>
          <w:tab w:leader="none" w:pos="1100" w:val="left"/>
          <w:tab w:leader="none" w:pos="140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EMPLOYEE RELATED LIABILITIES (cont.)</w:t>
      </w:r>
    </w:p>
    <w:p>
      <w:pPr>
        <w:spacing w:after="0" w:line="280" w:lineRule="exact"/>
        <w:rPr>
          <w:sz w:val="20"/>
          <w:szCs w:val="20"/>
          <w:color w:val="auto"/>
        </w:rPr>
      </w:pPr>
    </w:p>
    <w:p>
      <w:pPr>
        <w:ind w:left="1780" w:hanging="542"/>
        <w:spacing w:after="0"/>
        <w:tabs>
          <w:tab w:leader="none" w:pos="178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Jazz Employee Benefit Plans</w:t>
      </w:r>
    </w:p>
    <w:p>
      <w:pPr>
        <w:spacing w:after="0" w:line="273"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The following information provide the changes in 2017, 2016 and 2015 periodic expenses and benefit obligations due to the bargaining agreement effective December 19, 2009 entered into by Jazz with its collective bargaining unit employees.</w:t>
      </w:r>
    </w:p>
    <w:p>
      <w:pPr>
        <w:spacing w:after="0" w:line="158"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Post-Retirement Medical Plan</w:t>
      </w:r>
    </w:p>
    <w:p>
      <w:pPr>
        <w:spacing w:after="0" w:line="273"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The components of the net periodic benefit cost and other amounts recognized in other comprehensive income (loss) for post-retirement medical plan expense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8"/>
          </w:tcPr>
          <w:p>
            <w:pPr>
              <w:jc w:val="right"/>
              <w:spacing w:after="0"/>
              <w:rPr>
                <w:sz w:val="20"/>
                <w:szCs w:val="20"/>
                <w:color w:val="auto"/>
              </w:rPr>
            </w:pPr>
            <w:r>
              <w:rPr>
                <w:rFonts w:ascii="Arial" w:cs="Arial" w:eastAsia="Arial" w:hAnsi="Arial"/>
                <w:sz w:val="17"/>
                <w:szCs w:val="17"/>
                <w:color w:val="auto"/>
              </w:rPr>
              <w:t>Year ended December 31,</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16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8"/>
                <w:szCs w:val="18"/>
                <w:color w:val="auto"/>
              </w:rPr>
            </w:pPr>
          </w:p>
        </w:tc>
      </w:tr>
      <w:tr>
        <w:trPr>
          <w:trHeight w:val="206"/>
        </w:trPr>
        <w:tc>
          <w:tcPr>
            <w:tcW w:w="16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Net periodic benefit cost: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Service cost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Interest cost</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126</w:t>
            </w:r>
          </w:p>
        </w:tc>
      </w:tr>
      <w:tr>
        <w:trPr>
          <w:trHeight w:val="206"/>
        </w:trPr>
        <w:tc>
          <w:tcPr>
            <w:tcW w:w="16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Amortization of prior service costs</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(973)</w:t>
            </w:r>
          </w:p>
        </w:tc>
      </w:tr>
      <w:tr>
        <w:trPr>
          <w:trHeight w:val="206"/>
        </w:trPr>
        <w:tc>
          <w:tcPr>
            <w:tcW w:w="16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net (gain) or loss</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(115)</w:t>
            </w:r>
          </w:p>
        </w:tc>
      </w:tr>
      <w:tr>
        <w:trPr>
          <w:trHeight w:val="26"/>
        </w:trPr>
        <w:tc>
          <w:tcPr>
            <w:tcW w:w="1620" w:type="dxa"/>
            <w:vAlign w:val="bottom"/>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6"/>
        </w:trPr>
        <w:tc>
          <w:tcPr>
            <w:tcW w:w="16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Total net periodic benefit cost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(283)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(248)</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(933)</w:t>
            </w:r>
          </w:p>
        </w:tc>
      </w:tr>
      <w:tr>
        <w:trPr>
          <w:trHeight w:val="20"/>
        </w:trPr>
        <w:tc>
          <w:tcPr>
            <w:tcW w:w="16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5"/>
        </w:trPr>
        <w:tc>
          <w:tcPr>
            <w:tcW w:w="1620" w:type="dxa"/>
            <w:vAlign w:val="bottom"/>
          </w:tcPr>
          <w:p>
            <w:pPr>
              <w:spacing w:after="0"/>
              <w:rPr>
                <w:sz w:val="16"/>
                <w:szCs w:val="16"/>
                <w:color w:val="auto"/>
              </w:rPr>
            </w:pPr>
          </w:p>
        </w:tc>
        <w:tc>
          <w:tcPr>
            <w:tcW w:w="580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Other changes in plan assets and benefits obligations recognized in other</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16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6"/>
        </w:trPr>
        <w:tc>
          <w:tcPr>
            <w:tcW w:w="16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Prior service cost for the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Net (gain) or loss for the period</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(1,333)</w:t>
            </w:r>
          </w:p>
        </w:tc>
      </w:tr>
      <w:tr>
        <w:trPr>
          <w:trHeight w:val="206"/>
        </w:trPr>
        <w:tc>
          <w:tcPr>
            <w:tcW w:w="16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Amortization of prior service costs</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973</w:t>
            </w:r>
          </w:p>
        </w:tc>
      </w:tr>
      <w:tr>
        <w:trPr>
          <w:trHeight w:val="206"/>
        </w:trPr>
        <w:tc>
          <w:tcPr>
            <w:tcW w:w="16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net gain or (loss)</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115</w:t>
            </w:r>
          </w:p>
        </w:tc>
      </w:tr>
      <w:tr>
        <w:trPr>
          <w:trHeight w:val="26"/>
        </w:trPr>
        <w:tc>
          <w:tcPr>
            <w:tcW w:w="1620" w:type="dxa"/>
            <w:vAlign w:val="bottom"/>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6"/>
        </w:trPr>
        <w:tc>
          <w:tcPr>
            <w:tcW w:w="16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Total recognized in other comprehensive income (expense)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(245)</w:t>
            </w:r>
          </w:p>
        </w:tc>
      </w:tr>
      <w:tr>
        <w:trPr>
          <w:trHeight w:val="20"/>
        </w:trPr>
        <w:tc>
          <w:tcPr>
            <w:tcW w:w="16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8"/>
              </w:rPr>
              <w:t>Total recognized in net periodic benefit cost and other comprehensive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49"/>
        </w:trPr>
        <w:tc>
          <w:tcPr>
            <w:tcW w:w="1620" w:type="dxa"/>
            <w:vAlign w:val="bottom"/>
          </w:tcPr>
          <w:p>
            <w:pPr>
              <w:spacing w:after="0"/>
              <w:rPr>
                <w:sz w:val="21"/>
                <w:szCs w:val="21"/>
                <w:color w:val="auto"/>
              </w:rPr>
            </w:pPr>
          </w:p>
        </w:tc>
        <w:tc>
          <w:tcPr>
            <w:tcW w:w="5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6"/>
        </w:trPr>
        <w:tc>
          <w:tcPr>
            <w:tcW w:w="16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assumptions used:</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Discount rate</w:t>
            </w:r>
          </w:p>
        </w:tc>
        <w:tc>
          <w:tcPr>
            <w:tcW w:w="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4.50%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4.80%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4.30%</w:t>
            </w:r>
          </w:p>
        </w:tc>
      </w:tr>
      <w:tr>
        <w:trPr>
          <w:trHeight w:val="206"/>
        </w:trPr>
        <w:tc>
          <w:tcPr>
            <w:tcW w:w="16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N/A</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r>
      <w:tr>
        <w:trPr>
          <w:trHeight w:val="206"/>
        </w:trPr>
        <w:tc>
          <w:tcPr>
            <w:tcW w:w="16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Rate of compensation increases</w:t>
            </w:r>
          </w:p>
        </w:tc>
        <w:tc>
          <w:tcPr>
            <w:tcW w:w="8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r>
      <w:tr>
        <w:trPr>
          <w:trHeight w:val="237"/>
        </w:trPr>
        <w:tc>
          <w:tcPr>
            <w:tcW w:w="1620" w:type="dxa"/>
            <w:vAlign w:val="bottom"/>
          </w:tcPr>
          <w:p>
            <w:pPr>
              <w:spacing w:after="0"/>
              <w:rPr>
                <w:sz w:val="20"/>
                <w:szCs w:val="20"/>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Assumed health care cost trend rates:</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6"/>
        </w:trPr>
        <w:tc>
          <w:tcPr>
            <w:tcW w:w="16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Health care cost trend rate assumed for current year (Pre-65/Post-65)</w:t>
            </w:r>
          </w:p>
        </w:tc>
        <w:tc>
          <w:tcPr>
            <w:tcW w:w="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7.20%/10.00%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w w:val="99"/>
              </w:rPr>
              <w:t>6.75%/10.00%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7.00%/20.00%</w:t>
            </w:r>
          </w:p>
        </w:tc>
      </w:tr>
      <w:tr>
        <w:trPr>
          <w:trHeight w:val="206"/>
        </w:trPr>
        <w:tc>
          <w:tcPr>
            <w:tcW w:w="16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Ultimate rate (Pre-65/Post-65)</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4.50%/4.50%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4.50%/5.00%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4.50%/5.00%</w:t>
            </w:r>
          </w:p>
        </w:tc>
      </w:tr>
      <w:tr>
        <w:trPr>
          <w:trHeight w:val="206"/>
        </w:trPr>
        <w:tc>
          <w:tcPr>
            <w:tcW w:w="16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7"/>
                <w:szCs w:val="17"/>
                <w:color w:val="auto"/>
              </w:rPr>
              <w:t>Year the ultimate rate is reached (Pre-65/Post-65)</w:t>
            </w:r>
          </w:p>
        </w:tc>
        <w:tc>
          <w:tcPr>
            <w:tcW w:w="80" w:type="dxa"/>
            <w:vAlign w:val="bottom"/>
          </w:tcPr>
          <w:p>
            <w:pPr>
              <w:spacing w:after="0"/>
              <w:rPr>
                <w:sz w:val="17"/>
                <w:szCs w:val="17"/>
                <w:color w:val="auto"/>
              </w:rPr>
            </w:pPr>
          </w:p>
        </w:tc>
        <w:tc>
          <w:tcPr>
            <w:tcW w:w="1100" w:type="dxa"/>
            <w:vAlign w:val="bottom"/>
          </w:tcPr>
          <w:p>
            <w:pPr>
              <w:jc w:val="right"/>
              <w:ind w:right="54"/>
              <w:spacing w:after="0"/>
              <w:rPr>
                <w:sz w:val="20"/>
                <w:szCs w:val="20"/>
                <w:color w:val="auto"/>
              </w:rPr>
            </w:pPr>
            <w:r>
              <w:rPr>
                <w:rFonts w:ascii="Arial" w:cs="Arial" w:eastAsia="Arial" w:hAnsi="Arial"/>
                <w:sz w:val="17"/>
                <w:szCs w:val="17"/>
                <w:color w:val="auto"/>
              </w:rPr>
              <w:t>2025/2025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2025/2022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2025/2022</w:t>
            </w:r>
          </w:p>
        </w:tc>
        <w:tc>
          <w:tcPr>
            <w:tcW w:w="80" w:type="dxa"/>
            <w:vAlign w:val="bottom"/>
          </w:tcPr>
          <w:p>
            <w:pPr>
              <w:spacing w:after="0"/>
              <w:rPr>
                <w:sz w:val="17"/>
                <w:szCs w:val="17"/>
                <w:color w:val="auto"/>
              </w:rPr>
            </w:pPr>
          </w:p>
        </w:tc>
      </w:tr>
      <w:tr>
        <w:trPr>
          <w:trHeight w:val="193"/>
        </w:trPr>
        <w:tc>
          <w:tcPr>
            <w:tcW w:w="1620" w:type="dxa"/>
            <w:vAlign w:val="bottom"/>
          </w:tcPr>
          <w:p>
            <w:pPr>
              <w:spacing w:after="0"/>
              <w:rPr>
                <w:sz w:val="16"/>
                <w:szCs w:val="16"/>
                <w:color w:val="auto"/>
              </w:rPr>
            </w:pPr>
          </w:p>
        </w:tc>
        <w:tc>
          <w:tcPr>
            <w:tcW w:w="5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60"/>
              <w:spacing w:after="0" w:line="194" w:lineRule="exact"/>
              <w:rPr>
                <w:sz w:val="20"/>
                <w:szCs w:val="20"/>
                <w:color w:val="auto"/>
              </w:rPr>
            </w:pPr>
            <w:r>
              <w:rPr>
                <w:rFonts w:ascii="Arial" w:cs="Arial" w:eastAsia="Arial" w:hAnsi="Arial"/>
                <w:sz w:val="17"/>
                <w:szCs w:val="17"/>
                <w:color w:val="auto"/>
                <w:w w:val="88"/>
              </w:rPr>
              <w:t>December 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7"/>
                <w:szCs w:val="17"/>
                <w:color w:val="auto"/>
                <w:w w:val="88"/>
              </w:rPr>
              <w:t>December 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w w:val="91"/>
              </w:rPr>
              <w:t>December 31,</w:t>
            </w:r>
          </w:p>
        </w:tc>
      </w:tr>
      <w:tr>
        <w:trPr>
          <w:trHeight w:val="218"/>
        </w:trPr>
        <w:tc>
          <w:tcPr>
            <w:tcW w:w="16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Measurement date</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2017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80" w:type="dxa"/>
            <w:vAlign w:val="bottom"/>
            <w:shd w:val="clear" w:color="auto" w:fill="CCEEFF"/>
          </w:tcPr>
          <w:p>
            <w:pPr>
              <w:spacing w:after="0"/>
              <w:rPr>
                <w:sz w:val="18"/>
                <w:szCs w:val="18"/>
                <w:color w:val="auto"/>
              </w:rPr>
            </w:pPr>
          </w:p>
        </w:tc>
      </w:tr>
      <w:tr>
        <w:trPr>
          <w:trHeight w:val="629"/>
        </w:trPr>
        <w:tc>
          <w:tcPr>
            <w:tcW w:w="7420" w:type="dxa"/>
            <w:vAlign w:val="bottom"/>
            <w:gridSpan w:val="2"/>
          </w:tcPr>
          <w:p>
            <w:pPr>
              <w:jc w:val="right"/>
              <w:ind w:right="1434"/>
              <w:spacing w:after="0"/>
              <w:rPr>
                <w:sz w:val="20"/>
                <w:szCs w:val="20"/>
                <w:color w:val="auto"/>
              </w:rPr>
            </w:pPr>
            <w:r>
              <w:rPr>
                <w:rFonts w:ascii="Arial" w:cs="Arial" w:eastAsia="Arial" w:hAnsi="Arial"/>
                <w:sz w:val="17"/>
                <w:szCs w:val="17"/>
                <w:color w:val="auto"/>
              </w:rPr>
              <w:t>- 33 -</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
        </w:trPr>
        <w:tc>
          <w:tcPr>
            <w:tcW w:w="1620" w:type="dxa"/>
            <w:vAlign w:val="bottom"/>
            <w:tcBorders>
              <w:bottom w:val="single" w:sz="8" w:color="auto"/>
            </w:tcBorders>
          </w:tcPr>
          <w:p>
            <w:pPr>
              <w:spacing w:after="0"/>
              <w:rPr>
                <w:sz w:val="5"/>
                <w:szCs w:val="5"/>
                <w:color w:val="auto"/>
              </w:rPr>
            </w:pPr>
          </w:p>
        </w:tc>
        <w:tc>
          <w:tcPr>
            <w:tcW w:w="5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38" w:lineRule="exact"/>
        <w:rPr>
          <w:sz w:val="20"/>
          <w:szCs w:val="20"/>
          <w:color w:val="auto"/>
        </w:rPr>
      </w:pPr>
    </w:p>
    <w:p>
      <w:pPr>
        <w:spacing w:after="0"/>
        <w:tabs>
          <w:tab w:leader="none" w:pos="1100" w:val="left"/>
          <w:tab w:leader="none" w:pos="140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EMPLOYEE RELATED LIABILITIES (cont.)</w:t>
      </w:r>
    </w:p>
    <w:p>
      <w:pPr>
        <w:spacing w:after="0" w:line="280" w:lineRule="exact"/>
        <w:rPr>
          <w:sz w:val="20"/>
          <w:szCs w:val="20"/>
          <w:color w:val="auto"/>
        </w:rPr>
      </w:pPr>
    </w:p>
    <w:p>
      <w:pPr>
        <w:ind w:left="1780" w:right="6920" w:hanging="542"/>
        <w:spacing w:after="0" w:line="644" w:lineRule="auto"/>
        <w:tabs>
          <w:tab w:leader="none" w:pos="1780" w:val="left"/>
        </w:tabs>
        <w:numPr>
          <w:ilvl w:val="0"/>
          <w:numId w:val="30"/>
        </w:numPr>
        <w:rPr>
          <w:rFonts w:ascii="Arial" w:cs="Arial" w:eastAsia="Arial" w:hAnsi="Arial"/>
          <w:sz w:val="15"/>
          <w:szCs w:val="15"/>
          <w:b w:val="1"/>
          <w:bCs w:val="1"/>
          <w:color w:val="auto"/>
        </w:rPr>
      </w:pPr>
      <w:r>
        <w:rPr>
          <w:rFonts w:ascii="Arial" w:cs="Arial" w:eastAsia="Arial" w:hAnsi="Arial"/>
          <w:sz w:val="15"/>
          <w:szCs w:val="15"/>
          <w:b w:val="1"/>
          <w:bCs w:val="1"/>
          <w:color w:val="auto"/>
        </w:rPr>
        <w:t>Jazz Employee Benefit Plans (cont.) Post-Retirement Medical Plan (cont.)</w:t>
      </w:r>
    </w:p>
    <w:p>
      <w:pPr>
        <w:ind w:left="1780"/>
        <w:spacing w:after="0"/>
        <w:rPr>
          <w:rFonts w:ascii="Arial" w:cs="Arial" w:eastAsia="Arial" w:hAnsi="Arial"/>
          <w:sz w:val="15"/>
          <w:szCs w:val="15"/>
          <w:b w:val="1"/>
          <w:bCs w:val="1"/>
          <w:color w:val="auto"/>
        </w:rPr>
      </w:pPr>
      <w:r>
        <w:rPr>
          <w:rFonts w:ascii="Arial" w:cs="Arial" w:eastAsia="Arial" w:hAnsi="Arial"/>
          <w:sz w:val="17"/>
          <w:szCs w:val="17"/>
          <w:color w:val="auto"/>
        </w:rPr>
        <w:t>Impact of one</w:t>
      </w:r>
      <w:r>
        <w:rPr>
          <w:rFonts w:ascii="Arial" w:cs="Arial" w:eastAsia="Arial" w:hAnsi="Arial"/>
          <w:sz w:val="17"/>
          <w:szCs w:val="17"/>
          <w:b w:val="1"/>
          <w:bCs w:val="1"/>
          <w:color w:val="auto"/>
        </w:rPr>
        <w:t>-</w:t>
      </w:r>
      <w:r>
        <w:rPr>
          <w:rFonts w:ascii="Arial" w:cs="Arial" w:eastAsia="Arial" w:hAnsi="Arial"/>
          <w:sz w:val="17"/>
          <w:szCs w:val="17"/>
          <w:color w:val="auto"/>
        </w:rPr>
        <w:t>percentage point change in assumed health care cost trend rates as of December 31, 2017:</w:t>
      </w:r>
    </w:p>
    <w:p>
      <w:pPr>
        <w:spacing w:after="0" w:line="274" w:lineRule="exact"/>
        <w:rPr>
          <w:sz w:val="20"/>
          <w:szCs w:val="20"/>
          <w:color w:val="auto"/>
        </w:rPr>
      </w:pPr>
    </w:p>
    <w:tbl>
      <w:tblPr>
        <w:tblLayout w:type="fixed"/>
        <w:tblInd w:w="1620" w:type="dxa"/>
        <w:tblCellMar>
          <w:top w:w="0" w:type="dxa"/>
          <w:left w:w="0" w:type="dxa"/>
          <w:bottom w:w="0" w:type="dxa"/>
          <w:right w:w="0" w:type="dxa"/>
        </w:tblCellMar>
      </w:tblPr>
      <w:tr>
        <w:trPr>
          <w:trHeight w:val="224"/>
        </w:trPr>
        <w:tc>
          <w:tcPr>
            <w:tcW w:w="75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Increase</w:t>
            </w: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Decrease</w:t>
            </w:r>
          </w:p>
        </w:tc>
        <w:tc>
          <w:tcPr>
            <w:tcW w:w="80" w:type="dxa"/>
            <w:vAlign w:val="bottom"/>
          </w:tcPr>
          <w:p>
            <w:pPr>
              <w:spacing w:after="0"/>
              <w:rPr>
                <w:sz w:val="19"/>
                <w:szCs w:val="19"/>
                <w:color w:val="auto"/>
              </w:rPr>
            </w:pP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Effect on service cost and interest cost</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r>
      <w:tr>
        <w:trPr>
          <w:trHeight w:val="217"/>
        </w:trPr>
        <w:tc>
          <w:tcPr>
            <w:tcW w:w="7560" w:type="dxa"/>
            <w:vAlign w:val="bottom"/>
          </w:tcPr>
          <w:p>
            <w:pPr>
              <w:spacing w:after="0"/>
              <w:rPr>
                <w:sz w:val="20"/>
                <w:szCs w:val="20"/>
                <w:color w:val="auto"/>
              </w:rPr>
            </w:pPr>
            <w:r>
              <w:rPr>
                <w:rFonts w:ascii="Arial" w:cs="Arial" w:eastAsia="Arial" w:hAnsi="Arial"/>
                <w:sz w:val="17"/>
                <w:szCs w:val="17"/>
                <w:color w:val="auto"/>
              </w:rPr>
              <w:t>Effect on post-retirement benefit obligation</w:t>
            </w:r>
          </w:p>
        </w:tc>
        <w:tc>
          <w:tcPr>
            <w:tcW w:w="800" w:type="dxa"/>
            <w:vAlign w:val="bottom"/>
          </w:tcPr>
          <w:p>
            <w:pPr>
              <w:jc w:val="right"/>
              <w:ind w:right="641"/>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(61)</w:t>
            </w:r>
          </w:p>
        </w:tc>
      </w:tr>
    </w:tbl>
    <w:p>
      <w:pPr>
        <w:spacing w:after="0" w:line="234" w:lineRule="exact"/>
        <w:rPr>
          <w:sz w:val="20"/>
          <w:szCs w:val="20"/>
          <w:color w:val="auto"/>
        </w:rPr>
      </w:pPr>
    </w:p>
    <w:p>
      <w:pPr>
        <w:ind w:left="1780"/>
        <w:spacing w:after="0"/>
        <w:rPr>
          <w:sz w:val="20"/>
          <w:szCs w:val="20"/>
          <w:color w:val="auto"/>
        </w:rPr>
      </w:pPr>
      <w:r>
        <w:rPr>
          <w:rFonts w:ascii="Arial" w:cs="Arial" w:eastAsia="Arial" w:hAnsi="Arial"/>
          <w:sz w:val="15"/>
          <w:szCs w:val="15"/>
          <w:color w:val="auto"/>
        </w:rPr>
        <w:t>The components of the change in benefit obligation, change in plan assets and funded status for post-retirement medical plan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7"/>
                <w:szCs w:val="17"/>
                <w:color w:val="auto"/>
              </w:rPr>
              <w:t>Year ended December 31,</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medical plan related benefit obligation:</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7"/>
                <w:szCs w:val="17"/>
                <w:color w:val="auto"/>
                <w:w w:val="94"/>
              </w:rPr>
              <w:t>Medical plan related benefit</w:t>
            </w:r>
          </w:p>
        </w:tc>
        <w:tc>
          <w:tcPr>
            <w:tcW w:w="4400" w:type="dxa"/>
            <w:vAlign w:val="bottom"/>
          </w:tcPr>
          <w:p>
            <w:pPr>
              <w:jc w:val="right"/>
              <w:ind w:right="2034"/>
              <w:spacing w:after="0"/>
              <w:rPr>
                <w:sz w:val="20"/>
                <w:szCs w:val="20"/>
                <w:color w:val="auto"/>
              </w:rPr>
            </w:pPr>
            <w:r>
              <w:rPr>
                <w:rFonts w:ascii="Arial" w:cs="Arial" w:eastAsia="Arial" w:hAnsi="Arial"/>
                <w:sz w:val="17"/>
                <w:szCs w:val="17"/>
                <w:color w:val="auto"/>
                <w:w w:val="93"/>
              </w:rPr>
              <w:t>obligation at beginning of period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1,550</w:t>
            </w:r>
          </w:p>
        </w:tc>
        <w:tc>
          <w:tcPr>
            <w:tcW w:w="120" w:type="dxa"/>
            <w:vAlign w:val="bottom"/>
          </w:tcPr>
          <w:p>
            <w:pPr>
              <w:spacing w:after="0"/>
              <w:rPr>
                <w:sz w:val="17"/>
                <w:szCs w:val="17"/>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1,781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2,977</w:t>
            </w: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4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Interest cost</w:t>
            </w: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Benefits paid</w:t>
            </w:r>
          </w:p>
        </w:tc>
        <w:tc>
          <w:tcPr>
            <w:tcW w:w="4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6380" w:type="dxa"/>
            <w:vAlign w:val="bottom"/>
            <w:gridSpan w:val="2"/>
          </w:tcPr>
          <w:p>
            <w:pPr>
              <w:spacing w:after="0"/>
              <w:rPr>
                <w:sz w:val="20"/>
                <w:szCs w:val="20"/>
                <w:color w:val="auto"/>
              </w:rPr>
            </w:pPr>
            <w:r>
              <w:rPr>
                <w:rFonts w:ascii="Arial" w:cs="Arial" w:eastAsia="Arial" w:hAnsi="Arial"/>
                <w:sz w:val="17"/>
                <w:szCs w:val="17"/>
                <w:color w:val="auto"/>
              </w:rPr>
              <w:t>Change in medical plan provisions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Actuarial loss (gain)</w:t>
            </w:r>
          </w:p>
        </w:tc>
        <w:tc>
          <w:tcPr>
            <w:tcW w:w="4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(316)</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(1,333)</w:t>
            </w: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6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w w:val="93"/>
              </w:rPr>
              <w:t>Benefit medical plan related</w:t>
            </w:r>
          </w:p>
        </w:tc>
        <w:tc>
          <w:tcPr>
            <w:tcW w:w="4400" w:type="dxa"/>
            <w:vAlign w:val="bottom"/>
          </w:tcPr>
          <w:p>
            <w:pPr>
              <w:jc w:val="right"/>
              <w:ind w:right="2594"/>
              <w:spacing w:after="0"/>
              <w:rPr>
                <w:sz w:val="20"/>
                <w:szCs w:val="20"/>
                <w:color w:val="auto"/>
              </w:rPr>
            </w:pPr>
            <w:r>
              <w:rPr>
                <w:rFonts w:ascii="Arial" w:cs="Arial" w:eastAsia="Arial" w:hAnsi="Arial"/>
                <w:sz w:val="17"/>
                <w:szCs w:val="17"/>
                <w:color w:val="auto"/>
                <w:w w:val="96"/>
              </w:rPr>
              <w:t>obligation end of period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1,936</w:t>
            </w:r>
          </w:p>
        </w:tc>
        <w:tc>
          <w:tcPr>
            <w:tcW w:w="120" w:type="dxa"/>
            <w:vAlign w:val="bottom"/>
          </w:tcPr>
          <w:p>
            <w:pPr>
              <w:spacing w:after="0"/>
              <w:rPr>
                <w:sz w:val="18"/>
                <w:szCs w:val="18"/>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1,550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1,781</w:t>
            </w: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Change in plan assets:</w:t>
            </w:r>
          </w:p>
        </w:tc>
        <w:tc>
          <w:tcPr>
            <w:tcW w:w="44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6380" w:type="dxa"/>
            <w:vAlign w:val="bottom"/>
            <w:gridSpan w:val="2"/>
          </w:tcPr>
          <w:p>
            <w:pPr>
              <w:spacing w:after="0"/>
              <w:rPr>
                <w:sz w:val="20"/>
                <w:szCs w:val="20"/>
                <w:color w:val="auto"/>
              </w:rPr>
            </w:pPr>
            <w:r>
              <w:rPr>
                <w:rFonts w:ascii="Arial" w:cs="Arial" w:eastAsia="Arial" w:hAnsi="Arial"/>
                <w:sz w:val="17"/>
                <w:szCs w:val="17"/>
                <w:color w:val="auto"/>
              </w:rPr>
              <w:t>Fair value of plan assets at beginning of period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620" w:type="dxa"/>
            <w:vAlign w:val="bottom"/>
          </w:tcPr>
          <w:p>
            <w:pPr>
              <w:spacing w:after="0"/>
              <w:rPr>
                <w:sz w:val="17"/>
                <w:szCs w:val="17"/>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Employer contribution</w:t>
            </w:r>
          </w:p>
        </w:tc>
        <w:tc>
          <w:tcPr>
            <w:tcW w:w="4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6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7"/>
                <w:szCs w:val="17"/>
                <w:color w:val="auto"/>
              </w:rPr>
              <w:t>Benefits paid</w:t>
            </w:r>
          </w:p>
        </w:tc>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46"/>
        </w:trPr>
        <w:tc>
          <w:tcPr>
            <w:tcW w:w="1620" w:type="dxa"/>
            <w:vAlign w:val="bottom"/>
          </w:tcPr>
          <w:p>
            <w:pPr>
              <w:spacing w:after="0"/>
              <w:rPr>
                <w:sz w:val="21"/>
                <w:szCs w:val="21"/>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Fair value of plan assets at end of period</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620" w:type="dxa"/>
            <w:vAlign w:val="bottom"/>
          </w:tcPr>
          <w:p>
            <w:pPr>
              <w:spacing w:after="0"/>
              <w:rPr>
                <w:sz w:val="17"/>
                <w:szCs w:val="17"/>
                <w:color w:val="auto"/>
              </w:rPr>
            </w:pPr>
          </w:p>
        </w:tc>
        <w:tc>
          <w:tcPr>
            <w:tcW w:w="6380" w:type="dxa"/>
            <w:vAlign w:val="bottom"/>
            <w:gridSpan w:val="2"/>
          </w:tcPr>
          <w:p>
            <w:pPr>
              <w:spacing w:after="0"/>
              <w:rPr>
                <w:sz w:val="20"/>
                <w:szCs w:val="20"/>
                <w:color w:val="auto"/>
              </w:rPr>
            </w:pPr>
            <w:r>
              <w:rPr>
                <w:rFonts w:ascii="Arial" w:cs="Arial" w:eastAsia="Arial" w:hAnsi="Arial"/>
                <w:sz w:val="17"/>
                <w:szCs w:val="17"/>
                <w:color w:val="auto"/>
              </w:rPr>
              <w:t>Medical plan related net funding</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(1,936)</w:t>
            </w:r>
          </w:p>
        </w:tc>
        <w:tc>
          <w:tcPr>
            <w:tcW w:w="2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(1,550)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(1,781)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0" w:type="dxa"/>
            <w:vAlign w:val="bottom"/>
            <w:vMerge w:val="restart"/>
          </w:tcPr>
          <w:p>
            <w:pPr>
              <w:jc w:val="right"/>
              <w:ind w:right="2014"/>
              <w:spacing w:after="0"/>
              <w:rPr>
                <w:sz w:val="20"/>
                <w:szCs w:val="20"/>
                <w:color w:val="auto"/>
              </w:rPr>
            </w:pPr>
            <w:r>
              <w:rPr>
                <w:rFonts w:ascii="Arial" w:cs="Arial" w:eastAsia="Arial" w:hAnsi="Arial"/>
                <w:sz w:val="17"/>
                <w:szCs w:val="17"/>
                <w:color w:val="auto"/>
              </w:rPr>
              <w:t>- 34 -</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1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162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4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00" w:val="left"/>
          <w:tab w:leader="none" w:pos="140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EMPLOYEE RELATED LIABILITIES (cont.)</w:t>
      </w:r>
    </w:p>
    <w:p>
      <w:pPr>
        <w:spacing w:after="0" w:line="319" w:lineRule="exact"/>
        <w:rPr>
          <w:sz w:val="20"/>
          <w:szCs w:val="20"/>
          <w:color w:val="auto"/>
        </w:rPr>
      </w:pPr>
    </w:p>
    <w:tbl>
      <w:tblPr>
        <w:tblLayout w:type="fixed"/>
        <w:tblInd w:w="124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7"/>
                <w:szCs w:val="17"/>
                <w:b w:val="1"/>
                <w:bCs w:val="1"/>
                <w:color w:val="auto"/>
              </w:rPr>
              <w:t>B.</w:t>
            </w:r>
          </w:p>
        </w:tc>
        <w:tc>
          <w:tcPr>
            <w:tcW w:w="5380" w:type="dxa"/>
            <w:vAlign w:val="bottom"/>
          </w:tcPr>
          <w:p>
            <w:pPr>
              <w:ind w:left="280"/>
              <w:spacing w:after="0"/>
              <w:rPr>
                <w:sz w:val="20"/>
                <w:szCs w:val="20"/>
                <w:color w:val="auto"/>
              </w:rPr>
            </w:pPr>
            <w:r>
              <w:rPr>
                <w:rFonts w:ascii="Arial" w:cs="Arial" w:eastAsia="Arial" w:hAnsi="Arial"/>
                <w:sz w:val="17"/>
                <w:szCs w:val="17"/>
                <w:b w:val="1"/>
                <w:bCs w:val="1"/>
                <w:color w:val="auto"/>
              </w:rPr>
              <w:t>Jazz Employee Benefit Plans (cont.)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76"/>
        </w:trPr>
        <w:tc>
          <w:tcPr>
            <w:tcW w:w="380" w:type="dxa"/>
            <w:vAlign w:val="bottom"/>
          </w:tcPr>
          <w:p>
            <w:pPr>
              <w:spacing w:after="0"/>
              <w:rPr>
                <w:sz w:val="24"/>
                <w:szCs w:val="24"/>
                <w:color w:val="auto"/>
              </w:rPr>
            </w:pPr>
          </w:p>
        </w:tc>
        <w:tc>
          <w:tcPr>
            <w:tcW w:w="5380" w:type="dxa"/>
            <w:vAlign w:val="bottom"/>
          </w:tcPr>
          <w:p>
            <w:pPr>
              <w:ind w:left="160"/>
              <w:spacing w:after="0"/>
              <w:rPr>
                <w:sz w:val="20"/>
                <w:szCs w:val="20"/>
                <w:color w:val="auto"/>
              </w:rPr>
            </w:pPr>
            <w:r>
              <w:rPr>
                <w:rFonts w:ascii="Arial" w:cs="Arial" w:eastAsia="Arial" w:hAnsi="Arial"/>
                <w:sz w:val="17"/>
                <w:szCs w:val="17"/>
                <w:b w:val="1"/>
                <w:bCs w:val="1"/>
                <w:color w:val="auto"/>
              </w:rPr>
              <w:t>Post-Retirement Medical Plan (cont.)</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70"/>
        </w:trPr>
        <w:tc>
          <w:tcPr>
            <w:tcW w:w="3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91"/>
              </w:rPr>
              <w:t>As of December 31,</w:t>
            </w: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2"/>
        </w:trPr>
        <w:tc>
          <w:tcPr>
            <w:tcW w:w="38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2016</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2015</w:t>
            </w:r>
          </w:p>
        </w:tc>
        <w:tc>
          <w:tcPr>
            <w:tcW w:w="140" w:type="dxa"/>
            <w:vAlign w:val="bottom"/>
          </w:tcPr>
          <w:p>
            <w:pPr>
              <w:spacing w:after="0"/>
              <w:rPr>
                <w:sz w:val="18"/>
                <w:szCs w:val="18"/>
                <w:color w:val="auto"/>
              </w:rPr>
            </w:pPr>
          </w:p>
        </w:tc>
      </w:tr>
      <w:tr>
        <w:trPr>
          <w:trHeight w:val="206"/>
        </w:trPr>
        <w:tc>
          <w:tcPr>
            <w:tcW w:w="38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Amounts recognized in statement of financial position:</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38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Current liabilities</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14"/>
              <w:spacing w:after="0"/>
              <w:rPr>
                <w:sz w:val="20"/>
                <w:szCs w:val="20"/>
                <w:color w:val="auto"/>
              </w:rPr>
            </w:pPr>
            <w:r>
              <w:rPr>
                <w:rFonts w:ascii="Arial" w:cs="Arial" w:eastAsia="Arial" w:hAnsi="Arial"/>
                <w:sz w:val="17"/>
                <w:szCs w:val="17"/>
                <w:color w:val="auto"/>
              </w:rPr>
              <w:t>(58)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(40)</w:t>
            </w:r>
          </w:p>
        </w:tc>
      </w:tr>
      <w:tr>
        <w:trPr>
          <w:trHeight w:val="206"/>
        </w:trPr>
        <w:tc>
          <w:tcPr>
            <w:tcW w:w="38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Non-current liabilities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(1,878)</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(1,513)</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(1,741)</w:t>
            </w:r>
          </w:p>
        </w:tc>
      </w:tr>
      <w:tr>
        <w:trPr>
          <w:trHeight w:val="26"/>
        </w:trPr>
        <w:tc>
          <w:tcPr>
            <w:tcW w:w="380" w:type="dxa"/>
            <w:vAlign w:val="bottom"/>
          </w:tcPr>
          <w:p>
            <w:pPr>
              <w:spacing w:after="0"/>
              <w:rPr>
                <w:sz w:val="2"/>
                <w:szCs w:val="2"/>
                <w:color w:val="auto"/>
              </w:rPr>
            </w:pPr>
          </w:p>
        </w:tc>
        <w:tc>
          <w:tcPr>
            <w:tcW w:w="5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6"/>
        </w:trPr>
        <w:tc>
          <w:tcPr>
            <w:tcW w:w="38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Net amount recognized</w:t>
            </w:r>
          </w:p>
        </w:tc>
        <w:tc>
          <w:tcPr>
            <w:tcW w:w="8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14"/>
              <w:spacing w:after="0"/>
              <w:rPr>
                <w:sz w:val="20"/>
                <w:szCs w:val="20"/>
                <w:color w:val="auto"/>
              </w:rPr>
            </w:pPr>
            <w:r>
              <w:rPr>
                <w:rFonts w:ascii="Arial" w:cs="Arial" w:eastAsia="Arial" w:hAnsi="Arial"/>
                <w:sz w:val="17"/>
                <w:szCs w:val="17"/>
                <w:color w:val="auto"/>
              </w:rPr>
              <w:t>(1,936)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(1,550)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(1,781)</w:t>
            </w:r>
          </w:p>
        </w:tc>
      </w:tr>
      <w:tr>
        <w:trPr>
          <w:trHeight w:val="20"/>
        </w:trPr>
        <w:tc>
          <w:tcPr>
            <w:tcW w:w="3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53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Weighted average assumptions used:</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38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Discount rate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3.80%</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4.50%</w:t>
            </w:r>
          </w:p>
        </w:tc>
        <w:tc>
          <w:tcPr>
            <w:tcW w:w="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4.80%</w:t>
            </w:r>
          </w:p>
        </w:tc>
      </w:tr>
      <w:tr>
        <w:trPr>
          <w:trHeight w:val="206"/>
        </w:trPr>
        <w:tc>
          <w:tcPr>
            <w:tcW w:w="38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Rate of compensation increases</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N/A</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N/A</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r>
      <w:tr>
        <w:trPr>
          <w:trHeight w:val="206"/>
        </w:trPr>
        <w:tc>
          <w:tcPr>
            <w:tcW w:w="38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Assumed health care cost trend rates: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38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Health care cost trend rate assumed for next year (pre 65/ post 65)</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w w:val="88"/>
              </w:rPr>
              <w:t>8.30%/11.10%</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7.20%/10.00%</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6.75%/10.00%</w:t>
            </w:r>
          </w:p>
        </w:tc>
      </w:tr>
      <w:tr>
        <w:trPr>
          <w:trHeight w:val="206"/>
        </w:trPr>
        <w:tc>
          <w:tcPr>
            <w:tcW w:w="38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7"/>
                <w:szCs w:val="17"/>
                <w:color w:val="auto"/>
              </w:rPr>
              <w:t>Ultimate rate (pre 65/ post 65)</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w w:val="96"/>
              </w:rPr>
              <w:t>4.50%/4.50%</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4.50%/4.50%</w:t>
            </w:r>
          </w:p>
        </w:tc>
        <w:tc>
          <w:tcPr>
            <w:tcW w:w="8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4.50%/5.00%</w:t>
            </w:r>
          </w:p>
        </w:tc>
      </w:tr>
      <w:tr>
        <w:trPr>
          <w:trHeight w:val="206"/>
        </w:trPr>
        <w:tc>
          <w:tcPr>
            <w:tcW w:w="380" w:type="dxa"/>
            <w:vAlign w:val="bottom"/>
          </w:tcPr>
          <w:p>
            <w:pPr>
              <w:spacing w:after="0"/>
              <w:rPr>
                <w:sz w:val="17"/>
                <w:szCs w:val="17"/>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7"/>
                <w:szCs w:val="17"/>
                <w:color w:val="auto"/>
              </w:rPr>
              <w:t>Year the ultimate rate is reached (pre 65/ post 65)</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2027/2027</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2025/2025</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2025/2022</w:t>
            </w:r>
          </w:p>
        </w:tc>
      </w:tr>
    </w:tbl>
    <w:p>
      <w:pPr>
        <w:spacing w:after="0" w:line="245" w:lineRule="exact"/>
        <w:rPr>
          <w:sz w:val="20"/>
          <w:szCs w:val="20"/>
          <w:color w:val="auto"/>
        </w:rPr>
      </w:pPr>
    </w:p>
    <w:p>
      <w:pPr>
        <w:jc w:val="both"/>
        <w:ind w:left="1780"/>
        <w:spacing w:after="0" w:line="278" w:lineRule="auto"/>
        <w:rPr>
          <w:sz w:val="20"/>
          <w:szCs w:val="20"/>
          <w:color w:val="auto"/>
        </w:rPr>
      </w:pPr>
      <w:r>
        <w:rPr>
          <w:rFonts w:ascii="Arial" w:cs="Arial" w:eastAsia="Arial" w:hAnsi="Arial"/>
          <w:sz w:val="17"/>
          <w:szCs w:val="17"/>
          <w:color w:val="auto"/>
        </w:rPr>
        <w:t>The following benefit payments are expected to be paid in each of the next five fiscal years and in the aggregate for the five fiscal years thereafter:</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06"/>
        </w:trPr>
        <w:tc>
          <w:tcPr>
            <w:tcW w:w="8640" w:type="dxa"/>
            <w:vAlign w:val="bottom"/>
          </w:tcPr>
          <w:p>
            <w:pPr>
              <w:spacing w:after="0"/>
              <w:rPr>
                <w:sz w:val="20"/>
                <w:szCs w:val="20"/>
                <w:color w:val="auto"/>
              </w:rPr>
            </w:pPr>
            <w:r>
              <w:rPr>
                <w:rFonts w:ascii="Arial" w:cs="Arial" w:eastAsia="Arial" w:hAnsi="Arial"/>
                <w:sz w:val="17"/>
                <w:szCs w:val="17"/>
                <w:color w:val="auto"/>
              </w:rPr>
              <w:t>Fiscal Year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Other</w:t>
            </w:r>
          </w:p>
        </w:tc>
      </w:tr>
      <w:tr>
        <w:trPr>
          <w:trHeight w:val="224"/>
        </w:trPr>
        <w:tc>
          <w:tcPr>
            <w:tcW w:w="8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Benefits</w:t>
            </w:r>
          </w:p>
        </w:tc>
      </w:tr>
      <w:tr>
        <w:trPr>
          <w:trHeight w:val="206"/>
        </w:trPr>
        <w:tc>
          <w:tcPr>
            <w:tcW w:w="8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2018</w:t>
            </w: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7"/>
                <w:szCs w:val="17"/>
                <w:color w:val="auto"/>
              </w:rPr>
            </w:pPr>
          </w:p>
        </w:tc>
      </w:tr>
      <w:tr>
        <w:trPr>
          <w:trHeight w:val="206"/>
        </w:trPr>
        <w:tc>
          <w:tcPr>
            <w:tcW w:w="8640" w:type="dxa"/>
            <w:vAlign w:val="bottom"/>
          </w:tcPr>
          <w:p>
            <w:pPr>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17"/>
                <w:szCs w:val="17"/>
                <w:color w:val="auto"/>
              </w:rPr>
            </w:pPr>
          </w:p>
        </w:tc>
      </w:tr>
      <w:tr>
        <w:trPr>
          <w:trHeight w:val="206"/>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17"/>
                <w:szCs w:val="17"/>
                <w:color w:val="auto"/>
              </w:rPr>
            </w:pPr>
          </w:p>
        </w:tc>
      </w:tr>
      <w:tr>
        <w:trPr>
          <w:trHeight w:val="206"/>
        </w:trPr>
        <w:tc>
          <w:tcPr>
            <w:tcW w:w="8640" w:type="dxa"/>
            <w:vAlign w:val="bottom"/>
          </w:tcPr>
          <w:p>
            <w:pPr>
              <w:spacing w:after="0"/>
              <w:rPr>
                <w:sz w:val="20"/>
                <w:szCs w:val="20"/>
                <w:color w:val="auto"/>
              </w:rPr>
            </w:pPr>
            <w:r>
              <w:rPr>
                <w:rFonts w:ascii="Arial" w:cs="Arial" w:eastAsia="Arial" w:hAnsi="Arial"/>
                <w:sz w:val="17"/>
                <w:szCs w:val="17"/>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17"/>
                <w:szCs w:val="17"/>
                <w:color w:val="auto"/>
              </w:rPr>
            </w:pPr>
          </w:p>
        </w:tc>
      </w:tr>
      <w:tr>
        <w:trPr>
          <w:trHeight w:val="206"/>
        </w:trPr>
        <w:tc>
          <w:tcPr>
            <w:tcW w:w="864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80" w:type="dxa"/>
            <w:vAlign w:val="bottom"/>
            <w:shd w:val="clear" w:color="auto" w:fill="CCEEFF"/>
          </w:tcPr>
          <w:p>
            <w:pPr>
              <w:spacing w:after="0"/>
              <w:rPr>
                <w:sz w:val="17"/>
                <w:szCs w:val="17"/>
                <w:color w:val="auto"/>
              </w:rPr>
            </w:pPr>
          </w:p>
        </w:tc>
      </w:tr>
      <w:tr>
        <w:trPr>
          <w:trHeight w:val="217"/>
        </w:trPr>
        <w:tc>
          <w:tcPr>
            <w:tcW w:w="8640" w:type="dxa"/>
            <w:vAlign w:val="bottom"/>
          </w:tcPr>
          <w:p>
            <w:pPr>
              <w:spacing w:after="0"/>
              <w:rPr>
                <w:sz w:val="20"/>
                <w:szCs w:val="20"/>
                <w:color w:val="auto"/>
              </w:rPr>
            </w:pPr>
            <w:r>
              <w:rPr>
                <w:rFonts w:ascii="Arial" w:cs="Arial" w:eastAsia="Arial" w:hAnsi="Arial"/>
                <w:sz w:val="17"/>
                <w:szCs w:val="17"/>
                <w:color w:val="auto"/>
              </w:rPr>
              <w:t>2023-2027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404</w:t>
            </w:r>
          </w:p>
        </w:tc>
      </w:tr>
    </w:tbl>
    <w:p>
      <w:pPr>
        <w:spacing w:after="0" w:line="234" w:lineRule="exact"/>
        <w:rPr>
          <w:sz w:val="20"/>
          <w:szCs w:val="20"/>
          <w:color w:val="auto"/>
        </w:rPr>
      </w:pPr>
    </w:p>
    <w:p>
      <w:pPr>
        <w:jc w:val="both"/>
        <w:ind w:left="1780"/>
        <w:spacing w:after="0" w:line="265" w:lineRule="auto"/>
        <w:rPr>
          <w:sz w:val="20"/>
          <w:szCs w:val="20"/>
          <w:color w:val="auto"/>
        </w:rPr>
      </w:pPr>
      <w:r>
        <w:rPr>
          <w:rFonts w:ascii="Arial" w:cs="Arial" w:eastAsia="Arial" w:hAnsi="Arial"/>
          <w:sz w:val="17"/>
          <w:szCs w:val="17"/>
          <w:color w:val="auto"/>
        </w:rPr>
        <w:t>Jazz adopted several changes to the post-retirement medical plan in 2012 that cumulatively reduced its obligations by approximately $3,900. The changes in the plan were implemented through 2015 and included the phase out of spousal coverage, introduction of an employer-paid cap, and acceleration of increases in retiree contribution rates.</w:t>
      </w:r>
    </w:p>
    <w:p>
      <w:pPr>
        <w:spacing w:after="0" w:line="221" w:lineRule="exact"/>
        <w:rPr>
          <w:sz w:val="20"/>
          <w:szCs w:val="20"/>
          <w:color w:val="auto"/>
        </w:rPr>
      </w:pPr>
    </w:p>
    <w:p>
      <w:pPr>
        <w:ind w:left="1780"/>
        <w:spacing w:after="0"/>
        <w:rPr>
          <w:sz w:val="20"/>
          <w:szCs w:val="20"/>
          <w:color w:val="auto"/>
        </w:rPr>
      </w:pPr>
      <w:r>
        <w:rPr>
          <w:rFonts w:ascii="Arial" w:cs="Arial" w:eastAsia="Arial" w:hAnsi="Arial"/>
          <w:sz w:val="17"/>
          <w:szCs w:val="17"/>
          <w:b w:val="1"/>
          <w:bCs w:val="1"/>
          <w:color w:val="auto"/>
        </w:rPr>
        <w:t>Jazz Pension Plan</w:t>
      </w:r>
    </w:p>
    <w:p>
      <w:pPr>
        <w:spacing w:after="0" w:line="274" w:lineRule="exact"/>
        <w:rPr>
          <w:sz w:val="20"/>
          <w:szCs w:val="20"/>
          <w:color w:val="auto"/>
        </w:rPr>
      </w:pPr>
    </w:p>
    <w:p>
      <w:pPr>
        <w:jc w:val="both"/>
        <w:ind w:left="1780"/>
        <w:spacing w:after="0" w:line="265" w:lineRule="auto"/>
        <w:rPr>
          <w:sz w:val="20"/>
          <w:szCs w:val="20"/>
          <w:color w:val="auto"/>
        </w:rPr>
      </w:pPr>
      <w:r>
        <w:rPr>
          <w:rFonts w:ascii="Arial" w:cs="Arial" w:eastAsia="Arial" w:hAnsi="Arial"/>
          <w:sz w:val="17"/>
          <w:szCs w:val="17"/>
          <w:color w:val="auto"/>
        </w:rPr>
        <w:t>Jazz has a pension plan that provides for monthly pension payments to eligible employees upon retirement. The pension benefits are based on years of service and specified benefit amounts. Jazz uses a December 31 measurement date. Jazz funding policy is to make contributions that satisfy at least the minimum required contribution for IRS qualified plans.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EMPLOYEE RELATED LIABILITIES (cont.)</w:t>
      </w:r>
    </w:p>
    <w:p>
      <w:pPr>
        <w:spacing w:after="0" w:line="280" w:lineRule="exact"/>
        <w:rPr>
          <w:sz w:val="20"/>
          <w:szCs w:val="20"/>
          <w:color w:val="auto"/>
        </w:rPr>
      </w:pPr>
    </w:p>
    <w:p>
      <w:pPr>
        <w:ind w:left="1780" w:right="7020" w:hanging="542"/>
        <w:spacing w:after="0" w:line="572" w:lineRule="auto"/>
        <w:tabs>
          <w:tab w:leader="none" w:pos="178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Jazz Employee Benefit Plans (cont.) Jazz Pension Plan (cont.)</w:t>
      </w:r>
    </w:p>
    <w:p>
      <w:pPr>
        <w:ind w:left="1780"/>
        <w:spacing w:after="0"/>
        <w:rPr>
          <w:rFonts w:ascii="Arial" w:cs="Arial" w:eastAsia="Arial" w:hAnsi="Arial"/>
          <w:sz w:val="17"/>
          <w:szCs w:val="17"/>
          <w:b w:val="1"/>
          <w:bCs w:val="1"/>
          <w:color w:val="auto"/>
        </w:rPr>
      </w:pPr>
      <w:r>
        <w:rPr>
          <w:rFonts w:ascii="Arial" w:cs="Arial" w:eastAsia="Arial" w:hAnsi="Arial"/>
          <w:sz w:val="16"/>
          <w:szCs w:val="16"/>
          <w:color w:val="auto"/>
        </w:rPr>
        <w:t>The components of the change in benefit obligation, the change in plan assets and funded status for Jazz’s pension plan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10"/>
          </w:tcPr>
          <w:p>
            <w:pPr>
              <w:jc w:val="right"/>
              <w:ind w:right="120"/>
              <w:spacing w:after="0"/>
              <w:rPr>
                <w:sz w:val="20"/>
                <w:szCs w:val="20"/>
                <w:color w:val="auto"/>
              </w:rPr>
            </w:pPr>
            <w:r>
              <w:rPr>
                <w:rFonts w:ascii="Arial" w:cs="Arial" w:eastAsia="Arial" w:hAnsi="Arial"/>
                <w:sz w:val="17"/>
                <w:szCs w:val="17"/>
                <w:color w:val="auto"/>
              </w:rPr>
              <w:t>Year ended December 31,</w:t>
            </w: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16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95"/>
              </w:rPr>
              <w:t>2015</w:t>
            </w:r>
          </w:p>
        </w:tc>
        <w:tc>
          <w:tcPr>
            <w:tcW w:w="80" w:type="dxa"/>
            <w:vAlign w:val="bottom"/>
          </w:tcPr>
          <w:p>
            <w:pPr>
              <w:spacing w:after="0"/>
              <w:rPr>
                <w:sz w:val="18"/>
                <w:szCs w:val="18"/>
                <w:color w:val="auto"/>
              </w:rPr>
            </w:pPr>
          </w:p>
        </w:tc>
      </w:tr>
      <w:tr>
        <w:trPr>
          <w:trHeight w:val="206"/>
        </w:trPr>
        <w:tc>
          <w:tcPr>
            <w:tcW w:w="1620" w:type="dxa"/>
            <w:vAlign w:val="bottom"/>
          </w:tcPr>
          <w:p>
            <w:pPr>
              <w:spacing w:after="0"/>
              <w:rPr>
                <w:sz w:val="17"/>
                <w:szCs w:val="17"/>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periodic benefit cost: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Interest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831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841</w:t>
            </w:r>
          </w:p>
        </w:tc>
        <w:tc>
          <w:tcPr>
            <w:tcW w:w="10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798</w:t>
            </w:r>
          </w:p>
        </w:tc>
        <w:tc>
          <w:tcPr>
            <w:tcW w:w="80" w:type="dxa"/>
            <w:vAlign w:val="bottom"/>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(1,154)</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(1,130)</w:t>
            </w:r>
          </w:p>
        </w:tc>
        <w:tc>
          <w:tcPr>
            <w:tcW w:w="80" w:type="dxa"/>
            <w:vAlign w:val="bottom"/>
            <w:shd w:val="clear" w:color="auto" w:fill="CCEEFF"/>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Amortization of prior service costs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r>
      <w:tr>
        <w:trPr>
          <w:trHeight w:val="212"/>
        </w:trPr>
        <w:tc>
          <w:tcPr>
            <w:tcW w:w="1620" w:type="dxa"/>
            <w:vAlign w:val="bottom"/>
          </w:tcPr>
          <w:p>
            <w:pPr>
              <w:spacing w:after="0"/>
              <w:rPr>
                <w:sz w:val="18"/>
                <w:szCs w:val="18"/>
                <w:color w:val="auto"/>
              </w:rPr>
            </w:pPr>
          </w:p>
        </w:tc>
        <w:tc>
          <w:tcPr>
            <w:tcW w:w="62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Amortization of net (gain) or loss</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16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Total net periodic benefit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(347)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(298)</w:t>
            </w:r>
          </w:p>
        </w:tc>
        <w:tc>
          <w:tcPr>
            <w:tcW w:w="8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620" w:type="dxa"/>
            <w:vAlign w:val="bottom"/>
          </w:tcPr>
          <w:p>
            <w:pPr>
              <w:spacing w:after="0"/>
              <w:rPr>
                <w:sz w:val="17"/>
                <w:szCs w:val="17"/>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7"/>
                <w:szCs w:val="17"/>
                <w:color w:val="auto"/>
                <w:w w:val="97"/>
              </w:rPr>
              <w:t>Other changes in plan assets and benefits obligations recognized in other comprehensive income: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Prior service cost for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(gain) or loss for the period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736</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Amortization of prior service costs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Amortization of net gain or (loss)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7"/>
                <w:szCs w:val="17"/>
                <w:color w:val="auto"/>
              </w:rPr>
            </w:pPr>
          </w:p>
        </w:tc>
      </w:tr>
      <w:tr>
        <w:trPr>
          <w:trHeight w:val="26"/>
        </w:trPr>
        <w:tc>
          <w:tcPr>
            <w:tcW w:w="1620" w:type="dxa"/>
            <w:vAlign w:val="bottom"/>
          </w:tcPr>
          <w:p>
            <w:pPr>
              <w:spacing w:after="0"/>
              <w:rPr>
                <w:sz w:val="2"/>
                <w:szCs w:val="2"/>
                <w:color w:val="auto"/>
              </w:rPr>
            </w:pPr>
          </w:p>
        </w:tc>
        <w:tc>
          <w:tcPr>
            <w:tcW w:w="62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6"/>
        </w:trPr>
        <w:tc>
          <w:tcPr>
            <w:tcW w:w="16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Total recognized in other comprehensive income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(1,361)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699</w:t>
            </w:r>
          </w:p>
        </w:tc>
        <w:tc>
          <w:tcPr>
            <w:tcW w:w="100" w:type="dxa"/>
            <w:vAlign w:val="bottom"/>
          </w:tcPr>
          <w:p>
            <w:pPr>
              <w:spacing w:after="0"/>
              <w:rPr>
                <w:sz w:val="17"/>
                <w:szCs w:val="17"/>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p>
        </w:tc>
        <w:tc>
          <w:tcPr>
            <w:tcW w:w="62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3"/>
              </w:rPr>
              <w:t>Total recognized in net periodic benefit cost and other comprehensive income (expense)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80" w:type="dxa"/>
            <w:vAlign w:val="bottom"/>
            <w:tcBorders>
              <w:bottom w:val="single" w:sz="8" w:color="CCEEFF"/>
            </w:tcBorders>
            <w:shd w:val="clear" w:color="auto" w:fill="CCEEFF"/>
          </w:tcPr>
          <w:p>
            <w:pPr>
              <w:spacing w:after="0"/>
              <w:rPr>
                <w:sz w:val="20"/>
                <w:szCs w:val="20"/>
                <w:color w:val="auto"/>
              </w:rPr>
            </w:pPr>
          </w:p>
        </w:tc>
      </w:tr>
      <w:tr>
        <w:trPr>
          <w:trHeight w:val="197"/>
        </w:trPr>
        <w:tc>
          <w:tcPr>
            <w:tcW w:w="16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Weighted average assumptions used: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Discount rate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4.20%</w:t>
            </w:r>
          </w:p>
        </w:tc>
      </w:tr>
      <w:tr>
        <w:trPr>
          <w:trHeight w:val="206"/>
        </w:trPr>
        <w:tc>
          <w:tcPr>
            <w:tcW w:w="16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Expected return on plan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6.20%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6.20%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6.20%</w:t>
            </w:r>
          </w:p>
        </w:tc>
      </w:tr>
      <w:tr>
        <w:trPr>
          <w:trHeight w:val="206"/>
        </w:trPr>
        <w:tc>
          <w:tcPr>
            <w:tcW w:w="1620" w:type="dxa"/>
            <w:vAlign w:val="bottom"/>
          </w:tcPr>
          <w:p>
            <w:pPr>
              <w:spacing w:after="0"/>
              <w:rPr>
                <w:sz w:val="17"/>
                <w:szCs w:val="17"/>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Rate of compensation increases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r>
      <w:tr>
        <w:trPr>
          <w:trHeight w:val="469"/>
        </w:trPr>
        <w:tc>
          <w:tcPr>
            <w:tcW w:w="16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7"/>
                <w:szCs w:val="17"/>
                <w:color w:val="auto"/>
              </w:rPr>
              <w:t>Year ended 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2"/>
        </w:trPr>
        <w:tc>
          <w:tcPr>
            <w:tcW w:w="16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2017</w:t>
            </w: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2016</w:t>
            </w:r>
          </w:p>
        </w:tc>
        <w:tc>
          <w:tcPr>
            <w:tcW w:w="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8"/>
                <w:szCs w:val="18"/>
                <w:color w:val="auto"/>
              </w:rPr>
            </w:pPr>
          </w:p>
        </w:tc>
      </w:tr>
      <w:tr>
        <w:trPr>
          <w:trHeight w:val="193"/>
        </w:trPr>
        <w:tc>
          <w:tcPr>
            <w:tcW w:w="1620" w:type="dxa"/>
            <w:vAlign w:val="bottom"/>
          </w:tcPr>
          <w:p>
            <w:pPr>
              <w:spacing w:after="0"/>
              <w:rPr>
                <w:sz w:val="16"/>
                <w:szCs w:val="16"/>
                <w:color w:val="auto"/>
              </w:rPr>
            </w:pPr>
          </w:p>
        </w:tc>
        <w:tc>
          <w:tcPr>
            <w:tcW w:w="6280" w:type="dxa"/>
            <w:vAlign w:val="bottom"/>
            <w:tcBorders>
              <w:right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Estimated amounts that will be amortized from accumulated other</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1620" w:type="dxa"/>
            <w:vAlign w:val="bottom"/>
          </w:tcPr>
          <w:p>
            <w:pPr>
              <w:spacing w:after="0"/>
              <w:rPr>
                <w:sz w:val="18"/>
                <w:szCs w:val="18"/>
                <w:color w:val="auto"/>
              </w:rPr>
            </w:pPr>
          </w:p>
        </w:tc>
        <w:tc>
          <w:tcPr>
            <w:tcW w:w="628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comprehensive income in the next fiscal year ending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6"/>
        </w:trPr>
        <w:tc>
          <w:tcPr>
            <w:tcW w:w="16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Prior service cost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r>
      <w:tr>
        <w:trPr>
          <w:trHeight w:val="206"/>
        </w:trPr>
        <w:tc>
          <w:tcPr>
            <w:tcW w:w="1620" w:type="dxa"/>
            <w:vAlign w:val="bottom"/>
          </w:tcPr>
          <w:p>
            <w:pPr>
              <w:spacing w:after="0"/>
              <w:rPr>
                <w:sz w:val="17"/>
                <w:szCs w:val="17"/>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actuarial (gain) or loss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right w:val="single" w:sz="8" w:color="CCEEFF"/>
            </w:tcBorders>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7"/>
                <w:szCs w:val="17"/>
                <w:color w:val="auto"/>
              </w:rPr>
            </w:pPr>
          </w:p>
        </w:tc>
      </w:tr>
      <w:tr>
        <w:trPr>
          <w:trHeight w:val="629"/>
        </w:trPr>
        <w:tc>
          <w:tcPr>
            <w:tcW w:w="7900" w:type="dxa"/>
            <w:vAlign w:val="bottom"/>
            <w:gridSpan w:val="2"/>
          </w:tcPr>
          <w:p>
            <w:pPr>
              <w:jc w:val="right"/>
              <w:ind w:right="1914"/>
              <w:spacing w:after="0"/>
              <w:rPr>
                <w:sz w:val="20"/>
                <w:szCs w:val="20"/>
                <w:color w:val="auto"/>
              </w:rPr>
            </w:pPr>
            <w:r>
              <w:rPr>
                <w:rFonts w:ascii="Arial" w:cs="Arial" w:eastAsia="Arial" w:hAnsi="Arial"/>
                <w:sz w:val="17"/>
                <w:szCs w:val="17"/>
                <w:color w:val="auto"/>
              </w:rPr>
              <w:t>- 36 -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
        </w:trPr>
        <w:tc>
          <w:tcPr>
            <w:tcW w:w="1620" w:type="dxa"/>
            <w:vAlign w:val="bottom"/>
            <w:tcBorders>
              <w:bottom w:val="single" w:sz="8" w:color="auto"/>
            </w:tcBorders>
          </w:tcPr>
          <w:p>
            <w:pPr>
              <w:spacing w:after="0"/>
              <w:rPr>
                <w:sz w:val="5"/>
                <w:szCs w:val="5"/>
                <w:color w:val="auto"/>
              </w:rPr>
            </w:pPr>
          </w:p>
        </w:tc>
        <w:tc>
          <w:tcPr>
            <w:tcW w:w="6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37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00" w:val="left"/>
          <w:tab w:leader="none" w:pos="140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EMPLOYEE RELATED LIABILITIES (Cont.)</w:t>
      </w:r>
    </w:p>
    <w:p>
      <w:pPr>
        <w:spacing w:after="0" w:line="280" w:lineRule="exact"/>
        <w:rPr>
          <w:sz w:val="20"/>
          <w:szCs w:val="20"/>
          <w:color w:val="auto"/>
        </w:rPr>
      </w:pPr>
    </w:p>
    <w:p>
      <w:pPr>
        <w:ind w:left="1780" w:right="6980" w:hanging="542"/>
        <w:spacing w:after="0" w:line="572" w:lineRule="auto"/>
        <w:tabs>
          <w:tab w:leader="none" w:pos="178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Jazz Employee Benefit Plans (Cont.) Jazz Pension Plan (cont.)</w:t>
      </w:r>
    </w:p>
    <w:p>
      <w:pPr>
        <w:ind w:left="1780"/>
        <w:spacing w:after="0"/>
        <w:rPr>
          <w:rFonts w:ascii="Arial" w:cs="Arial" w:eastAsia="Arial" w:hAnsi="Arial"/>
          <w:sz w:val="17"/>
          <w:szCs w:val="17"/>
          <w:b w:val="1"/>
          <w:bCs w:val="1"/>
          <w:color w:val="auto"/>
        </w:rPr>
      </w:pPr>
      <w:r>
        <w:rPr>
          <w:rFonts w:ascii="Arial" w:cs="Arial" w:eastAsia="Arial" w:hAnsi="Arial"/>
          <w:sz w:val="16"/>
          <w:szCs w:val="16"/>
          <w:color w:val="auto"/>
        </w:rPr>
        <w:t>The components of the change in benefit obligation, change in plan assets and funded status for Jazz’s pension plan are as follows:</w:t>
      </w:r>
    </w:p>
    <w:p>
      <w:pPr>
        <w:spacing w:after="0" w:line="228" w:lineRule="exact"/>
        <w:rPr>
          <w:sz w:val="20"/>
          <w:szCs w:val="20"/>
          <w:color w:val="auto"/>
        </w:rPr>
      </w:pPr>
    </w:p>
    <w:tbl>
      <w:tblPr>
        <w:tblLayout w:type="fixed"/>
        <w:tblInd w:w="1620" w:type="dxa"/>
        <w:tblCellMar>
          <w:top w:w="0" w:type="dxa"/>
          <w:left w:w="0" w:type="dxa"/>
          <w:bottom w:w="0" w:type="dxa"/>
          <w:right w:w="0" w:type="dxa"/>
        </w:tblCellMar>
      </w:tblPr>
      <w:tr>
        <w:trPr>
          <w:trHeight w:val="224"/>
        </w:trPr>
        <w:tc>
          <w:tcPr>
            <w:tcW w:w="5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color w:val="auto"/>
              </w:rPr>
              <w:t>Year ended December 31,</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2"/>
        </w:trPr>
        <w:tc>
          <w:tcPr>
            <w:tcW w:w="5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2015</w:t>
            </w:r>
          </w:p>
        </w:tc>
        <w:tc>
          <w:tcPr>
            <w:tcW w:w="140" w:type="dxa"/>
            <w:vAlign w:val="bottom"/>
          </w:tcPr>
          <w:p>
            <w:pPr>
              <w:spacing w:after="0"/>
              <w:rPr>
                <w:sz w:val="18"/>
                <w:szCs w:val="18"/>
                <w:color w:val="auto"/>
              </w:rPr>
            </w:pPr>
          </w:p>
        </w:tc>
      </w:tr>
      <w:tr>
        <w:trPr>
          <w:trHeight w:val="206"/>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Change in benefit obligation:</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5020" w:type="dxa"/>
            <w:vAlign w:val="bottom"/>
          </w:tcPr>
          <w:p>
            <w:pPr>
              <w:spacing w:after="0"/>
              <w:rPr>
                <w:sz w:val="20"/>
                <w:szCs w:val="20"/>
                <w:color w:val="auto"/>
              </w:rPr>
            </w:pPr>
            <w:r>
              <w:rPr>
                <w:rFonts w:ascii="Arial" w:cs="Arial" w:eastAsia="Arial" w:hAnsi="Arial"/>
                <w:sz w:val="17"/>
                <w:szCs w:val="17"/>
                <w:color w:val="auto"/>
              </w:rPr>
              <w:t>Benefit obligation at beginning of period</w:t>
            </w:r>
          </w:p>
        </w:tc>
        <w:tc>
          <w:tcPr>
            <w:tcW w:w="14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19,672</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18,605</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19,304</w:t>
            </w:r>
          </w:p>
        </w:tc>
      </w:tr>
      <w:tr>
        <w:trPr>
          <w:trHeight w:val="206"/>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Interest cost</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841</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798</w:t>
            </w:r>
          </w:p>
        </w:tc>
      </w:tr>
      <w:tr>
        <w:trPr>
          <w:trHeight w:val="206"/>
        </w:trPr>
        <w:tc>
          <w:tcPr>
            <w:tcW w:w="5020" w:type="dxa"/>
            <w:vAlign w:val="bottom"/>
          </w:tcPr>
          <w:p>
            <w:pPr>
              <w:spacing w:after="0"/>
              <w:rPr>
                <w:sz w:val="20"/>
                <w:szCs w:val="20"/>
                <w:color w:val="auto"/>
              </w:rPr>
            </w:pPr>
            <w:r>
              <w:rPr>
                <w:rFonts w:ascii="Arial" w:cs="Arial" w:eastAsia="Arial" w:hAnsi="Arial"/>
                <w:sz w:val="17"/>
                <w:szCs w:val="17"/>
                <w:color w:val="auto"/>
              </w:rPr>
              <w:t>Benefits paid</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(548)</w:t>
            </w:r>
          </w:p>
        </w:tc>
        <w:tc>
          <w:tcPr>
            <w:tcW w:w="2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(496)</w:t>
            </w: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(451)</w:t>
            </w:r>
          </w:p>
        </w:tc>
      </w:tr>
      <w:tr>
        <w:trPr>
          <w:trHeight w:val="206"/>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Change in plan provisions</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12"/>
        </w:trPr>
        <w:tc>
          <w:tcPr>
            <w:tcW w:w="5020" w:type="dxa"/>
            <w:vAlign w:val="bottom"/>
          </w:tcPr>
          <w:p>
            <w:pPr>
              <w:spacing w:after="0"/>
              <w:rPr>
                <w:sz w:val="20"/>
                <w:szCs w:val="20"/>
                <w:color w:val="auto"/>
              </w:rPr>
            </w:pPr>
            <w:r>
              <w:rPr>
                <w:rFonts w:ascii="Arial" w:cs="Arial" w:eastAsia="Arial" w:hAnsi="Arial"/>
                <w:sz w:val="17"/>
                <w:szCs w:val="17"/>
                <w:color w:val="auto"/>
              </w:rPr>
              <w:t>Actuarial loss (gain)</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722</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(1,046)</w:t>
            </w:r>
          </w:p>
        </w:tc>
      </w:tr>
      <w:tr>
        <w:trPr>
          <w:trHeight w:val="246"/>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Benefit obligation end of period</w:t>
            </w: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20,629</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19,672</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18,605</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7"/>
                <w:szCs w:val="17"/>
                <w:color w:val="auto"/>
              </w:rPr>
              <w:t>Change in plan assets: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6"/>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plan assets at beginning of period</w:t>
            </w:r>
          </w:p>
        </w:tc>
        <w:tc>
          <w:tcPr>
            <w:tcW w:w="144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18,526</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18,134</w:t>
            </w:r>
          </w:p>
        </w:tc>
      </w:tr>
      <w:tr>
        <w:trPr>
          <w:trHeight w:val="206"/>
        </w:trPr>
        <w:tc>
          <w:tcPr>
            <w:tcW w:w="5020" w:type="dxa"/>
            <w:vAlign w:val="bottom"/>
          </w:tcPr>
          <w:p>
            <w:pPr>
              <w:spacing w:after="0"/>
              <w:rPr>
                <w:sz w:val="20"/>
                <w:szCs w:val="20"/>
                <w:color w:val="auto"/>
              </w:rPr>
            </w:pPr>
            <w:r>
              <w:rPr>
                <w:rFonts w:ascii="Arial" w:cs="Arial" w:eastAsia="Arial" w:hAnsi="Arial"/>
                <w:sz w:val="17"/>
                <w:szCs w:val="17"/>
                <w:color w:val="auto"/>
              </w:rPr>
              <w:t>Actual return on plan assets</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3,212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1,141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78</w:t>
            </w:r>
          </w:p>
        </w:tc>
      </w:tr>
      <w:tr>
        <w:trPr>
          <w:trHeight w:val="206"/>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Employer contribution</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700</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765</w:t>
            </w:r>
          </w:p>
        </w:tc>
      </w:tr>
      <w:tr>
        <w:trPr>
          <w:trHeight w:val="212"/>
        </w:trPr>
        <w:tc>
          <w:tcPr>
            <w:tcW w:w="5020" w:type="dxa"/>
            <w:vAlign w:val="bottom"/>
          </w:tcPr>
          <w:p>
            <w:pPr>
              <w:spacing w:after="0"/>
              <w:rPr>
                <w:sz w:val="20"/>
                <w:szCs w:val="20"/>
                <w:color w:val="auto"/>
              </w:rPr>
            </w:pPr>
            <w:r>
              <w:rPr>
                <w:rFonts w:ascii="Arial" w:cs="Arial" w:eastAsia="Arial" w:hAnsi="Arial"/>
                <w:sz w:val="17"/>
                <w:szCs w:val="17"/>
                <w:color w:val="auto"/>
              </w:rPr>
              <w:t>Benefits paid</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(548)</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(496)</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(451)</w:t>
            </w:r>
          </w:p>
        </w:tc>
      </w:tr>
      <w:tr>
        <w:trPr>
          <w:trHeight w:val="246"/>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of plan assets at end of period</w:t>
            </w: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23,235</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19,871</w:t>
            </w:r>
          </w:p>
        </w:tc>
        <w:tc>
          <w:tcPr>
            <w:tcW w:w="240" w:type="dxa"/>
            <w:vAlign w:val="bottom"/>
            <w:tcBorders>
              <w:bottom w:val="single" w:sz="8" w:color="CCEEFF"/>
              <w:right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18,526</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197"/>
        </w:trPr>
        <w:tc>
          <w:tcPr>
            <w:tcW w:w="5020" w:type="dxa"/>
            <w:vAlign w:val="bottom"/>
          </w:tcPr>
          <w:p>
            <w:pPr>
              <w:spacing w:after="0"/>
              <w:rPr>
                <w:sz w:val="20"/>
                <w:szCs w:val="20"/>
                <w:color w:val="auto"/>
              </w:rPr>
            </w:pPr>
            <w:r>
              <w:rPr>
                <w:rFonts w:ascii="Arial" w:cs="Arial" w:eastAsia="Arial" w:hAnsi="Arial"/>
                <w:sz w:val="17"/>
                <w:szCs w:val="17"/>
                <w:color w:val="auto"/>
              </w:rPr>
              <w:t>Funded status</w:t>
            </w:r>
          </w:p>
        </w:tc>
        <w:tc>
          <w:tcPr>
            <w:tcW w:w="14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2,606</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199</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(79)</w:t>
            </w:r>
          </w:p>
        </w:tc>
      </w:tr>
      <w:tr>
        <w:trPr>
          <w:trHeight w:val="20"/>
        </w:trPr>
        <w:tc>
          <w:tcPr>
            <w:tcW w:w="5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Amounts recognized in statement of financial position:</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5020" w:type="dxa"/>
            <w:vAlign w:val="bottom"/>
          </w:tcPr>
          <w:p>
            <w:pPr>
              <w:spacing w:after="0"/>
              <w:rPr>
                <w:sz w:val="20"/>
                <w:szCs w:val="20"/>
                <w:color w:val="auto"/>
              </w:rPr>
            </w:pPr>
            <w:r>
              <w:rPr>
                <w:rFonts w:ascii="Arial" w:cs="Arial" w:eastAsia="Arial" w:hAnsi="Arial"/>
                <w:sz w:val="17"/>
                <w:szCs w:val="17"/>
                <w:color w:val="auto"/>
              </w:rPr>
              <w:t>Non-current assets</w:t>
            </w:r>
          </w:p>
        </w:tc>
        <w:tc>
          <w:tcPr>
            <w:tcW w:w="144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2,606</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199</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Non-current liabilities</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w:t>
            </w:r>
          </w:p>
        </w:tc>
      </w:tr>
      <w:tr>
        <w:trPr>
          <w:trHeight w:val="26"/>
        </w:trPr>
        <w:tc>
          <w:tcPr>
            <w:tcW w:w="50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6"/>
        </w:trPr>
        <w:tc>
          <w:tcPr>
            <w:tcW w:w="5020" w:type="dxa"/>
            <w:vAlign w:val="bottom"/>
          </w:tcPr>
          <w:p>
            <w:pPr>
              <w:spacing w:after="0"/>
              <w:rPr>
                <w:sz w:val="20"/>
                <w:szCs w:val="20"/>
                <w:color w:val="auto"/>
              </w:rPr>
            </w:pPr>
            <w:r>
              <w:rPr>
                <w:rFonts w:ascii="Arial" w:cs="Arial" w:eastAsia="Arial" w:hAnsi="Arial"/>
                <w:sz w:val="17"/>
                <w:szCs w:val="17"/>
                <w:color w:val="auto"/>
              </w:rPr>
              <w:t>Net amount recognized</w:t>
            </w:r>
          </w:p>
        </w:tc>
        <w:tc>
          <w:tcPr>
            <w:tcW w:w="1240" w:type="dxa"/>
            <w:vAlign w:val="bottom"/>
          </w:tcPr>
          <w:p>
            <w:pPr>
              <w:spacing w:after="0"/>
              <w:rPr>
                <w:sz w:val="17"/>
                <w:szCs w:val="17"/>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2,606</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199</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(79)</w:t>
            </w:r>
          </w:p>
        </w:tc>
      </w:tr>
      <w:tr>
        <w:trPr>
          <w:trHeight w:val="20"/>
        </w:trPr>
        <w:tc>
          <w:tcPr>
            <w:tcW w:w="5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assumptions used:</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5020" w:type="dxa"/>
            <w:vAlign w:val="bottom"/>
          </w:tcPr>
          <w:p>
            <w:pPr>
              <w:spacing w:after="0"/>
              <w:rPr>
                <w:sz w:val="20"/>
                <w:szCs w:val="20"/>
                <w:color w:val="auto"/>
              </w:rPr>
            </w:pPr>
            <w:r>
              <w:rPr>
                <w:rFonts w:ascii="Arial" w:cs="Arial" w:eastAsia="Arial" w:hAnsi="Arial"/>
                <w:sz w:val="17"/>
                <w:szCs w:val="17"/>
                <w:color w:val="auto"/>
              </w:rPr>
              <w:t>Discount rate</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3.70%</w:t>
            </w: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4.30%</w:t>
            </w:r>
          </w:p>
        </w:tc>
        <w:tc>
          <w:tcPr>
            <w:tcW w:w="2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4.60%</w:t>
            </w:r>
          </w:p>
        </w:tc>
      </w:tr>
      <w:tr>
        <w:trPr>
          <w:trHeight w:val="206"/>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Rate of compensation increases</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20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N/A</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N/A</w:t>
            </w:r>
          </w:p>
        </w:tc>
      </w:tr>
    </w:tbl>
    <w:p>
      <w:pPr>
        <w:spacing w:after="0" w:line="245" w:lineRule="exact"/>
        <w:rPr>
          <w:sz w:val="20"/>
          <w:szCs w:val="20"/>
          <w:color w:val="auto"/>
        </w:rPr>
      </w:pPr>
    </w:p>
    <w:p>
      <w:pPr>
        <w:ind w:left="1780"/>
        <w:spacing w:after="0" w:line="278" w:lineRule="auto"/>
        <w:rPr>
          <w:sz w:val="20"/>
          <w:szCs w:val="20"/>
          <w:color w:val="auto"/>
        </w:rPr>
      </w:pPr>
      <w:r>
        <w:rPr>
          <w:rFonts w:ascii="Arial" w:cs="Arial" w:eastAsia="Arial" w:hAnsi="Arial"/>
          <w:sz w:val="17"/>
          <w:szCs w:val="17"/>
          <w:color w:val="auto"/>
        </w:rPr>
        <w:t>The following benefit payments are expected to be paid in each of the next five fiscal years and in the aggregate for the five fiscal years thereafter:</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Other</w:t>
            </w:r>
          </w:p>
        </w:tc>
      </w:tr>
      <w:tr>
        <w:trPr>
          <w:trHeight w:val="224"/>
        </w:trPr>
        <w:tc>
          <w:tcPr>
            <w:tcW w:w="16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7"/>
                <w:szCs w:val="17"/>
                <w:color w:val="auto"/>
              </w:rPr>
              <w:t>Fiscal Year</w:t>
            </w: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Benefits</w:t>
            </w:r>
          </w:p>
        </w:tc>
      </w:tr>
      <w:tr>
        <w:trPr>
          <w:trHeight w:val="206"/>
        </w:trPr>
        <w:tc>
          <w:tcPr>
            <w:tcW w:w="1620" w:type="dxa"/>
            <w:vAlign w:val="bottom"/>
          </w:tcPr>
          <w:p>
            <w:pPr>
              <w:spacing w:after="0"/>
              <w:rPr>
                <w:sz w:val="17"/>
                <w:szCs w:val="17"/>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2018</w:t>
            </w:r>
          </w:p>
        </w:tc>
        <w:tc>
          <w:tcPr>
            <w:tcW w:w="63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w:t>
            </w:r>
          </w:p>
        </w:tc>
        <w:tc>
          <w:tcPr>
            <w:tcW w:w="80" w:type="dxa"/>
            <w:vAlign w:val="bottom"/>
            <w:shd w:val="clear" w:color="auto" w:fill="CCEEFF"/>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Arial" w:cs="Arial" w:eastAsia="Arial" w:hAnsi="Arial"/>
                <w:sz w:val="17"/>
                <w:szCs w:val="17"/>
                <w:color w:val="auto"/>
              </w:rPr>
              <w:t>2019</w:t>
            </w: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850</w:t>
            </w:r>
          </w:p>
        </w:tc>
      </w:tr>
      <w:tr>
        <w:trPr>
          <w:trHeight w:val="206"/>
        </w:trPr>
        <w:tc>
          <w:tcPr>
            <w:tcW w:w="1620" w:type="dxa"/>
            <w:vAlign w:val="bottom"/>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6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935</w:t>
            </w:r>
          </w:p>
        </w:tc>
      </w:tr>
      <w:tr>
        <w:trPr>
          <w:trHeight w:val="206"/>
        </w:trPr>
        <w:tc>
          <w:tcPr>
            <w:tcW w:w="1620" w:type="dxa"/>
            <w:vAlign w:val="bottom"/>
          </w:tcPr>
          <w:p>
            <w:pPr>
              <w:spacing w:after="0"/>
              <w:rPr>
                <w:sz w:val="17"/>
                <w:szCs w:val="17"/>
                <w:color w:val="auto"/>
              </w:rPr>
            </w:pPr>
          </w:p>
        </w:tc>
        <w:tc>
          <w:tcPr>
            <w:tcW w:w="2340" w:type="dxa"/>
            <w:vAlign w:val="bottom"/>
          </w:tcPr>
          <w:p>
            <w:pPr>
              <w:spacing w:after="0"/>
              <w:rPr>
                <w:sz w:val="20"/>
                <w:szCs w:val="20"/>
                <w:color w:val="auto"/>
              </w:rPr>
            </w:pPr>
            <w:r>
              <w:rPr>
                <w:rFonts w:ascii="Arial" w:cs="Arial" w:eastAsia="Arial" w:hAnsi="Arial"/>
                <w:sz w:val="17"/>
                <w:szCs w:val="17"/>
                <w:color w:val="auto"/>
              </w:rPr>
              <w:t>2021</w:t>
            </w: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998</w:t>
            </w:r>
          </w:p>
        </w:tc>
      </w:tr>
      <w:tr>
        <w:trPr>
          <w:trHeight w:val="206"/>
        </w:trPr>
        <w:tc>
          <w:tcPr>
            <w:tcW w:w="1620" w:type="dxa"/>
            <w:vAlign w:val="bottom"/>
          </w:tcPr>
          <w:p>
            <w:pPr>
              <w:spacing w:after="0"/>
              <w:rPr>
                <w:sz w:val="17"/>
                <w:szCs w:val="17"/>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6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1,058</w:t>
            </w:r>
          </w:p>
        </w:tc>
      </w:tr>
      <w:tr>
        <w:trPr>
          <w:trHeight w:val="217"/>
        </w:trPr>
        <w:tc>
          <w:tcPr>
            <w:tcW w:w="16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7"/>
                <w:szCs w:val="17"/>
                <w:color w:val="auto"/>
              </w:rPr>
              <w:t>2023-2027</w:t>
            </w:r>
          </w:p>
        </w:tc>
        <w:tc>
          <w:tcPr>
            <w:tcW w:w="65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5,865</w:t>
            </w:r>
          </w:p>
        </w:tc>
      </w:tr>
      <w:tr>
        <w:trPr>
          <w:trHeight w:val="618"/>
        </w:trPr>
        <w:tc>
          <w:tcPr>
            <w:tcW w:w="16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300" w:type="dxa"/>
            <w:vAlign w:val="bottom"/>
          </w:tcPr>
          <w:p>
            <w:pPr>
              <w:jc w:val="right"/>
              <w:ind w:right="4274"/>
              <w:spacing w:after="0"/>
              <w:rPr>
                <w:sz w:val="20"/>
                <w:szCs w:val="20"/>
                <w:color w:val="auto"/>
              </w:rPr>
            </w:pPr>
            <w:r>
              <w:rPr>
                <w:rFonts w:ascii="Arial" w:cs="Arial" w:eastAsia="Arial" w:hAnsi="Arial"/>
                <w:sz w:val="17"/>
                <w:szCs w:val="17"/>
                <w:color w:val="auto"/>
              </w:rPr>
              <w:t>- 37 -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
        </w:trPr>
        <w:tc>
          <w:tcPr>
            <w:tcW w:w="162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6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EMPLOYEE RELATED LIABILITIES (cont.)</w:t>
      </w:r>
    </w:p>
    <w:p>
      <w:pPr>
        <w:spacing w:after="0" w:line="280" w:lineRule="exact"/>
        <w:rPr>
          <w:sz w:val="20"/>
          <w:szCs w:val="20"/>
          <w:color w:val="auto"/>
        </w:rPr>
      </w:pPr>
    </w:p>
    <w:p>
      <w:pPr>
        <w:ind w:left="1780" w:right="7020" w:hanging="542"/>
        <w:spacing w:after="0" w:line="572" w:lineRule="auto"/>
        <w:tabs>
          <w:tab w:leader="none" w:pos="178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Jazz Employee Benefit Plans (cont.) Jazz Pension Plan (cont.)</w:t>
      </w: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The plan’s assets measured at fair value on a recurring basis consisted of the following as of December 31, 2017:</w:t>
      </w:r>
    </w:p>
    <w:p>
      <w:pPr>
        <w:spacing w:after="0" w:line="268" w:lineRule="exact"/>
        <w:rPr>
          <w:sz w:val="20"/>
          <w:szCs w:val="20"/>
          <w:color w:val="auto"/>
        </w:rPr>
      </w:pPr>
    </w:p>
    <w:tbl>
      <w:tblPr>
        <w:tblLayout w:type="fixed"/>
        <w:tblInd w:w="1620" w:type="dxa"/>
        <w:tblCellMar>
          <w:top w:w="0" w:type="dxa"/>
          <w:left w:w="0" w:type="dxa"/>
          <w:bottom w:w="0" w:type="dxa"/>
          <w:right w:w="0" w:type="dxa"/>
        </w:tblCellMar>
      </w:tblPr>
      <w:tr>
        <w:trPr>
          <w:trHeight w:val="224"/>
        </w:trPr>
        <w:tc>
          <w:tcPr>
            <w:tcW w:w="6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Level 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Arial" w:cs="Arial" w:eastAsia="Arial" w:hAnsi="Arial"/>
                <w:sz w:val="17"/>
                <w:szCs w:val="17"/>
                <w:color w:val="auto"/>
              </w:rPr>
              <w:t>Level 2</w:t>
            </w:r>
          </w:p>
        </w:tc>
        <w:tc>
          <w:tcPr>
            <w:tcW w:w="14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Arial" w:cs="Arial" w:eastAsia="Arial" w:hAnsi="Arial"/>
                <w:sz w:val="17"/>
                <w:szCs w:val="17"/>
                <w:color w:val="auto"/>
              </w:rPr>
              <w:t>Level 3</w:t>
            </w:r>
          </w:p>
        </w:tc>
        <w:tc>
          <w:tcPr>
            <w:tcW w:w="80" w:type="dxa"/>
            <w:vAlign w:val="bottom"/>
          </w:tcPr>
          <w:p>
            <w:pPr>
              <w:spacing w:after="0"/>
              <w:rPr>
                <w:sz w:val="19"/>
                <w:szCs w:val="19"/>
                <w:color w:val="auto"/>
              </w:rPr>
            </w:pPr>
          </w:p>
        </w:tc>
      </w:tr>
      <w:tr>
        <w:trPr>
          <w:trHeight w:val="212"/>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Investments in mutual funds</w:t>
            </w:r>
          </w:p>
        </w:tc>
        <w:tc>
          <w:tcPr>
            <w:tcW w:w="820" w:type="dxa"/>
            <w:vAlign w:val="bottom"/>
            <w:tcBorders>
              <w:top w:val="single" w:sz="8" w:color="auto"/>
              <w:bottom w:val="single" w:sz="8" w:color="auto"/>
            </w:tcBorders>
            <w:shd w:val="clear" w:color="auto" w:fill="CCEEFF"/>
          </w:tcPr>
          <w:p>
            <w:pPr>
              <w:jc w:val="right"/>
              <w:ind w:right="661"/>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23,235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6380" w:type="dxa"/>
            <w:vAlign w:val="bottom"/>
          </w:tcPr>
          <w:p>
            <w:pPr>
              <w:spacing w:after="0"/>
              <w:rPr>
                <w:sz w:val="20"/>
                <w:szCs w:val="20"/>
                <w:color w:val="auto"/>
              </w:rPr>
            </w:pPr>
            <w:r>
              <w:rPr>
                <w:rFonts w:ascii="Arial" w:cs="Arial" w:eastAsia="Arial" w:hAnsi="Arial"/>
                <w:sz w:val="17"/>
                <w:szCs w:val="17"/>
                <w:color w:val="auto"/>
              </w:rPr>
              <w:t>Total plan assets at fair value</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23,235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
        </w:trPr>
        <w:tc>
          <w:tcPr>
            <w:tcW w:w="6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The plan’s assets measured at fair value on a recurring basis consisted of the following as of as of December 31, 2016:</w:t>
      </w:r>
    </w:p>
    <w:p>
      <w:pPr>
        <w:spacing w:after="0" w:line="268" w:lineRule="exact"/>
        <w:rPr>
          <w:sz w:val="20"/>
          <w:szCs w:val="20"/>
          <w:color w:val="auto"/>
        </w:rPr>
      </w:pPr>
    </w:p>
    <w:tbl>
      <w:tblPr>
        <w:tblLayout w:type="fixed"/>
        <w:tblInd w:w="1620" w:type="dxa"/>
        <w:tblCellMar>
          <w:top w:w="0" w:type="dxa"/>
          <w:left w:w="0" w:type="dxa"/>
          <w:bottom w:w="0" w:type="dxa"/>
          <w:right w:w="0" w:type="dxa"/>
        </w:tblCellMar>
      </w:tblPr>
      <w:tr>
        <w:trPr>
          <w:trHeight w:val="224"/>
        </w:trPr>
        <w:tc>
          <w:tcPr>
            <w:tcW w:w="638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Arial" w:cs="Arial" w:eastAsia="Arial" w:hAnsi="Arial"/>
                <w:sz w:val="17"/>
                <w:szCs w:val="17"/>
                <w:color w:val="auto"/>
              </w:rPr>
              <w:t>Level 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Arial" w:cs="Arial" w:eastAsia="Arial" w:hAnsi="Arial"/>
                <w:sz w:val="17"/>
                <w:szCs w:val="17"/>
                <w:color w:val="auto"/>
              </w:rPr>
              <w:t>Level 2</w:t>
            </w:r>
          </w:p>
        </w:tc>
        <w:tc>
          <w:tcPr>
            <w:tcW w:w="140" w:type="dxa"/>
            <w:vAlign w:val="bottom"/>
          </w:tcPr>
          <w:p>
            <w:pPr>
              <w:spacing w:after="0"/>
              <w:rPr>
                <w:sz w:val="19"/>
                <w:szCs w:val="19"/>
                <w:color w:val="auto"/>
              </w:rPr>
            </w:pPr>
          </w:p>
        </w:tc>
        <w:tc>
          <w:tcPr>
            <w:tcW w:w="820" w:type="dxa"/>
            <w:vAlign w:val="bottom"/>
          </w:tcPr>
          <w:p>
            <w:pPr>
              <w:jc w:val="right"/>
              <w:ind w:right="134"/>
              <w:spacing w:after="0"/>
              <w:rPr>
                <w:sz w:val="20"/>
                <w:szCs w:val="20"/>
                <w:color w:val="auto"/>
              </w:rPr>
            </w:pPr>
            <w:r>
              <w:rPr>
                <w:rFonts w:ascii="Arial" w:cs="Arial" w:eastAsia="Arial" w:hAnsi="Arial"/>
                <w:sz w:val="17"/>
                <w:szCs w:val="17"/>
                <w:color w:val="auto"/>
              </w:rPr>
              <w:t>Level 3</w:t>
            </w:r>
          </w:p>
        </w:tc>
        <w:tc>
          <w:tcPr>
            <w:tcW w:w="80" w:type="dxa"/>
            <w:vAlign w:val="bottom"/>
          </w:tcPr>
          <w:p>
            <w:pPr>
              <w:spacing w:after="0"/>
              <w:rPr>
                <w:sz w:val="19"/>
                <w:szCs w:val="19"/>
                <w:color w:val="auto"/>
              </w:rPr>
            </w:pPr>
          </w:p>
        </w:tc>
      </w:tr>
      <w:tr>
        <w:trPr>
          <w:trHeight w:val="212"/>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Investments in mutual funds</w:t>
            </w:r>
          </w:p>
        </w:tc>
        <w:tc>
          <w:tcPr>
            <w:tcW w:w="840" w:type="dxa"/>
            <w:vAlign w:val="bottom"/>
            <w:tcBorders>
              <w:top w:val="single" w:sz="8" w:color="auto"/>
              <w:bottom w:val="single" w:sz="8" w:color="auto"/>
            </w:tcBorders>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19,871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6380" w:type="dxa"/>
            <w:vAlign w:val="bottom"/>
          </w:tcPr>
          <w:p>
            <w:pPr>
              <w:spacing w:after="0"/>
              <w:rPr>
                <w:sz w:val="20"/>
                <w:szCs w:val="20"/>
                <w:color w:val="auto"/>
              </w:rPr>
            </w:pPr>
            <w:r>
              <w:rPr>
                <w:rFonts w:ascii="Arial" w:cs="Arial" w:eastAsia="Arial" w:hAnsi="Arial"/>
                <w:sz w:val="17"/>
                <w:szCs w:val="17"/>
                <w:color w:val="auto"/>
              </w:rPr>
              <w:t>Total plan assets at fair value</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19,871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
        </w:trPr>
        <w:tc>
          <w:tcPr>
            <w:tcW w:w="6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5"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Jazz’s pension plan weighted average asset allocations on December 31, 2017, by asset category are as follows:</w:t>
      </w:r>
    </w:p>
    <w:p>
      <w:pPr>
        <w:spacing w:after="0" w:line="268" w:lineRule="exact"/>
        <w:rPr>
          <w:sz w:val="20"/>
          <w:szCs w:val="20"/>
          <w:color w:val="auto"/>
        </w:rPr>
      </w:pPr>
    </w:p>
    <w:tbl>
      <w:tblPr>
        <w:tblLayout w:type="fixed"/>
        <w:tblInd w:w="1620" w:type="dxa"/>
        <w:tblCellMar>
          <w:top w:w="0" w:type="dxa"/>
          <w:left w:w="0" w:type="dxa"/>
          <w:bottom w:w="0" w:type="dxa"/>
          <w:right w:w="0" w:type="dxa"/>
        </w:tblCellMar>
      </w:tblPr>
      <w:tr>
        <w:trPr>
          <w:trHeight w:val="206"/>
        </w:trPr>
        <w:tc>
          <w:tcPr>
            <w:tcW w:w="7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7"/>
                <w:szCs w:val="17"/>
                <w:color w:val="auto"/>
                <w:w w:val="85"/>
              </w:rPr>
              <w:t>Target</w:t>
            </w:r>
          </w:p>
        </w:tc>
      </w:tr>
      <w:tr>
        <w:trPr>
          <w:trHeight w:val="206"/>
        </w:trPr>
        <w:tc>
          <w:tcPr>
            <w:tcW w:w="7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December 31,</w:t>
            </w:r>
          </w:p>
        </w:tc>
        <w:tc>
          <w:tcPr>
            <w:tcW w:w="1120" w:type="dxa"/>
            <w:vAlign w:val="bottom"/>
            <w:gridSpan w:val="2"/>
          </w:tcPr>
          <w:p>
            <w:pPr>
              <w:jc w:val="center"/>
              <w:ind w:right="140"/>
              <w:spacing w:after="0"/>
              <w:rPr>
                <w:sz w:val="20"/>
                <w:szCs w:val="20"/>
                <w:color w:val="auto"/>
              </w:rPr>
            </w:pPr>
            <w:r>
              <w:rPr>
                <w:rFonts w:ascii="Arial" w:cs="Arial" w:eastAsia="Arial" w:hAnsi="Arial"/>
                <w:sz w:val="17"/>
                <w:szCs w:val="17"/>
                <w:color w:val="auto"/>
                <w:w w:val="91"/>
              </w:rPr>
              <w:t>allocation</w:t>
            </w:r>
          </w:p>
        </w:tc>
      </w:tr>
      <w:tr>
        <w:trPr>
          <w:trHeight w:val="224"/>
        </w:trPr>
        <w:tc>
          <w:tcPr>
            <w:tcW w:w="7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Asset Category</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2018</w:t>
            </w:r>
          </w:p>
        </w:tc>
        <w:tc>
          <w:tcPr>
            <w:tcW w:w="140" w:type="dxa"/>
            <w:vAlign w:val="bottom"/>
          </w:tcPr>
          <w:p>
            <w:pPr>
              <w:spacing w:after="0"/>
              <w:rPr>
                <w:sz w:val="19"/>
                <w:szCs w:val="19"/>
                <w:color w:val="auto"/>
              </w:rPr>
            </w:pPr>
          </w:p>
        </w:tc>
      </w:tr>
      <w:tr>
        <w:trPr>
          <w:trHeight w:val="206"/>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06"/>
        </w:trPr>
        <w:tc>
          <w:tcPr>
            <w:tcW w:w="7380" w:type="dxa"/>
            <w:vAlign w:val="bottom"/>
          </w:tcPr>
          <w:p>
            <w:pPr>
              <w:spacing w:after="0"/>
              <w:rPr>
                <w:sz w:val="20"/>
                <w:szCs w:val="20"/>
                <w:color w:val="auto"/>
              </w:rPr>
            </w:pPr>
            <w:r>
              <w:rPr>
                <w:rFonts w:ascii="Arial" w:cs="Arial" w:eastAsia="Arial" w:hAnsi="Arial"/>
                <w:sz w:val="17"/>
                <w:szCs w:val="17"/>
                <w:color w:val="auto"/>
              </w:rPr>
              <w:t>Debt securities</w:t>
            </w:r>
          </w:p>
        </w:tc>
        <w:tc>
          <w:tcPr>
            <w:tcW w:w="1300" w:type="dxa"/>
            <w:vAlign w:val="bottom"/>
            <w:gridSpan w:val="3"/>
          </w:tcPr>
          <w:p>
            <w:pPr>
              <w:jc w:val="right"/>
              <w:ind w:right="100"/>
              <w:spacing w:after="0"/>
              <w:rPr>
                <w:sz w:val="20"/>
                <w:szCs w:val="20"/>
                <w:color w:val="auto"/>
              </w:rPr>
            </w:pPr>
            <w:r>
              <w:rPr>
                <w:rFonts w:ascii="Arial" w:cs="Arial" w:eastAsia="Arial" w:hAnsi="Arial"/>
                <w:sz w:val="17"/>
                <w:szCs w:val="17"/>
                <w:color w:val="auto"/>
              </w:rPr>
              <w:t>39%</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40%</w:t>
            </w:r>
          </w:p>
        </w:tc>
      </w:tr>
      <w:tr>
        <w:trPr>
          <w:trHeight w:val="206"/>
        </w:trPr>
        <w:tc>
          <w:tcPr>
            <w:tcW w:w="73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bl>
    <w:p>
      <w:pPr>
        <w:spacing w:after="0" w:line="245" w:lineRule="exact"/>
        <w:rPr>
          <w:sz w:val="20"/>
          <w:szCs w:val="20"/>
          <w:color w:val="auto"/>
        </w:rPr>
      </w:pPr>
    </w:p>
    <w:p>
      <w:pPr>
        <w:jc w:val="both"/>
        <w:ind w:left="1780"/>
        <w:spacing w:after="0" w:line="257" w:lineRule="auto"/>
        <w:rPr>
          <w:sz w:val="20"/>
          <w:szCs w:val="20"/>
          <w:color w:val="auto"/>
        </w:rPr>
      </w:pPr>
      <w:r>
        <w:rPr>
          <w:rFonts w:ascii="Arial" w:cs="Arial" w:eastAsia="Arial" w:hAnsi="Arial"/>
          <w:sz w:val="17"/>
          <w:szCs w:val="17"/>
          <w:color w:val="auto"/>
        </w:rPr>
        <w:t>Jazz’s primary policy goals regarding the plan’s assets are cost-effective diversification of plan assets, competitive returns on investment and preservation of capital. Plan assets are currently invested in mutual funds with various debt and equity investment objectives. The target asset allocation for the plan assets is 40% debt, or fixed income securities, and 60% equity securities. Individual funds are evaluated periodically based on comparisons to benchmark indices and peer group funds and investment decisions are made by Jazz in accordance with the policy goals. Actual allocation to each asset category fluctuates and may not be within the target specified above due to changes in market conditions.</w:t>
      </w:r>
    </w:p>
    <w:p>
      <w:pPr>
        <w:spacing w:after="0" w:line="236" w:lineRule="exact"/>
        <w:rPr>
          <w:sz w:val="20"/>
          <w:szCs w:val="20"/>
          <w:color w:val="auto"/>
        </w:rPr>
      </w:pPr>
    </w:p>
    <w:p>
      <w:pPr>
        <w:jc w:val="both"/>
        <w:ind w:left="1780"/>
        <w:spacing w:after="0" w:line="282" w:lineRule="auto"/>
        <w:rPr>
          <w:sz w:val="20"/>
          <w:szCs w:val="20"/>
          <w:color w:val="auto"/>
        </w:rPr>
      </w:pPr>
      <w:r>
        <w:rPr>
          <w:rFonts w:ascii="Arial" w:cs="Arial" w:eastAsia="Arial" w:hAnsi="Arial"/>
          <w:sz w:val="16"/>
          <w:szCs w:val="16"/>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COMMITMENTS AND CONTINGENCIES</w:t>
      </w:r>
    </w:p>
    <w:p>
      <w:pPr>
        <w:spacing w:after="0" w:line="280" w:lineRule="exact"/>
        <w:rPr>
          <w:sz w:val="20"/>
          <w:szCs w:val="20"/>
          <w:color w:val="auto"/>
        </w:rPr>
      </w:pPr>
    </w:p>
    <w:p>
      <w:pPr>
        <w:ind w:left="1780" w:hanging="542"/>
        <w:spacing w:after="0"/>
        <w:tabs>
          <w:tab w:leader="none" w:pos="178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Liens</w:t>
      </w:r>
    </w:p>
    <w:p>
      <w:pPr>
        <w:spacing w:after="0" w:line="267" w:lineRule="exact"/>
        <w:rPr>
          <w:rFonts w:ascii="Arial" w:cs="Arial" w:eastAsia="Arial" w:hAnsi="Arial"/>
          <w:sz w:val="17"/>
          <w:szCs w:val="17"/>
          <w:b w:val="1"/>
          <w:bCs w:val="1"/>
          <w:color w:val="auto"/>
        </w:rPr>
      </w:pPr>
    </w:p>
    <w:p>
      <w:pPr>
        <w:ind w:left="2220" w:hanging="468"/>
        <w:spacing w:after="0"/>
        <w:tabs>
          <w:tab w:leader="none" w:pos="2220" w:val="left"/>
        </w:tabs>
        <w:numPr>
          <w:ilvl w:val="1"/>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Banks Loans and Capital Leases</w:t>
      </w:r>
    </w:p>
    <w:p>
      <w:pPr>
        <w:spacing w:after="0" w:line="273" w:lineRule="exact"/>
        <w:rPr>
          <w:rFonts w:ascii="Arial" w:cs="Arial" w:eastAsia="Arial" w:hAnsi="Arial"/>
          <w:sz w:val="17"/>
          <w:szCs w:val="17"/>
          <w:b w:val="1"/>
          <w:bCs w:val="1"/>
          <w:color w:val="auto"/>
        </w:rPr>
      </w:pPr>
    </w:p>
    <w:p>
      <w:pPr>
        <w:ind w:left="224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For liens relating to Jazz Credit Line Agreement, see Note 12C. For liens under TPSCo 2015 Term Loan agreement see Note 12D. For liens relating to TJT term loan, see Note 12E. For liens under the capital lease agreements see Note 15C.</w:t>
      </w:r>
    </w:p>
    <w:p>
      <w:pPr>
        <w:spacing w:after="0" w:line="210" w:lineRule="exact"/>
        <w:rPr>
          <w:rFonts w:ascii="Arial" w:cs="Arial" w:eastAsia="Arial" w:hAnsi="Arial"/>
          <w:sz w:val="17"/>
          <w:szCs w:val="17"/>
          <w:b w:val="1"/>
          <w:bCs w:val="1"/>
          <w:color w:val="auto"/>
        </w:rPr>
      </w:pPr>
    </w:p>
    <w:p>
      <w:pPr>
        <w:ind w:left="2220" w:hanging="468"/>
        <w:spacing w:after="0"/>
        <w:tabs>
          <w:tab w:leader="none" w:pos="2220" w:val="left"/>
        </w:tabs>
        <w:numPr>
          <w:ilvl w:val="1"/>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Approved Enterprise Status</w:t>
      </w:r>
    </w:p>
    <w:p>
      <w:pPr>
        <w:spacing w:after="0" w:line="273" w:lineRule="exact"/>
        <w:rPr>
          <w:rFonts w:ascii="Arial" w:cs="Arial" w:eastAsia="Arial" w:hAnsi="Arial"/>
          <w:sz w:val="17"/>
          <w:szCs w:val="17"/>
          <w:b w:val="1"/>
          <w:bCs w:val="1"/>
          <w:color w:val="auto"/>
        </w:rPr>
      </w:pPr>
    </w:p>
    <w:p>
      <w:pPr>
        <w:ind w:left="224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Floating liens are registered in favor of the State of Israel on substantially all of Tower’s assets under the Investment Center’s approved enterprise status program.</w:t>
      </w:r>
    </w:p>
    <w:p>
      <w:pPr>
        <w:spacing w:after="0" w:line="210" w:lineRule="exact"/>
        <w:rPr>
          <w:rFonts w:ascii="Arial" w:cs="Arial" w:eastAsia="Arial" w:hAnsi="Arial"/>
          <w:sz w:val="17"/>
          <w:szCs w:val="17"/>
          <w:b w:val="1"/>
          <w:bCs w:val="1"/>
          <w:color w:val="auto"/>
        </w:rPr>
      </w:pPr>
    </w:p>
    <w:p>
      <w:pPr>
        <w:ind w:left="1780" w:hanging="542"/>
        <w:spacing w:after="0"/>
        <w:tabs>
          <w:tab w:leader="none" w:pos="178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License Agreements</w:t>
      </w:r>
    </w:p>
    <w:p>
      <w:pPr>
        <w:spacing w:after="0" w:line="273"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221" w:lineRule="exact"/>
        <w:rPr>
          <w:rFonts w:ascii="Arial" w:cs="Arial" w:eastAsia="Arial" w:hAnsi="Arial"/>
          <w:sz w:val="17"/>
          <w:szCs w:val="17"/>
          <w:b w:val="1"/>
          <w:bCs w:val="1"/>
          <w:color w:val="auto"/>
        </w:rPr>
      </w:pPr>
    </w:p>
    <w:p>
      <w:pPr>
        <w:ind w:left="1780" w:hanging="542"/>
        <w:spacing w:after="0"/>
        <w:tabs>
          <w:tab w:leader="none" w:pos="178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273" w:lineRule="exact"/>
        <w:rPr>
          <w:rFonts w:ascii="Arial" w:cs="Arial" w:eastAsia="Arial" w:hAnsi="Arial"/>
          <w:sz w:val="17"/>
          <w:szCs w:val="17"/>
          <w:b w:val="1"/>
          <w:bCs w:val="1"/>
          <w:color w:val="auto"/>
        </w:rPr>
      </w:pPr>
    </w:p>
    <w:p>
      <w:pPr>
        <w:jc w:val="both"/>
        <w:ind w:left="1780"/>
        <w:spacing w:after="0" w:line="301" w:lineRule="auto"/>
        <w:rPr>
          <w:rFonts w:ascii="Arial" w:cs="Arial" w:eastAsia="Arial" w:hAnsi="Arial"/>
          <w:sz w:val="17"/>
          <w:szCs w:val="17"/>
          <w:b w:val="1"/>
          <w:bCs w:val="1"/>
          <w:color w:val="auto"/>
        </w:rPr>
      </w:pPr>
      <w:r>
        <w:rPr>
          <w:rFonts w:ascii="Arial" w:cs="Arial" w:eastAsia="Arial" w:hAnsi="Arial"/>
          <w:sz w:val="15"/>
          <w:szCs w:val="15"/>
          <w:color w:val="auto"/>
        </w:rPr>
        <w:t>Tower’s administrative offices and corporate headquarters, Fab 1 and Fab 2 manufacturing operations are located in a building complex situated in an industrial park in Migdal Ha’emek, in the northern part of Israel. The premises where the administrative offices and Fab 1 are located are under a long-term lease from the ILA, which expires in 2032. Tower has no obligation for lease payments related to this lease through the year 2032. Tower entered into a long-term lease agreement with the ILA relating to Fab 2 for a period ending in 2049. The lease payments through 2049 relating to this lease have been paid in advance and are expensed through the operational lease period.</w:t>
      </w:r>
    </w:p>
    <w:p>
      <w:pPr>
        <w:spacing w:after="0" w:line="204"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Tower occupies certain other premises under various operating leases. The obligations under such leases were not material as of December 31, 2017.</w:t>
      </w:r>
    </w:p>
    <w:p>
      <w:pPr>
        <w:spacing w:after="0" w:line="164" w:lineRule="exact"/>
        <w:rPr>
          <w:rFonts w:ascii="Arial" w:cs="Arial" w:eastAsia="Arial" w:hAnsi="Arial"/>
          <w:sz w:val="17"/>
          <w:szCs w:val="17"/>
          <w:b w:val="1"/>
          <w:bCs w:val="1"/>
          <w:color w:val="auto"/>
        </w:rPr>
      </w:pPr>
    </w:p>
    <w:p>
      <w:pPr>
        <w:jc w:val="both"/>
        <w:ind w:left="178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Jazz leases its fabrication facilities under operational lease contracts that may be extended until 2027, through the exercise of an option at Jazz’s sole discretion to extend the lease period through 2027. In 2015, Jazz exercised its first option to extend the lease term from 2017 to 2022, while maintaining the option to extend the lease term at its sole discretion from 2022 to 2027. In the amendments to its leases, (i) Jazz secured various contractual safeguards designed to limit and mitigate any adverse impact of construction activities on its fabrication operations; and (ii) set forth certain obligations of Jazz and the landlord, including certain noise abatement actions at the fabrication facility. The landlord has made claims that Jazz’s noise abatement efforts are not adequate under the terms of the amended lease. Jazz does not agree and is disputing these claims.</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05" w:lineRule="exact"/>
        <w:rPr>
          <w:rFonts w:ascii="Arial" w:cs="Arial" w:eastAsia="Arial" w:hAnsi="Arial"/>
          <w:sz w:val="17"/>
          <w:szCs w:val="17"/>
          <w:b w:val="1"/>
          <w:bCs w:val="1"/>
          <w:color w:val="auto"/>
        </w:rPr>
      </w:pPr>
    </w:p>
    <w:p>
      <w:pPr>
        <w:ind w:left="5620" w:hanging="92"/>
        <w:spacing w:after="0"/>
        <w:tabs>
          <w:tab w:leader="none" w:pos="5620" w:val="left"/>
        </w:tabs>
        <w:numPr>
          <w:ilvl w:val="2"/>
          <w:numId w:val="34"/>
        </w:numPr>
        <w:rPr>
          <w:rFonts w:ascii="Arial" w:cs="Arial" w:eastAsia="Arial" w:hAnsi="Arial"/>
          <w:sz w:val="17"/>
          <w:szCs w:val="17"/>
          <w:color w:val="auto"/>
        </w:rPr>
      </w:pPr>
      <w:r>
        <w:rPr>
          <w:rFonts w:ascii="Arial" w:cs="Arial" w:eastAsia="Arial" w:hAnsi="Arial"/>
          <w:sz w:val="17"/>
          <w:szCs w:val="17"/>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COMMITMENTS AND CONTINGENCIES (Cont.)</w:t>
      </w:r>
    </w:p>
    <w:p>
      <w:pPr>
        <w:spacing w:after="0" w:line="280" w:lineRule="exact"/>
        <w:rPr>
          <w:sz w:val="20"/>
          <w:szCs w:val="20"/>
          <w:color w:val="auto"/>
        </w:rPr>
      </w:pPr>
    </w:p>
    <w:p>
      <w:pPr>
        <w:ind w:left="1780" w:hanging="542"/>
        <w:spacing w:after="0"/>
        <w:tabs>
          <w:tab w:leader="none" w:pos="178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Leases (cont.)</w:t>
      </w:r>
    </w:p>
    <w:p>
      <w:pPr>
        <w:spacing w:after="0" w:line="273"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Aggregate rental expenses under Jazz operating leases were approximately $2,800, $2,800 and $3,000 for the years ended December 31, 2017, 2016 and 2015, respectively.</w:t>
      </w:r>
    </w:p>
    <w:p>
      <w:pPr>
        <w:spacing w:after="0" w:line="164"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Future minimum payments for Jazz’s non-cancelable operating building leases are approximately $2,800 for each of the years 2018 through 2019, approximately $2,400 for each of the years 2020 through 2021 and approximately $500 thereafter.</w:t>
      </w:r>
    </w:p>
    <w:p>
      <w:pPr>
        <w:spacing w:after="0" w:line="216"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In 2014, TPSCo entered into a five-year operational lease agreement with Panasonic to lease the building and facilities of its three fabs in Hokuriko, Japan for the manufacturing business of TPSCo. The parties agreed to have good faith discussions regarding the terms and conditions for extension of the term of the lease agreement, taking into account the terms provided thereunder prior to the expiration thereof and the fair market prices existing at the time of the extension.</w:t>
      </w:r>
    </w:p>
    <w:p>
      <w:pPr>
        <w:spacing w:after="0" w:line="230"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Future minimum payments under TPSCo’s non-cancelable operating building and facilities lease are $14,075 and $3,518 for the year 2018 and the first quarter of 2019 (end of the lease term), respectively.</w:t>
      </w:r>
    </w:p>
    <w:p>
      <w:pPr>
        <w:spacing w:after="0" w:line="164" w:lineRule="exact"/>
        <w:rPr>
          <w:rFonts w:ascii="Arial" w:cs="Arial" w:eastAsia="Arial" w:hAnsi="Arial"/>
          <w:sz w:val="17"/>
          <w:szCs w:val="17"/>
          <w:b w:val="1"/>
          <w:bCs w:val="1"/>
          <w:color w:val="auto"/>
        </w:rPr>
      </w:pPr>
    </w:p>
    <w:p>
      <w:pPr>
        <w:jc w:val="both"/>
        <w:ind w:left="1780"/>
        <w:spacing w:after="0" w:line="301" w:lineRule="auto"/>
        <w:rPr>
          <w:rFonts w:ascii="Arial" w:cs="Arial" w:eastAsia="Arial" w:hAnsi="Arial"/>
          <w:sz w:val="17"/>
          <w:szCs w:val="17"/>
          <w:b w:val="1"/>
          <w:bCs w:val="1"/>
          <w:color w:val="auto"/>
        </w:rPr>
      </w:pPr>
      <w:r>
        <w:rPr>
          <w:rFonts w:ascii="Arial" w:cs="Arial" w:eastAsia="Arial" w:hAnsi="Arial"/>
          <w:sz w:val="15"/>
          <w:szCs w:val="15"/>
          <w:color w:val="auto"/>
        </w:rPr>
        <w:t>In addition, certain of the Company’s subsidiaries entered into capital lease agreements for certain machinery and equipment required at the fabrication facilities for a period of up to 5 years with an option to buy each or all of the machinery and equipment after 3 years from the start of the lease period at 40% of their original value. The lease agreements contain annual interest rate of 1.85% and the assets under the lease agreements are pledged to JA Mitsui until the time at which the respective subsidiary will buy the assets. The obligations under the capital lease agreement are guaranteed by Tower except for TPSCo’s obligations under its capital lease agreements.</w:t>
      </w:r>
    </w:p>
    <w:p>
      <w:pPr>
        <w:spacing w:after="0" w:line="204"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As of December 31, 2017 the outstanding capital lease liability was $15,854 of which $3,032 were included in current maturities.</w:t>
      </w:r>
    </w:p>
    <w:p>
      <w:pPr>
        <w:spacing w:after="0" w:line="267" w:lineRule="exact"/>
        <w:rPr>
          <w:rFonts w:ascii="Arial" w:cs="Arial" w:eastAsia="Arial" w:hAnsi="Arial"/>
          <w:sz w:val="17"/>
          <w:szCs w:val="17"/>
          <w:b w:val="1"/>
          <w:bCs w:val="1"/>
          <w:color w:val="auto"/>
        </w:rPr>
      </w:pPr>
    </w:p>
    <w:p>
      <w:pPr>
        <w:ind w:left="1780"/>
        <w:spacing w:after="0" w:line="347" w:lineRule="auto"/>
        <w:rPr>
          <w:rFonts w:ascii="Arial" w:cs="Arial" w:eastAsia="Arial" w:hAnsi="Arial"/>
          <w:sz w:val="17"/>
          <w:szCs w:val="17"/>
          <w:b w:val="1"/>
          <w:bCs w:val="1"/>
          <w:color w:val="auto"/>
        </w:rPr>
      </w:pPr>
      <w:r>
        <w:rPr>
          <w:rFonts w:ascii="Arial" w:cs="Arial" w:eastAsia="Arial" w:hAnsi="Arial"/>
          <w:sz w:val="15"/>
          <w:szCs w:val="15"/>
          <w:color w:val="auto"/>
        </w:rPr>
        <w:t>As of December 31, 2017, the minimum lease payments under capital leases, are $3,032 for the year ending December 31, 2018, $3,538 for the year ending December 31, 2019, $3,377 for the year ending December 31, 2020, and $5,907 for the year ending December 31, 2021.</w:t>
      </w:r>
    </w:p>
    <w:p>
      <w:pPr>
        <w:spacing w:after="0" w:line="200" w:lineRule="exact"/>
        <w:rPr>
          <w:rFonts w:ascii="Arial" w:cs="Arial" w:eastAsia="Arial" w:hAnsi="Arial"/>
          <w:sz w:val="17"/>
          <w:szCs w:val="17"/>
          <w:b w:val="1"/>
          <w:bCs w:val="1"/>
          <w:color w:val="auto"/>
        </w:rPr>
      </w:pPr>
    </w:p>
    <w:p>
      <w:pPr>
        <w:spacing w:after="0" w:line="394" w:lineRule="exact"/>
        <w:rPr>
          <w:rFonts w:ascii="Arial" w:cs="Arial" w:eastAsia="Arial" w:hAnsi="Arial"/>
          <w:sz w:val="17"/>
          <w:szCs w:val="17"/>
          <w:b w:val="1"/>
          <w:bCs w:val="1"/>
          <w:color w:val="auto"/>
        </w:rPr>
      </w:pPr>
    </w:p>
    <w:p>
      <w:pPr>
        <w:ind w:left="5620" w:hanging="92"/>
        <w:spacing w:after="0"/>
        <w:tabs>
          <w:tab w:leader="none" w:pos="56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COMMITMENTS AND CONTINGENCIES (Cont.)</w:t>
      </w:r>
    </w:p>
    <w:p>
      <w:pPr>
        <w:spacing w:after="0" w:line="280" w:lineRule="exact"/>
        <w:rPr>
          <w:sz w:val="20"/>
          <w:szCs w:val="20"/>
          <w:color w:val="auto"/>
        </w:rPr>
      </w:pPr>
    </w:p>
    <w:p>
      <w:pPr>
        <w:ind w:left="1780" w:hanging="542"/>
        <w:spacing w:after="0"/>
        <w:tabs>
          <w:tab w:leader="none" w:pos="178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Other Agreements</w:t>
      </w:r>
    </w:p>
    <w:p>
      <w:pPr>
        <w:spacing w:after="0" w:line="273"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The Company enters from time to time, in the ordinary course of business, into long-term agreements with various entities for the joint development of products and processes utilizing technologies owned separately by either the other entity or the Company, or owned jointly by both parties, as applicable.</w:t>
      </w:r>
    </w:p>
    <w:p>
      <w:pPr>
        <w:spacing w:after="0" w:line="221" w:lineRule="exact"/>
        <w:rPr>
          <w:rFonts w:ascii="Arial" w:cs="Arial" w:eastAsia="Arial" w:hAnsi="Arial"/>
          <w:sz w:val="17"/>
          <w:szCs w:val="17"/>
          <w:b w:val="1"/>
          <w:bCs w:val="1"/>
          <w:color w:val="auto"/>
        </w:rPr>
      </w:pPr>
    </w:p>
    <w:p>
      <w:pPr>
        <w:ind w:left="1780" w:hanging="542"/>
        <w:spacing w:after="0"/>
        <w:tabs>
          <w:tab w:leader="none" w:pos="178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Environmental Affairs</w:t>
      </w:r>
    </w:p>
    <w:p>
      <w:pPr>
        <w:spacing w:after="0" w:line="273" w:lineRule="exact"/>
        <w:rPr>
          <w:rFonts w:ascii="Arial" w:cs="Arial" w:eastAsia="Arial" w:hAnsi="Arial"/>
          <w:sz w:val="17"/>
          <w:szCs w:val="17"/>
          <w:b w:val="1"/>
          <w:bCs w:val="1"/>
          <w:color w:val="auto"/>
        </w:rPr>
      </w:pPr>
    </w:p>
    <w:p>
      <w:pPr>
        <w:jc w:val="both"/>
        <w:ind w:left="1780"/>
        <w:spacing w:after="0" w:line="279" w:lineRule="auto"/>
        <w:rPr>
          <w:rFonts w:ascii="Arial" w:cs="Arial" w:eastAsia="Arial" w:hAnsi="Arial"/>
          <w:sz w:val="17"/>
          <w:szCs w:val="17"/>
          <w:b w:val="1"/>
          <w:bCs w:val="1"/>
          <w:color w:val="auto"/>
        </w:rPr>
      </w:pPr>
      <w:r>
        <w:rPr>
          <w:rFonts w:ascii="Arial" w:cs="Arial" w:eastAsia="Arial" w:hAnsi="Arial"/>
          <w:sz w:val="16"/>
          <w:szCs w:val="16"/>
          <w:color w:val="auto"/>
        </w:rPr>
        <w:t>The Company’s operations are subject to a variety of laws and state and governmental regulations relating to the use, discharge and disposal of toxic or otherwise hazardous materials used in the production processes. Operating permits and licenses are required for the operation of the Company’s facilities and these permits and licenses are subject to revocation, modification and renewal. Government authorities have the power to enforce compliance with these regulations, permits and licenses. As of the approval date of the financial statements, the Company is not aware of any noncompliance with the terms of said permits and licenses.</w:t>
      </w:r>
    </w:p>
    <w:p>
      <w:pPr>
        <w:spacing w:after="0" w:line="210" w:lineRule="exact"/>
        <w:rPr>
          <w:rFonts w:ascii="Arial" w:cs="Arial" w:eastAsia="Arial" w:hAnsi="Arial"/>
          <w:sz w:val="17"/>
          <w:szCs w:val="17"/>
          <w:b w:val="1"/>
          <w:bCs w:val="1"/>
          <w:color w:val="auto"/>
        </w:rPr>
      </w:pPr>
    </w:p>
    <w:p>
      <w:pPr>
        <w:ind w:left="1840" w:hanging="602"/>
        <w:spacing w:after="0"/>
        <w:tabs>
          <w:tab w:leader="none" w:pos="184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An engagement in relation to a new fabrication facility planned to be built in China.</w:t>
      </w:r>
    </w:p>
    <w:p>
      <w:pPr>
        <w:spacing w:after="0" w:line="274" w:lineRule="exact"/>
        <w:rPr>
          <w:sz w:val="20"/>
          <w:szCs w:val="20"/>
          <w:color w:val="auto"/>
        </w:rPr>
      </w:pPr>
    </w:p>
    <w:p>
      <w:pPr>
        <w:jc w:val="both"/>
        <w:ind w:left="1780"/>
        <w:spacing w:after="0" w:line="257" w:lineRule="auto"/>
        <w:rPr>
          <w:sz w:val="20"/>
          <w:szCs w:val="20"/>
          <w:color w:val="auto"/>
        </w:rPr>
      </w:pPr>
      <w:r>
        <w:rPr>
          <w:rFonts w:ascii="Arial" w:cs="Arial" w:eastAsia="Arial" w:hAnsi="Arial"/>
          <w:sz w:val="17"/>
          <w:szCs w:val="17"/>
          <w:color w:val="auto"/>
        </w:rPr>
        <w:t>In 2017, the Company, Tacoma Technology Ltd. and Tacoma (Nanjing) Semiconductor Technology Co., Ltd. (collectively known as “Tacoma”), signed a framework agreement regarding a new 8-inch fabrication facility planned to be established in Nanjing, China. The framework agreement includes a binding phase under which the Company should deliver technological licenses and consultation services (mainly training) for a consideration of $18,000, net. This phase came into force upon the receipt by the Company of the $18,000, net, which has been fully received in August 2017. By December 31, 2017 the Company delivered the licenses and completed the related services.</w:t>
      </w:r>
    </w:p>
    <w:p>
      <w:pPr>
        <w:spacing w:after="0" w:line="236" w:lineRule="exact"/>
        <w:rPr>
          <w:sz w:val="20"/>
          <w:szCs w:val="20"/>
          <w:color w:val="auto"/>
        </w:rPr>
      </w:pPr>
    </w:p>
    <w:p>
      <w:pPr>
        <w:jc w:val="both"/>
        <w:ind w:left="1780"/>
        <w:spacing w:after="0" w:line="282" w:lineRule="auto"/>
        <w:rPr>
          <w:sz w:val="20"/>
          <w:szCs w:val="20"/>
          <w:color w:val="auto"/>
        </w:rPr>
      </w:pPr>
      <w:r>
        <w:rPr>
          <w:rFonts w:ascii="Arial" w:cs="Arial" w:eastAsia="Arial" w:hAnsi="Arial"/>
          <w:sz w:val="16"/>
          <w:szCs w:val="16"/>
          <w:color w:val="auto"/>
        </w:rPr>
        <w:t>According to the terms of the framework agreement, it was agreed that the Company will provide additional technological licenses and expertise together with operational and integration consultation, at terms and milestones to be further discussed discussions by the parties. The framework agreement further specifies capacity allocation to the Company of up to 50% of the targeted 40,000 wafers per month fab capacity, in order to provide the Company with additional manufacturing capability and capacity.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COMMITMENTS AND CONTINGENCIES (Cont.)</w:t>
      </w:r>
    </w:p>
    <w:p>
      <w:pPr>
        <w:spacing w:after="0" w:line="280" w:lineRule="exact"/>
        <w:rPr>
          <w:sz w:val="20"/>
          <w:szCs w:val="20"/>
          <w:color w:val="auto"/>
        </w:rPr>
      </w:pPr>
    </w:p>
    <w:p>
      <w:pPr>
        <w:ind w:left="1780" w:hanging="542"/>
        <w:spacing w:after="0"/>
        <w:tabs>
          <w:tab w:leader="none" w:pos="178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Other Commitments</w:t>
      </w:r>
    </w:p>
    <w:p>
      <w:pPr>
        <w:spacing w:after="0" w:line="273"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Receipt of certain research and development grants from the government of Israel is subject to various conditions. In the event Tower fails to comply with such conditions, Tower may be required to repay all or a portion of the grants received. In Tower’s opinion, Tower has been in full compliance with the conditions through December 31, 2017 and hence repayment of the grant is considered remote. For details in regard to Investment Center grants, see Note 8B.</w:t>
      </w:r>
    </w:p>
    <w:p>
      <w:pPr>
        <w:spacing w:after="0" w:line="224" w:lineRule="exact"/>
        <w:rPr>
          <w:rFonts w:ascii="Arial" w:cs="Arial" w:eastAsia="Arial" w:hAnsi="Arial"/>
          <w:sz w:val="17"/>
          <w:szCs w:val="17"/>
          <w:b w:val="1"/>
          <w:bCs w:val="1"/>
          <w:color w:val="auto"/>
        </w:rPr>
      </w:pPr>
    </w:p>
    <w:p>
      <w:pPr>
        <w:ind w:left="1780" w:hanging="542"/>
        <w:spacing w:after="0"/>
        <w:tabs>
          <w:tab w:leader="none" w:pos="178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Litigation</w:t>
      </w:r>
    </w:p>
    <w:p>
      <w:pPr>
        <w:spacing w:after="0" w:line="273" w:lineRule="exact"/>
        <w:rPr>
          <w:rFonts w:ascii="Arial" w:cs="Arial" w:eastAsia="Arial" w:hAnsi="Arial"/>
          <w:sz w:val="17"/>
          <w:szCs w:val="17"/>
          <w:b w:val="1"/>
          <w:bCs w:val="1"/>
          <w:color w:val="auto"/>
        </w:rPr>
      </w:pPr>
    </w:p>
    <w:p>
      <w:pPr>
        <w:jc w:val="both"/>
        <w:ind w:left="1780"/>
        <w:spacing w:after="0" w:line="282" w:lineRule="auto"/>
        <w:rPr>
          <w:rFonts w:ascii="Arial" w:cs="Arial" w:eastAsia="Arial" w:hAnsi="Arial"/>
          <w:sz w:val="17"/>
          <w:szCs w:val="17"/>
          <w:b w:val="1"/>
          <w:bCs w:val="1"/>
          <w:color w:val="auto"/>
        </w:rPr>
      </w:pPr>
      <w:r>
        <w:rPr>
          <w:rFonts w:ascii="Arial" w:cs="Arial" w:eastAsia="Arial" w:hAnsi="Arial"/>
          <w:sz w:val="16"/>
          <w:szCs w:val="16"/>
          <w:color w:val="auto"/>
        </w:rPr>
        <w:t>In January 2016, a short-selling focused firm issued a short sell thesis report which the Company believes contains false and misleading information about the Company's strategy, business model and financials. Following this short sell thesis report, shareholder class actions were filed in the US and Israel against the Company, certain officers, its directors and/or its external auditor. This short sell thesis analyst acknowledged at the time of the report that he shall be assumed to be in a short position in Tower’s shares.</w:t>
      </w:r>
    </w:p>
    <w:p>
      <w:pPr>
        <w:spacing w:after="0" w:line="215"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In July 2016, the US court-appointed lead plaintiff voluntarily withdrew the action and the US court approved the voluntary dismissal of the class action in the US. In February 2018, the Israeli court granted the Company’s motion to dismiss as the Israeli plaintiff did not meet the required burden of proof.</w:t>
      </w:r>
    </w:p>
    <w:p>
      <w:pPr>
        <w:spacing w:after="0" w:line="137" w:lineRule="exact"/>
        <w:rPr>
          <w:rFonts w:ascii="Arial" w:cs="Arial" w:eastAsia="Arial" w:hAnsi="Arial"/>
          <w:sz w:val="17"/>
          <w:szCs w:val="17"/>
          <w:b w:val="1"/>
          <w:bCs w:val="1"/>
          <w:color w:val="auto"/>
        </w:rPr>
      </w:pPr>
    </w:p>
    <w:p>
      <w:pPr>
        <w:ind w:left="5620" w:hanging="92"/>
        <w:spacing w:after="0"/>
        <w:tabs>
          <w:tab w:leader="none" w:pos="56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SHAREHOLDERS’ EQUITY</w:t>
      </w:r>
    </w:p>
    <w:p>
      <w:pPr>
        <w:spacing w:after="0" w:line="280" w:lineRule="exact"/>
        <w:rPr>
          <w:sz w:val="20"/>
          <w:szCs w:val="20"/>
          <w:color w:val="auto"/>
        </w:rPr>
      </w:pPr>
    </w:p>
    <w:p>
      <w:pPr>
        <w:ind w:left="1780" w:hanging="542"/>
        <w:spacing w:after="0"/>
        <w:tabs>
          <w:tab w:leader="none" w:pos="178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Ordinary Shares</w:t>
      </w:r>
    </w:p>
    <w:p>
      <w:pPr>
        <w:spacing w:after="0" w:line="273" w:lineRule="exact"/>
        <w:rPr>
          <w:rFonts w:ascii="Arial" w:cs="Arial" w:eastAsia="Arial" w:hAnsi="Arial"/>
          <w:sz w:val="17"/>
          <w:szCs w:val="17"/>
          <w:b w:val="1"/>
          <w:bCs w:val="1"/>
          <w:color w:val="auto"/>
        </w:rPr>
      </w:pPr>
    </w:p>
    <w:p>
      <w:pPr>
        <w:jc w:val="both"/>
        <w:ind w:left="1780"/>
        <w:spacing w:after="0" w:line="282" w:lineRule="auto"/>
        <w:rPr>
          <w:rFonts w:ascii="Arial" w:cs="Arial" w:eastAsia="Arial" w:hAnsi="Arial"/>
          <w:sz w:val="17"/>
          <w:szCs w:val="17"/>
          <w:b w:val="1"/>
          <w:bCs w:val="1"/>
          <w:color w:val="auto"/>
        </w:rPr>
      </w:pPr>
      <w:r>
        <w:rPr>
          <w:rFonts w:ascii="Arial" w:cs="Arial" w:eastAsia="Arial" w:hAnsi="Arial"/>
          <w:sz w:val="16"/>
          <w:szCs w:val="16"/>
          <w:color w:val="auto"/>
        </w:rPr>
        <w:t>As of December 31, 2017, Tower had 150 million authorized ordinary shares, par value NIS 15.00 each, of which approximately 98 million were issued and outstanding.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spacing w:after="0" w:line="209" w:lineRule="exact"/>
        <w:rPr>
          <w:rFonts w:ascii="Arial" w:cs="Arial" w:eastAsia="Arial" w:hAnsi="Arial"/>
          <w:sz w:val="17"/>
          <w:szCs w:val="17"/>
          <w:b w:val="1"/>
          <w:bCs w:val="1"/>
          <w:color w:val="auto"/>
        </w:rPr>
      </w:pPr>
    </w:p>
    <w:p>
      <w:pPr>
        <w:ind w:left="1780" w:hanging="542"/>
        <w:spacing w:after="0"/>
        <w:tabs>
          <w:tab w:leader="none" w:pos="178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Plans</w:t>
      </w:r>
    </w:p>
    <w:p>
      <w:pPr>
        <w:spacing w:after="0" w:line="267" w:lineRule="exact"/>
        <w:rPr>
          <w:rFonts w:ascii="Arial" w:cs="Arial" w:eastAsia="Arial" w:hAnsi="Arial"/>
          <w:sz w:val="17"/>
          <w:szCs w:val="17"/>
          <w:b w:val="1"/>
          <w:bCs w:val="1"/>
          <w:color w:val="auto"/>
        </w:rPr>
      </w:pPr>
    </w:p>
    <w:p>
      <w:pPr>
        <w:ind w:left="2220" w:hanging="468"/>
        <w:spacing w:after="0"/>
        <w:tabs>
          <w:tab w:leader="none" w:pos="2220" w:val="left"/>
        </w:tabs>
        <w:numPr>
          <w:ilvl w:val="1"/>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p>
    <w:p>
      <w:pPr>
        <w:spacing w:after="0" w:line="273" w:lineRule="exact"/>
        <w:rPr>
          <w:rFonts w:ascii="Arial" w:cs="Arial" w:eastAsia="Arial" w:hAnsi="Arial"/>
          <w:sz w:val="17"/>
          <w:szCs w:val="17"/>
          <w:b w:val="1"/>
          <w:bCs w:val="1"/>
          <w:color w:val="auto"/>
        </w:rPr>
      </w:pPr>
    </w:p>
    <w:p>
      <w:pPr>
        <w:jc w:val="both"/>
        <w:ind w:left="224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The Company has granted to its employees and directors options and Restricted Stock Units (“RSUs”) to purchase ordinary shares under several share incentive plans adopted by the Company. The particular provisions of each plan and grant vary as to vesting period, exercise price, exercise period and other terms. Generally, (i) the exercise price of options will not be lower than the nominal value of the shares and will equal either the closing market price of the ordinary shares immediately prior to the date of grant, or in relation to grants made from September 2013, an average of the closing price during the thirty trading days immediately prior to the date of grant; (ii) vest over one to four year period according to various vesting schedules, and (iii) are not exercisable beyond seven or ten years from the grant date.</w:t>
      </w:r>
    </w:p>
    <w:p>
      <w:pPr>
        <w:spacing w:after="0" w:line="232" w:lineRule="exact"/>
        <w:rPr>
          <w:rFonts w:ascii="Arial" w:cs="Arial" w:eastAsia="Arial" w:hAnsi="Arial"/>
          <w:sz w:val="17"/>
          <w:szCs w:val="17"/>
          <w:b w:val="1"/>
          <w:bCs w:val="1"/>
          <w:color w:val="auto"/>
        </w:rPr>
      </w:pPr>
    </w:p>
    <w:p>
      <w:pPr>
        <w:jc w:val="both"/>
        <w:ind w:left="224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Except for those share incentive plans described below, as of December 31, 2017 and December 31, 2016, respectively, there were approximately 57 thousands and 640 thousands options outstanding under the Company’s share incentive plans (the "Old Plans”). No further options may be granted under Old Plans.</w:t>
      </w:r>
    </w:p>
    <w:p>
      <w:pPr>
        <w:spacing w:after="0" w:line="221" w:lineRule="exact"/>
        <w:rPr>
          <w:rFonts w:ascii="Arial" w:cs="Arial" w:eastAsia="Arial" w:hAnsi="Arial"/>
          <w:sz w:val="17"/>
          <w:szCs w:val="17"/>
          <w:b w:val="1"/>
          <w:bCs w:val="1"/>
          <w:color w:val="auto"/>
        </w:rPr>
      </w:pPr>
    </w:p>
    <w:p>
      <w:pPr>
        <w:ind w:left="2220" w:hanging="468"/>
        <w:spacing w:after="0"/>
        <w:tabs>
          <w:tab w:leader="none" w:pos="2220" w:val="left"/>
        </w:tabs>
        <w:numPr>
          <w:ilvl w:val="1"/>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Tower’s 2013 Share Incentive Plan (the "2013 Plan")</w:t>
      </w:r>
    </w:p>
    <w:p>
      <w:pPr>
        <w:spacing w:after="0" w:line="273" w:lineRule="exact"/>
        <w:rPr>
          <w:rFonts w:ascii="Arial" w:cs="Arial" w:eastAsia="Arial" w:hAnsi="Arial"/>
          <w:sz w:val="17"/>
          <w:szCs w:val="17"/>
          <w:b w:val="1"/>
          <w:bCs w:val="1"/>
          <w:color w:val="auto"/>
        </w:rPr>
      </w:pPr>
    </w:p>
    <w:p>
      <w:pPr>
        <w:jc w:val="both"/>
        <w:ind w:left="2240"/>
        <w:spacing w:after="0" w:line="317" w:lineRule="auto"/>
        <w:rPr>
          <w:rFonts w:ascii="Arial" w:cs="Arial" w:eastAsia="Arial" w:hAnsi="Arial"/>
          <w:sz w:val="17"/>
          <w:szCs w:val="17"/>
          <w:b w:val="1"/>
          <w:bCs w:val="1"/>
          <w:color w:val="auto"/>
        </w:rPr>
      </w:pPr>
      <w:r>
        <w:rPr>
          <w:rFonts w:ascii="Arial" w:cs="Arial" w:eastAsia="Arial" w:hAnsi="Arial"/>
          <w:sz w:val="15"/>
          <w:szCs w:val="15"/>
          <w:color w:val="auto"/>
        </w:rPr>
        <w:t>In 2013, the Company adopted a new share incentive plan for directors, officers and employees of the Company. Options granted under the 2013 Plan bear an exercise price which equals an average of the closing price during the thirty trading days immediately prior to the date of grant, vest over up to a three-year period and are not exercisable beyond seven years from the grant date.</w:t>
      </w:r>
    </w:p>
    <w:p>
      <w:pPr>
        <w:spacing w:after="0" w:line="191" w:lineRule="exact"/>
        <w:rPr>
          <w:rFonts w:ascii="Arial" w:cs="Arial" w:eastAsia="Arial" w:hAnsi="Arial"/>
          <w:sz w:val="17"/>
          <w:szCs w:val="17"/>
          <w:b w:val="1"/>
          <w:bCs w:val="1"/>
          <w:color w:val="auto"/>
        </w:rPr>
      </w:pPr>
    </w:p>
    <w:p>
      <w:pPr>
        <w:jc w:val="both"/>
        <w:ind w:left="2240"/>
        <w:spacing w:after="0" w:line="282" w:lineRule="auto"/>
        <w:rPr>
          <w:rFonts w:ascii="Arial" w:cs="Arial" w:eastAsia="Arial" w:hAnsi="Arial"/>
          <w:sz w:val="17"/>
          <w:szCs w:val="17"/>
          <w:b w:val="1"/>
          <w:bCs w:val="1"/>
          <w:color w:val="auto"/>
        </w:rPr>
      </w:pPr>
      <w:r>
        <w:rPr>
          <w:rFonts w:ascii="Arial" w:cs="Arial" w:eastAsia="Arial" w:hAnsi="Arial"/>
          <w:sz w:val="16"/>
          <w:szCs w:val="16"/>
          <w:color w:val="auto"/>
        </w:rPr>
        <w:t>Under the 2013 Plan, the Company granted in 2017 and 2016 a total of 819 thousands and 568 thousands options and RSUs, respectively, to its employees and directors (including the below described grants to the CEO and Chairman) vesting over up to a three-year period. The Company measures compensation expenses of the RSUs based on the closing market price of the ordinary shares immediately prior to the date of grant and is amortizing it through the applicable vesting period.</w:t>
      </w:r>
    </w:p>
    <w:p>
      <w:pPr>
        <w:spacing w:after="0" w:line="215" w:lineRule="exact"/>
        <w:rPr>
          <w:rFonts w:ascii="Arial" w:cs="Arial" w:eastAsia="Arial" w:hAnsi="Arial"/>
          <w:sz w:val="17"/>
          <w:szCs w:val="17"/>
          <w:b w:val="1"/>
          <w:bCs w:val="1"/>
          <w:color w:val="auto"/>
        </w:rPr>
      </w:pPr>
    </w:p>
    <w:p>
      <w:pPr>
        <w:jc w:val="both"/>
        <w:ind w:left="2240"/>
        <w:spacing w:after="0" w:line="279" w:lineRule="auto"/>
        <w:rPr>
          <w:rFonts w:ascii="Arial" w:cs="Arial" w:eastAsia="Arial" w:hAnsi="Arial"/>
          <w:sz w:val="17"/>
          <w:szCs w:val="17"/>
          <w:b w:val="1"/>
          <w:bCs w:val="1"/>
          <w:color w:val="auto"/>
        </w:rPr>
      </w:pPr>
      <w:r>
        <w:rPr>
          <w:rFonts w:ascii="Arial" w:cs="Arial" w:eastAsia="Arial" w:hAnsi="Arial"/>
          <w:sz w:val="16"/>
          <w:szCs w:val="16"/>
          <w:color w:val="auto"/>
        </w:rPr>
        <w:t>In June 2017, the Company’s shareholders approved the following equity awards to the Company’s CEO, chairman of the Board and board directors under the 2013 Share Incentive Plan: (i) 85 thousands time vested RSUs and 97 thousands performance-based RSUs to the CEO, for a total compensation value of $4,500; (ii) 12 thousands time vested RSUs to the chairman of the board of directors for a total compensation value of $300 and (iii) 3 thousands time vested RSUs to each of the members of the board of directors (other than to the Chairman and the CEO), for a total compensation value of $600.</w:t>
      </w:r>
    </w:p>
    <w:p>
      <w:pPr>
        <w:spacing w:after="0" w:line="200" w:lineRule="exact"/>
        <w:rPr>
          <w:rFonts w:ascii="Arial" w:cs="Arial" w:eastAsia="Arial" w:hAnsi="Arial"/>
          <w:sz w:val="17"/>
          <w:szCs w:val="17"/>
          <w:b w:val="1"/>
          <w:bCs w:val="1"/>
          <w:color w:val="auto"/>
        </w:rPr>
      </w:pPr>
    </w:p>
    <w:p>
      <w:pPr>
        <w:spacing w:after="0" w:line="389" w:lineRule="exact"/>
        <w:rPr>
          <w:rFonts w:ascii="Arial" w:cs="Arial" w:eastAsia="Arial" w:hAnsi="Arial"/>
          <w:sz w:val="17"/>
          <w:szCs w:val="17"/>
          <w:b w:val="1"/>
          <w:bCs w:val="1"/>
          <w:color w:val="auto"/>
        </w:rPr>
      </w:pPr>
    </w:p>
    <w:p>
      <w:pPr>
        <w:ind w:left="5620" w:hanging="92"/>
        <w:spacing w:after="0"/>
        <w:tabs>
          <w:tab w:leader="none" w:pos="5620" w:val="left"/>
        </w:tabs>
        <w:numPr>
          <w:ilvl w:val="2"/>
          <w:numId w:val="38"/>
        </w:numPr>
        <w:rPr>
          <w:rFonts w:ascii="Arial" w:cs="Arial" w:eastAsia="Arial" w:hAnsi="Arial"/>
          <w:sz w:val="17"/>
          <w:szCs w:val="17"/>
          <w:color w:val="auto"/>
        </w:rPr>
      </w:pPr>
      <w:r>
        <w:rPr>
          <w:rFonts w:ascii="Arial" w:cs="Arial" w:eastAsia="Arial" w:hAnsi="Arial"/>
          <w:sz w:val="17"/>
          <w:szCs w:val="17"/>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80" w:lineRule="exact"/>
        <w:rPr>
          <w:sz w:val="20"/>
          <w:szCs w:val="20"/>
          <w:color w:val="auto"/>
        </w:rPr>
      </w:pPr>
    </w:p>
    <w:p>
      <w:pPr>
        <w:ind w:left="1780" w:hanging="542"/>
        <w:spacing w:after="0"/>
        <w:tabs>
          <w:tab w:leader="none" w:pos="178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Plans (cont.)</w:t>
      </w:r>
    </w:p>
    <w:p>
      <w:pPr>
        <w:spacing w:after="0" w:line="267" w:lineRule="exact"/>
        <w:rPr>
          <w:rFonts w:ascii="Arial" w:cs="Arial" w:eastAsia="Arial" w:hAnsi="Arial"/>
          <w:sz w:val="17"/>
          <w:szCs w:val="17"/>
          <w:b w:val="1"/>
          <w:bCs w:val="1"/>
          <w:color w:val="auto"/>
        </w:rPr>
      </w:pPr>
    </w:p>
    <w:p>
      <w:pPr>
        <w:ind w:left="2220" w:hanging="468"/>
        <w:spacing w:after="0"/>
        <w:tabs>
          <w:tab w:leader="none" w:pos="2220" w:val="left"/>
        </w:tabs>
        <w:numPr>
          <w:ilvl w:val="1"/>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Tower’s 2013 Share Incentive Plan (the "2013 Plan") (cont.)</w:t>
      </w:r>
    </w:p>
    <w:p>
      <w:pPr>
        <w:spacing w:after="0" w:line="273" w:lineRule="exact"/>
        <w:rPr>
          <w:rFonts w:ascii="Arial" w:cs="Arial" w:eastAsia="Arial" w:hAnsi="Arial"/>
          <w:sz w:val="17"/>
          <w:szCs w:val="17"/>
          <w:b w:val="1"/>
          <w:bCs w:val="1"/>
          <w:color w:val="auto"/>
        </w:rPr>
      </w:pPr>
    </w:p>
    <w:p>
      <w:pPr>
        <w:jc w:val="both"/>
        <w:ind w:left="2240"/>
        <w:spacing w:after="0" w:line="279" w:lineRule="auto"/>
        <w:rPr>
          <w:rFonts w:ascii="Arial" w:cs="Arial" w:eastAsia="Arial" w:hAnsi="Arial"/>
          <w:sz w:val="17"/>
          <w:szCs w:val="17"/>
          <w:b w:val="1"/>
          <w:bCs w:val="1"/>
          <w:color w:val="auto"/>
        </w:rPr>
      </w:pPr>
      <w:r>
        <w:rPr>
          <w:rFonts w:ascii="Arial" w:cs="Arial" w:eastAsia="Arial" w:hAnsi="Arial"/>
          <w:sz w:val="16"/>
          <w:szCs w:val="16"/>
          <w:color w:val="auto"/>
        </w:rPr>
        <w:t>In June 2016, the Company’s shareholders approved the following equity awards to the Company’s CEO, chairman of the board and board directors under the 2013 Share Incentive Plan: (i) 198 thousands options, 31 thousands time vested RSUs and 16 thousands performance-based RSUs to the CEO, for a total compensation value of $1,360; (ii) 25 thousands time vested RSUs to the chairman of the board of directors for a total compensation value of $300 and (iii) 10 thousands options to a new external director and 3 thousands time vested RSUs to each of two new other directors, for a total compensation value of $127.</w:t>
      </w:r>
    </w:p>
    <w:p>
      <w:pPr>
        <w:spacing w:after="0" w:line="216" w:lineRule="exact"/>
        <w:rPr>
          <w:rFonts w:ascii="Arial" w:cs="Arial" w:eastAsia="Arial" w:hAnsi="Arial"/>
          <w:sz w:val="17"/>
          <w:szCs w:val="17"/>
          <w:b w:val="1"/>
          <w:bCs w:val="1"/>
          <w:color w:val="auto"/>
        </w:rPr>
      </w:pPr>
    </w:p>
    <w:p>
      <w:pPr>
        <w:jc w:val="both"/>
        <w:ind w:left="224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As of December 31, 2017, approximately 523 thousands options and 1,246 thousands RSUs were outstanding under the 2013 Plan. As of December 31,2016, approximately 1,635 thousands options and 1,009 thousands RSUs were outstanding under the 2013 Plan. Further grants may be approved subject to compensation committee, board of directors and shareholders’ approval as may be required by law.</w:t>
      </w:r>
    </w:p>
    <w:p>
      <w:pPr>
        <w:spacing w:after="0" w:line="224" w:lineRule="exact"/>
        <w:rPr>
          <w:rFonts w:ascii="Arial" w:cs="Arial" w:eastAsia="Arial" w:hAnsi="Arial"/>
          <w:sz w:val="17"/>
          <w:szCs w:val="17"/>
          <w:b w:val="1"/>
          <w:bCs w:val="1"/>
          <w:color w:val="auto"/>
        </w:rPr>
      </w:pPr>
    </w:p>
    <w:p>
      <w:pPr>
        <w:ind w:left="2220" w:hanging="468"/>
        <w:spacing w:after="0"/>
        <w:tabs>
          <w:tab w:leader="none" w:pos="2220" w:val="left"/>
        </w:tabs>
        <w:numPr>
          <w:ilvl w:val="1"/>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the Status of all the Company’s Employees’ and Directors’ Share Incentive Plans</w:t>
      </w:r>
    </w:p>
    <w:p>
      <w:pPr>
        <w:spacing w:after="0" w:line="267" w:lineRule="exact"/>
        <w:rPr>
          <w:rFonts w:ascii="Arial" w:cs="Arial" w:eastAsia="Arial" w:hAnsi="Arial"/>
          <w:sz w:val="17"/>
          <w:szCs w:val="17"/>
          <w:b w:val="1"/>
          <w:bCs w:val="1"/>
          <w:color w:val="auto"/>
        </w:rPr>
      </w:pPr>
    </w:p>
    <w:p>
      <w:pPr>
        <w:ind w:left="2380" w:hanging="139"/>
        <w:spacing w:after="0"/>
        <w:tabs>
          <w:tab w:leader="none" w:pos="2380" w:val="left"/>
        </w:tabs>
        <w:numPr>
          <w:ilvl w:val="2"/>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Share Options awards: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20" w:type="dxa"/>
            <w:vAlign w:val="bottom"/>
          </w:tcPr>
          <w:p>
            <w:pPr>
              <w:spacing w:after="0"/>
              <w:rPr>
                <w:sz w:val="19"/>
                <w:szCs w:val="19"/>
                <w:color w:val="auto"/>
              </w:rPr>
            </w:pPr>
          </w:p>
        </w:tc>
        <w:tc>
          <w:tcPr>
            <w:tcW w:w="15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color w:val="auto"/>
              </w:rPr>
              <w:t>2017</w:t>
            </w:r>
          </w:p>
        </w:tc>
        <w:tc>
          <w:tcPr>
            <w:tcW w:w="9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color w:val="auto"/>
              </w:rPr>
              <w:t>2016</w:t>
            </w: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2015</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3"/>
        </w:trPr>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34"/>
              <w:spacing w:after="0" w:line="194" w:lineRule="exact"/>
              <w:rPr>
                <w:sz w:val="20"/>
                <w:szCs w:val="20"/>
                <w:color w:val="auto"/>
              </w:rPr>
            </w:pPr>
            <w:r>
              <w:rPr>
                <w:rFonts w:ascii="Arial" w:cs="Arial" w:eastAsia="Arial" w:hAnsi="Arial"/>
                <w:sz w:val="17"/>
                <w:szCs w:val="17"/>
                <w:color w:val="auto"/>
              </w:rPr>
              <w:t>Weighted</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54"/>
              <w:spacing w:after="0" w:line="194" w:lineRule="exact"/>
              <w:rPr>
                <w:sz w:val="20"/>
                <w:szCs w:val="20"/>
                <w:color w:val="auto"/>
              </w:rPr>
            </w:pPr>
            <w:r>
              <w:rPr>
                <w:rFonts w:ascii="Arial" w:cs="Arial" w:eastAsia="Arial" w:hAnsi="Arial"/>
                <w:sz w:val="17"/>
                <w:szCs w:val="17"/>
                <w:color w:val="auto"/>
                <w:w w:val="89"/>
              </w:rPr>
              <w:t>Weighted</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spacing w:after="0" w:line="194" w:lineRule="exact"/>
              <w:rPr>
                <w:sz w:val="20"/>
                <w:szCs w:val="20"/>
                <w:color w:val="auto"/>
              </w:rPr>
            </w:pPr>
            <w:r>
              <w:rPr>
                <w:rFonts w:ascii="Arial" w:cs="Arial" w:eastAsia="Arial" w:hAnsi="Arial"/>
                <w:sz w:val="17"/>
                <w:szCs w:val="17"/>
                <w:color w:val="auto"/>
                <w:w w:val="89"/>
              </w:rPr>
              <w:t>Weighted</w:t>
            </w:r>
          </w:p>
        </w:tc>
        <w:tc>
          <w:tcPr>
            <w:tcW w:w="100" w:type="dxa"/>
            <w:vAlign w:val="bottom"/>
          </w:tcPr>
          <w:p>
            <w:pPr>
              <w:spacing w:after="0"/>
              <w:rPr>
                <w:sz w:val="16"/>
                <w:szCs w:val="16"/>
                <w:color w:val="auto"/>
              </w:rPr>
            </w:pPr>
          </w:p>
        </w:tc>
      </w:tr>
      <w:tr>
        <w:trPr>
          <w:trHeight w:val="206"/>
        </w:trPr>
        <w:tc>
          <w:tcPr>
            <w:tcW w:w="3320" w:type="dxa"/>
            <w:vAlign w:val="bottom"/>
          </w:tcPr>
          <w:p>
            <w:pPr>
              <w:spacing w:after="0"/>
              <w:rPr>
                <w:sz w:val="17"/>
                <w:szCs w:val="17"/>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7"/>
                <w:szCs w:val="17"/>
                <w:color w:val="auto"/>
              </w:rPr>
              <w:t>Number</w:t>
            </w:r>
          </w:p>
        </w:tc>
        <w:tc>
          <w:tcPr>
            <w:tcW w:w="1380" w:type="dxa"/>
            <w:vAlign w:val="bottom"/>
            <w:gridSpan w:val="3"/>
          </w:tcPr>
          <w:p>
            <w:pPr>
              <w:spacing w:after="0"/>
              <w:rPr>
                <w:sz w:val="20"/>
                <w:szCs w:val="20"/>
                <w:color w:val="auto"/>
              </w:rPr>
            </w:pPr>
            <w:r>
              <w:rPr>
                <w:rFonts w:ascii="Arial" w:cs="Arial" w:eastAsia="Arial" w:hAnsi="Arial"/>
                <w:sz w:val="17"/>
                <w:szCs w:val="17"/>
                <w:color w:val="auto"/>
              </w:rPr>
              <w:t>average exercise</w:t>
            </w: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rPr>
              <w:t>Number</w:t>
            </w:r>
          </w:p>
        </w:tc>
        <w:tc>
          <w:tcPr>
            <w:tcW w:w="1360" w:type="dxa"/>
            <w:vAlign w:val="bottom"/>
            <w:gridSpan w:val="3"/>
          </w:tcPr>
          <w:p>
            <w:pPr>
              <w:spacing w:after="0"/>
              <w:rPr>
                <w:sz w:val="20"/>
                <w:szCs w:val="20"/>
                <w:color w:val="auto"/>
              </w:rPr>
            </w:pPr>
            <w:r>
              <w:rPr>
                <w:rFonts w:ascii="Arial" w:cs="Arial" w:eastAsia="Arial" w:hAnsi="Arial"/>
                <w:sz w:val="17"/>
                <w:szCs w:val="17"/>
                <w:color w:val="auto"/>
              </w:rPr>
              <w:t>average exercise</w:t>
            </w:r>
          </w:p>
        </w:tc>
        <w:tc>
          <w:tcPr>
            <w:tcW w:w="1380" w:type="dxa"/>
            <w:vAlign w:val="bottom"/>
            <w:gridSpan w:val="2"/>
          </w:tcPr>
          <w:p>
            <w:pPr>
              <w:jc w:val="right"/>
              <w:ind w:right="480"/>
              <w:spacing w:after="0"/>
              <w:rPr>
                <w:sz w:val="20"/>
                <w:szCs w:val="20"/>
                <w:color w:val="auto"/>
              </w:rPr>
            </w:pPr>
            <w:r>
              <w:rPr>
                <w:rFonts w:ascii="Arial" w:cs="Arial" w:eastAsia="Arial" w:hAnsi="Arial"/>
                <w:sz w:val="17"/>
                <w:szCs w:val="17"/>
                <w:color w:val="auto"/>
              </w:rPr>
              <w:t>Number</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84"/>
              </w:rPr>
              <w:t>average</w:t>
            </w:r>
          </w:p>
        </w:tc>
      </w:tr>
      <w:tr>
        <w:trPr>
          <w:trHeight w:val="224"/>
        </w:trPr>
        <w:tc>
          <w:tcPr>
            <w:tcW w:w="33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w w:val="90"/>
              </w:rPr>
              <w:t>of share options</w:t>
            </w:r>
          </w:p>
        </w:tc>
        <w:tc>
          <w:tcPr>
            <w:tcW w:w="18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7"/>
                <w:szCs w:val="17"/>
                <w:color w:val="auto"/>
              </w:rPr>
              <w:t>price</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w w:val="90"/>
              </w:rPr>
              <w:t>of share options</w:t>
            </w:r>
          </w:p>
        </w:tc>
        <w:tc>
          <w:tcPr>
            <w:tcW w:w="1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price</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w w:val="90"/>
              </w:rPr>
              <w:t>of share options</w:t>
            </w:r>
          </w:p>
        </w:tc>
        <w:tc>
          <w:tcPr>
            <w:tcW w:w="80" w:type="dxa"/>
            <w:vAlign w:val="bottom"/>
          </w:tcPr>
          <w:p>
            <w:pPr>
              <w:spacing w:after="0"/>
              <w:rPr>
                <w:sz w:val="19"/>
                <w:szCs w:val="19"/>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exercise price</w:t>
            </w: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beginning of year</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2,278,089</w:t>
            </w: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5,878,270</w:t>
            </w: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w:t>
            </w:r>
          </w:p>
        </w:tc>
        <w:tc>
          <w:tcPr>
            <w:tcW w:w="2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7,537,219</w:t>
            </w: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6.37</w:t>
            </w:r>
          </w:p>
        </w:tc>
        <w:tc>
          <w:tcPr>
            <w:tcW w:w="100" w:type="dxa"/>
            <w:vAlign w:val="bottom"/>
            <w:shd w:val="clear" w:color="auto" w:fill="CCEEFF"/>
          </w:tcPr>
          <w:p>
            <w:pPr>
              <w:spacing w:after="0"/>
              <w:rPr>
                <w:sz w:val="17"/>
                <w:szCs w:val="17"/>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7"/>
                <w:szCs w:val="17"/>
                <w:color w:val="auto"/>
              </w:rPr>
              <w:t>Granted</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0.00</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207,890</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12.19</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100,000</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16.92</w:t>
            </w: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(1,611,489)</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9.27</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(3,649,754)</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4.82</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(1,620,056)</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4.94</w:t>
            </w:r>
          </w:p>
        </w:tc>
      </w:tr>
      <w:tr>
        <w:trPr>
          <w:trHeight w:val="206"/>
        </w:trPr>
        <w:tc>
          <w:tcPr>
            <w:tcW w:w="3320" w:type="dxa"/>
            <w:vAlign w:val="bottom"/>
          </w:tcPr>
          <w:p>
            <w:pPr>
              <w:spacing w:after="0"/>
              <w:rPr>
                <w:sz w:val="20"/>
                <w:szCs w:val="20"/>
                <w:color w:val="auto"/>
              </w:rPr>
            </w:pPr>
            <w:r>
              <w:rPr>
                <w:rFonts w:ascii="Arial" w:cs="Arial" w:eastAsia="Arial" w:hAnsi="Arial"/>
                <w:sz w:val="17"/>
                <w:szCs w:val="17"/>
                <w:color w:val="auto"/>
              </w:rPr>
              <w:t>Terminated</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(77,292)</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25.89</w:t>
            </w:r>
          </w:p>
        </w:tc>
        <w:tc>
          <w:tcPr>
            <w:tcW w:w="2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(97,063)</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21.34</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(26,777)</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22.28</w:t>
            </w: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(9,123)</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8.06</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(61,254)</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7.25</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(112,116)</w:t>
            </w: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8.30</w:t>
            </w:r>
          </w:p>
        </w:tc>
      </w:tr>
      <w:tr>
        <w:trPr>
          <w:trHeight w:val="26"/>
        </w:trPr>
        <w:tc>
          <w:tcPr>
            <w:tcW w:w="3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3320" w:type="dxa"/>
            <w:vAlign w:val="bottom"/>
          </w:tcPr>
          <w:p>
            <w:pPr>
              <w:spacing w:after="0"/>
              <w:rPr>
                <w:sz w:val="20"/>
                <w:szCs w:val="20"/>
                <w:color w:val="auto"/>
              </w:rPr>
            </w:pPr>
            <w:r>
              <w:rPr>
                <w:rFonts w:ascii="Arial" w:cs="Arial" w:eastAsia="Arial" w:hAnsi="Arial"/>
                <w:sz w:val="17"/>
                <w:szCs w:val="17"/>
                <w:color w:val="auto"/>
              </w:rPr>
              <w:t>Outstanding as of end of year</w:t>
            </w:r>
          </w:p>
        </w:tc>
        <w:tc>
          <w:tcPr>
            <w:tcW w:w="1140" w:type="dxa"/>
            <w:vAlign w:val="bottom"/>
          </w:tcPr>
          <w:p>
            <w:pPr>
              <w:jc w:val="right"/>
              <w:spacing w:after="0"/>
              <w:rPr>
                <w:sz w:val="20"/>
                <w:szCs w:val="20"/>
                <w:color w:val="auto"/>
              </w:rPr>
            </w:pPr>
            <w:r>
              <w:rPr>
                <w:rFonts w:ascii="Arial" w:cs="Arial" w:eastAsia="Arial" w:hAnsi="Arial"/>
                <w:sz w:val="17"/>
                <w:szCs w:val="17"/>
                <w:color w:val="auto"/>
              </w:rPr>
              <w:t>580,185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9.64</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2,278,089</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9.92</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5,878,270</w:t>
            </w: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6.84</w:t>
            </w:r>
          </w:p>
        </w:tc>
      </w:tr>
      <w:tr>
        <w:trPr>
          <w:trHeight w:val="20"/>
        </w:trPr>
        <w:tc>
          <w:tcPr>
            <w:tcW w:w="3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Options exercisable as of end of year</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459,662</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1,606,983</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2,606,704</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878"/>
        </w:trPr>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- 44 -</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9"/>
        </w:trPr>
        <w:tc>
          <w:tcPr>
            <w:tcW w:w="3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80" w:lineRule="exact"/>
        <w:rPr>
          <w:sz w:val="20"/>
          <w:szCs w:val="20"/>
          <w:color w:val="auto"/>
        </w:rPr>
      </w:pPr>
    </w:p>
    <w:p>
      <w:pPr>
        <w:ind w:left="1780" w:hanging="542"/>
        <w:spacing w:after="0"/>
        <w:tabs>
          <w:tab w:leader="none" w:pos="178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Plans (cont.)</w:t>
      </w:r>
    </w:p>
    <w:p>
      <w:pPr>
        <w:spacing w:after="0" w:line="267" w:lineRule="exact"/>
        <w:rPr>
          <w:rFonts w:ascii="Arial" w:cs="Arial" w:eastAsia="Arial" w:hAnsi="Arial"/>
          <w:sz w:val="17"/>
          <w:szCs w:val="17"/>
          <w:b w:val="1"/>
          <w:bCs w:val="1"/>
          <w:color w:val="auto"/>
        </w:rPr>
      </w:pPr>
    </w:p>
    <w:p>
      <w:pPr>
        <w:ind w:left="2220" w:hanging="468"/>
        <w:spacing w:after="0"/>
        <w:tabs>
          <w:tab w:leader="none" w:pos="2220" w:val="left"/>
        </w:tabs>
        <w:numPr>
          <w:ilvl w:val="1"/>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the Status of all the Company’s Employees’ and Directors’ Share Incentive Plans (cont.)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20" w:type="dxa"/>
            <w:vAlign w:val="bottom"/>
            <w:gridSpan w:val="2"/>
          </w:tcPr>
          <w:p>
            <w:pPr>
              <w:ind w:left="2240"/>
              <w:spacing w:after="0"/>
              <w:rPr>
                <w:sz w:val="20"/>
                <w:szCs w:val="20"/>
                <w:color w:val="auto"/>
              </w:rPr>
            </w:pPr>
            <w:r>
              <w:rPr>
                <w:rFonts w:ascii="Arial" w:cs="Arial" w:eastAsia="Arial" w:hAnsi="Arial"/>
                <w:sz w:val="17"/>
                <w:szCs w:val="17"/>
                <w:b w:val="1"/>
                <w:bCs w:val="1"/>
                <w:color w:val="auto"/>
              </w:rPr>
              <w:t>ii. RSU awards:</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0"/>
        </w:trPr>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4"/>
          </w:tcPr>
          <w:p>
            <w:pPr>
              <w:jc w:val="right"/>
              <w:ind w:right="25"/>
              <w:spacing w:after="0"/>
              <w:rPr>
                <w:sz w:val="20"/>
                <w:szCs w:val="20"/>
                <w:color w:val="auto"/>
              </w:rPr>
            </w:pPr>
            <w:r>
              <w:rPr>
                <w:rFonts w:ascii="Arial" w:cs="Arial" w:eastAsia="Arial" w:hAnsi="Arial"/>
                <w:sz w:val="17"/>
                <w:szCs w:val="17"/>
                <w:color w:val="auto"/>
              </w:rPr>
              <w:t>2017</w:t>
            </w:r>
          </w:p>
        </w:tc>
        <w:tc>
          <w:tcPr>
            <w:tcW w:w="980" w:type="dxa"/>
            <w:vAlign w:val="bottom"/>
          </w:tcPr>
          <w:p>
            <w:pPr>
              <w:spacing w:after="0"/>
              <w:rPr>
                <w:sz w:val="24"/>
                <w:szCs w:val="24"/>
                <w:color w:val="auto"/>
              </w:rPr>
            </w:pPr>
          </w:p>
        </w:tc>
        <w:tc>
          <w:tcPr>
            <w:tcW w:w="1780" w:type="dxa"/>
            <w:vAlign w:val="bottom"/>
            <w:gridSpan w:val="5"/>
          </w:tcPr>
          <w:p>
            <w:pPr>
              <w:jc w:val="right"/>
              <w:ind w:right="45"/>
              <w:spacing w:after="0"/>
              <w:rPr>
                <w:sz w:val="20"/>
                <w:szCs w:val="20"/>
                <w:color w:val="auto"/>
              </w:rPr>
            </w:pPr>
            <w:r>
              <w:rPr>
                <w:rFonts w:ascii="Arial" w:cs="Arial" w:eastAsia="Arial" w:hAnsi="Arial"/>
                <w:sz w:val="17"/>
                <w:szCs w:val="17"/>
                <w:color w:val="auto"/>
              </w:rPr>
              <w:t>2016</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right"/>
              <w:ind w:right="45"/>
              <w:spacing w:after="0"/>
              <w:rPr>
                <w:sz w:val="20"/>
                <w:szCs w:val="20"/>
                <w:color w:val="auto"/>
              </w:rPr>
            </w:pPr>
            <w:r>
              <w:rPr>
                <w:rFonts w:ascii="Arial" w:cs="Arial" w:eastAsia="Arial" w:hAnsi="Arial"/>
                <w:sz w:val="17"/>
                <w:szCs w:val="17"/>
                <w:color w:val="auto"/>
              </w:rPr>
              <w:t>2015</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3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4"/>
              <w:spacing w:after="0" w:line="194" w:lineRule="exact"/>
              <w:rPr>
                <w:sz w:val="20"/>
                <w:szCs w:val="20"/>
                <w:color w:val="auto"/>
              </w:rPr>
            </w:pPr>
            <w:r>
              <w:rPr>
                <w:rFonts w:ascii="Arial" w:cs="Arial" w:eastAsia="Arial" w:hAnsi="Arial"/>
                <w:sz w:val="17"/>
                <w:szCs w:val="17"/>
                <w:color w:val="auto"/>
                <w:w w:val="91"/>
              </w:rPr>
              <w:t>Weighted</w:t>
            </w: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4"/>
              <w:spacing w:after="0" w:line="194" w:lineRule="exact"/>
              <w:rPr>
                <w:sz w:val="20"/>
                <w:szCs w:val="20"/>
                <w:color w:val="auto"/>
              </w:rPr>
            </w:pPr>
            <w:r>
              <w:rPr>
                <w:rFonts w:ascii="Arial" w:cs="Arial" w:eastAsia="Arial" w:hAnsi="Arial"/>
                <w:sz w:val="17"/>
                <w:szCs w:val="17"/>
                <w:color w:val="auto"/>
                <w:w w:val="89"/>
              </w:rPr>
              <w:t>Weighted</w:t>
            </w:r>
          </w:p>
        </w:tc>
        <w:tc>
          <w:tcPr>
            <w:tcW w:w="2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34"/>
              <w:spacing w:after="0" w:line="194" w:lineRule="exact"/>
              <w:rPr>
                <w:sz w:val="20"/>
                <w:szCs w:val="20"/>
                <w:color w:val="auto"/>
              </w:rPr>
            </w:pPr>
            <w:r>
              <w:rPr>
                <w:rFonts w:ascii="Arial" w:cs="Arial" w:eastAsia="Arial" w:hAnsi="Arial"/>
                <w:sz w:val="17"/>
                <w:szCs w:val="17"/>
                <w:color w:val="auto"/>
                <w:w w:val="89"/>
              </w:rPr>
              <w:t>Weighted</w:t>
            </w:r>
          </w:p>
        </w:tc>
        <w:tc>
          <w:tcPr>
            <w:tcW w:w="100" w:type="dxa"/>
            <w:vAlign w:val="bottom"/>
          </w:tcPr>
          <w:p>
            <w:pPr>
              <w:spacing w:after="0"/>
              <w:rPr>
                <w:sz w:val="16"/>
                <w:szCs w:val="16"/>
                <w:color w:val="auto"/>
              </w:rPr>
            </w:pPr>
          </w:p>
        </w:tc>
      </w:tr>
      <w:tr>
        <w:trPr>
          <w:trHeight w:val="206"/>
        </w:trPr>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7"/>
                <w:szCs w:val="17"/>
                <w:color w:val="auto"/>
              </w:rPr>
              <w:t>Number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7"/>
                <w:szCs w:val="17"/>
                <w:color w:val="auto"/>
                <w:w w:val="91"/>
              </w:rPr>
              <w:t>Average</w:t>
            </w:r>
          </w:p>
        </w:tc>
        <w:tc>
          <w:tcPr>
            <w:tcW w:w="24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Arial" w:cs="Arial" w:eastAsia="Arial" w:hAnsi="Arial"/>
                <w:sz w:val="17"/>
                <w:szCs w:val="17"/>
                <w:color w:val="auto"/>
              </w:rPr>
              <w:t>Number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Average</w:t>
            </w:r>
          </w:p>
        </w:tc>
        <w:tc>
          <w:tcPr>
            <w:tcW w:w="1380" w:type="dxa"/>
            <w:vAlign w:val="bottom"/>
            <w:gridSpan w:val="2"/>
          </w:tcPr>
          <w:p>
            <w:pPr>
              <w:ind w:left="320"/>
              <w:spacing w:after="0"/>
              <w:rPr>
                <w:sz w:val="20"/>
                <w:szCs w:val="20"/>
                <w:color w:val="auto"/>
              </w:rPr>
            </w:pPr>
            <w:r>
              <w:rPr>
                <w:rFonts w:ascii="Arial" w:cs="Arial" w:eastAsia="Arial" w:hAnsi="Arial"/>
                <w:sz w:val="17"/>
                <w:szCs w:val="17"/>
                <w:color w:val="auto"/>
              </w:rPr>
              <w:t>Number</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Average</w:t>
            </w:r>
          </w:p>
        </w:tc>
      </w:tr>
      <w:tr>
        <w:trPr>
          <w:trHeight w:val="224"/>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7"/>
                <w:szCs w:val="17"/>
                <w:color w:val="auto"/>
              </w:rPr>
              <w:t>of RSU</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34"/>
              <w:spacing w:after="0"/>
              <w:rPr>
                <w:sz w:val="20"/>
                <w:szCs w:val="20"/>
                <w:color w:val="auto"/>
              </w:rPr>
            </w:pPr>
            <w:r>
              <w:rPr>
                <w:rFonts w:ascii="Arial" w:cs="Arial" w:eastAsia="Arial" w:hAnsi="Arial"/>
                <w:sz w:val="17"/>
                <w:szCs w:val="17"/>
                <w:color w:val="auto"/>
                <w:w w:val="90"/>
              </w:rPr>
              <w:t>Fair Value</w:t>
            </w:r>
          </w:p>
        </w:tc>
        <w:tc>
          <w:tcPr>
            <w:tcW w:w="240" w:type="dxa"/>
            <w:vAlign w:val="bottom"/>
          </w:tcPr>
          <w:p>
            <w:pPr>
              <w:spacing w:after="0"/>
              <w:rPr>
                <w:sz w:val="19"/>
                <w:szCs w:val="19"/>
                <w:color w:val="auto"/>
              </w:rPr>
            </w:pPr>
          </w:p>
        </w:tc>
        <w:tc>
          <w:tcPr>
            <w:tcW w:w="1280" w:type="dxa"/>
            <w:vAlign w:val="bottom"/>
            <w:gridSpan w:val="2"/>
          </w:tcPr>
          <w:p>
            <w:pPr>
              <w:ind w:left="300"/>
              <w:spacing w:after="0"/>
              <w:rPr>
                <w:sz w:val="20"/>
                <w:szCs w:val="20"/>
                <w:color w:val="auto"/>
              </w:rPr>
            </w:pPr>
            <w:r>
              <w:rPr>
                <w:rFonts w:ascii="Arial" w:cs="Arial" w:eastAsia="Arial" w:hAnsi="Arial"/>
                <w:sz w:val="17"/>
                <w:szCs w:val="17"/>
                <w:color w:val="auto"/>
              </w:rPr>
              <w:t>of RSU</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7"/>
                <w:szCs w:val="17"/>
                <w:color w:val="auto"/>
                <w:w w:val="92"/>
              </w:rPr>
              <w:t>Fair Value</w:t>
            </w:r>
          </w:p>
        </w:tc>
        <w:tc>
          <w:tcPr>
            <w:tcW w:w="1380" w:type="dxa"/>
            <w:vAlign w:val="bottom"/>
            <w:gridSpan w:val="2"/>
          </w:tcPr>
          <w:p>
            <w:pPr>
              <w:ind w:left="320"/>
              <w:spacing w:after="0"/>
              <w:rPr>
                <w:sz w:val="20"/>
                <w:szCs w:val="20"/>
                <w:color w:val="auto"/>
              </w:rPr>
            </w:pPr>
            <w:r>
              <w:rPr>
                <w:rFonts w:ascii="Arial" w:cs="Arial" w:eastAsia="Arial" w:hAnsi="Arial"/>
                <w:sz w:val="17"/>
                <w:szCs w:val="17"/>
                <w:color w:val="auto"/>
              </w:rPr>
              <w:t>of RSU</w:t>
            </w:r>
          </w:p>
        </w:tc>
        <w:tc>
          <w:tcPr>
            <w:tcW w:w="16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Fair Value</w:t>
            </w:r>
          </w:p>
        </w:tc>
      </w:tr>
      <w:tr>
        <w:trPr>
          <w:trHeight w:val="206"/>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beginning of year</w:t>
            </w: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1,009,184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14.62</w:t>
            </w: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773,200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2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6"/>
        </w:trPr>
        <w:tc>
          <w:tcPr>
            <w:tcW w:w="352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940" w:type="dxa"/>
            <w:vAlign w:val="bottom"/>
          </w:tcPr>
          <w:p>
            <w:pPr>
              <w:jc w:val="right"/>
              <w:spacing w:after="0"/>
              <w:rPr>
                <w:sz w:val="20"/>
                <w:szCs w:val="20"/>
                <w:color w:val="auto"/>
              </w:rPr>
            </w:pPr>
            <w:r>
              <w:rPr>
                <w:rFonts w:ascii="Arial" w:cs="Arial" w:eastAsia="Arial" w:hAnsi="Arial"/>
                <w:sz w:val="17"/>
                <w:szCs w:val="17"/>
                <w:color w:val="auto"/>
              </w:rPr>
              <w:t>818,856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24.88</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359,643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12.83</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783,700</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15.11</w:t>
            </w:r>
          </w:p>
        </w:tc>
      </w:tr>
      <w:tr>
        <w:trPr>
          <w:trHeight w:val="206"/>
        </w:trPr>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Exercised</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(553,241)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w:t>
            </w:r>
          </w:p>
        </w:tc>
        <w:tc>
          <w:tcPr>
            <w:tcW w:w="15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(86,847)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11.45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2"/>
        </w:trPr>
        <w:tc>
          <w:tcPr>
            <w:tcW w:w="3520" w:type="dxa"/>
            <w:vAlign w:val="bottom"/>
            <w:gridSpan w:val="2"/>
          </w:tcPr>
          <w:p>
            <w:pPr>
              <w:spacing w:after="0"/>
              <w:rPr>
                <w:sz w:val="20"/>
                <w:szCs w:val="20"/>
                <w:color w:val="auto"/>
              </w:rPr>
            </w:pPr>
            <w:r>
              <w:rPr>
                <w:rFonts w:ascii="Arial" w:cs="Arial" w:eastAsia="Arial" w:hAnsi="Arial"/>
                <w:sz w:val="17"/>
                <w:szCs w:val="17"/>
                <w:color w:val="auto"/>
              </w:rPr>
              <w:t>Forfeited</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(28,910)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16.42</w:t>
            </w:r>
          </w:p>
        </w:tc>
        <w:tc>
          <w:tcPr>
            <w:tcW w:w="1520" w:type="dxa"/>
            <w:vAlign w:val="bottom"/>
            <w:gridSpan w:val="3"/>
          </w:tcPr>
          <w:p>
            <w:pPr>
              <w:jc w:val="right"/>
              <w:ind w:right="80"/>
              <w:spacing w:after="0"/>
              <w:rPr>
                <w:sz w:val="20"/>
                <w:szCs w:val="20"/>
                <w:color w:val="auto"/>
              </w:rPr>
            </w:pPr>
            <w:r>
              <w:rPr>
                <w:rFonts w:ascii="Arial" w:cs="Arial" w:eastAsia="Arial" w:hAnsi="Arial"/>
                <w:sz w:val="17"/>
                <w:szCs w:val="17"/>
                <w:color w:val="auto"/>
              </w:rPr>
              <w:t>(36,812)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14.73</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(10,500)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15.15</w:t>
            </w:r>
          </w:p>
        </w:tc>
      </w:tr>
      <w:tr>
        <w:trPr>
          <w:trHeight w:val="212"/>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as of end of year</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1,245,889</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21.29</w:t>
            </w: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1,009,184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14.62</w:t>
            </w: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773,200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6"/>
        </w:trPr>
        <w:tc>
          <w:tcPr>
            <w:tcW w:w="3520" w:type="dxa"/>
            <w:vAlign w:val="bottom"/>
            <w:gridSpan w:val="2"/>
          </w:tcPr>
          <w:p>
            <w:pPr>
              <w:spacing w:after="0"/>
              <w:rPr>
                <w:sz w:val="20"/>
                <w:szCs w:val="20"/>
                <w:color w:val="auto"/>
              </w:rPr>
            </w:pPr>
            <w:r>
              <w:rPr>
                <w:rFonts w:ascii="Arial" w:cs="Arial" w:eastAsia="Arial" w:hAnsi="Arial"/>
                <w:sz w:val="17"/>
                <w:szCs w:val="17"/>
                <w:color w:val="auto"/>
              </w:rPr>
              <w:t>RSU exercisable as of end of year</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9" w:lineRule="exact"/>
        <w:rPr>
          <w:sz w:val="20"/>
          <w:szCs w:val="20"/>
          <w:color w:val="auto"/>
        </w:rPr>
      </w:pPr>
    </w:p>
    <w:p>
      <w:pPr>
        <w:ind w:left="2220" w:hanging="425"/>
        <w:spacing w:after="0"/>
        <w:tabs>
          <w:tab w:leader="none" w:pos="222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Information about Employees’ Share Incentive Plans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employees’ share options outstanding as of December 31, 2017:</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20" w:type="dxa"/>
            <w:vAlign w:val="bottom"/>
            <w:gridSpan w:val="4"/>
          </w:tcPr>
          <w:p>
            <w:pPr>
              <w:ind w:left="360"/>
              <w:spacing w:after="0"/>
              <w:rPr>
                <w:sz w:val="20"/>
                <w:szCs w:val="20"/>
                <w:color w:val="auto"/>
              </w:rPr>
            </w:pPr>
            <w:r>
              <w:rPr>
                <w:rFonts w:ascii="Arial" w:cs="Arial" w:eastAsia="Arial" w:hAnsi="Arial"/>
                <w:sz w:val="17"/>
                <w:szCs w:val="17"/>
                <w:color w:val="auto"/>
              </w:rPr>
              <w:t>Outstanding as of December 31, 2017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20" w:type="dxa"/>
            <w:vAlign w:val="bottom"/>
            <w:gridSpan w:val="12"/>
          </w:tcPr>
          <w:p>
            <w:pPr>
              <w:ind w:left="520"/>
              <w:spacing w:after="0"/>
              <w:rPr>
                <w:sz w:val="20"/>
                <w:szCs w:val="20"/>
                <w:color w:val="auto"/>
              </w:rPr>
            </w:pPr>
            <w:r>
              <w:rPr>
                <w:rFonts w:ascii="Arial" w:cs="Arial" w:eastAsia="Arial" w:hAnsi="Arial"/>
                <w:sz w:val="17"/>
                <w:szCs w:val="17"/>
                <w:color w:val="auto"/>
              </w:rPr>
              <w:t>Exercisable as of December 31, 2017</w:t>
            </w:r>
          </w:p>
        </w:tc>
      </w:tr>
      <w:tr>
        <w:trPr>
          <w:trHeight w:val="193"/>
        </w:trPr>
        <w:tc>
          <w:tcPr>
            <w:tcW w:w="1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center"/>
              <w:ind w:right="40"/>
              <w:spacing w:after="0" w:line="194" w:lineRule="exact"/>
              <w:rPr>
                <w:sz w:val="20"/>
                <w:szCs w:val="20"/>
                <w:color w:val="auto"/>
              </w:rPr>
            </w:pPr>
            <w:r>
              <w:rPr>
                <w:rFonts w:ascii="Arial" w:cs="Arial" w:eastAsia="Arial" w:hAnsi="Arial"/>
                <w:sz w:val="17"/>
                <w:szCs w:val="17"/>
                <w:color w:val="auto"/>
                <w:w w:val="88"/>
              </w:rPr>
              <w:t>Weighted average</w:t>
            </w: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7"/>
                <w:szCs w:val="17"/>
                <w:color w:val="auto"/>
                <w:w w:val="93"/>
              </w:rPr>
              <w:t>remaining</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16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7"/>
                <w:szCs w:val="17"/>
                <w:color w:val="auto"/>
              </w:rPr>
              <w:t>Range of exercise</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7"/>
                <w:szCs w:val="17"/>
                <w:color w:val="auto"/>
                <w:w w:val="94"/>
              </w:rPr>
              <w:t>contractual life (in</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gridSpan w:val="3"/>
          </w:tcPr>
          <w:p>
            <w:pPr>
              <w:jc w:val="right"/>
              <w:ind w:right="520"/>
              <w:spacing w:after="0"/>
              <w:rPr>
                <w:sz w:val="20"/>
                <w:szCs w:val="20"/>
                <w:color w:val="auto"/>
              </w:rPr>
            </w:pPr>
            <w:r>
              <w:rPr>
                <w:rFonts w:ascii="Arial" w:cs="Arial" w:eastAsia="Arial" w:hAnsi="Arial"/>
                <w:sz w:val="17"/>
                <w:szCs w:val="17"/>
                <w:color w:val="auto"/>
                <w:w w:val="89"/>
              </w:rPr>
              <w:t>Weighted average</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7"/>
          </w:tcPr>
          <w:p>
            <w:pPr>
              <w:jc w:val="center"/>
              <w:ind w:right="160"/>
              <w:spacing w:after="0"/>
              <w:rPr>
                <w:sz w:val="20"/>
                <w:szCs w:val="20"/>
                <w:color w:val="auto"/>
              </w:rPr>
            </w:pPr>
            <w:r>
              <w:rPr>
                <w:rFonts w:ascii="Arial" w:cs="Arial" w:eastAsia="Arial" w:hAnsi="Arial"/>
                <w:sz w:val="17"/>
                <w:szCs w:val="17"/>
                <w:color w:val="auto"/>
                <w:w w:val="88"/>
              </w:rPr>
              <w:t>Weighted average</w:t>
            </w:r>
          </w:p>
        </w:tc>
      </w:tr>
      <w:tr>
        <w:trPr>
          <w:trHeight w:val="224"/>
        </w:trPr>
        <w:tc>
          <w:tcPr>
            <w:tcW w:w="160" w:type="dxa"/>
            <w:vAlign w:val="bottom"/>
          </w:tcPr>
          <w:p>
            <w:pPr>
              <w:spacing w:after="0"/>
              <w:rPr>
                <w:sz w:val="19"/>
                <w:szCs w:val="19"/>
                <w:color w:val="auto"/>
              </w:rPr>
            </w:pPr>
          </w:p>
        </w:tc>
        <w:tc>
          <w:tcPr>
            <w:tcW w:w="1740" w:type="dxa"/>
            <w:vAlign w:val="bottom"/>
            <w:gridSpan w:val="2"/>
          </w:tcPr>
          <w:p>
            <w:pPr>
              <w:ind w:left="440"/>
              <w:spacing w:after="0"/>
              <w:rPr>
                <w:sz w:val="20"/>
                <w:szCs w:val="20"/>
                <w:color w:val="auto"/>
              </w:rPr>
            </w:pPr>
            <w:r>
              <w:rPr>
                <w:rFonts w:ascii="Arial" w:cs="Arial" w:eastAsia="Arial" w:hAnsi="Arial"/>
                <w:sz w:val="17"/>
                <w:szCs w:val="17"/>
                <w:color w:val="auto"/>
              </w:rPr>
              <w:t>prices</w:t>
            </w:r>
          </w:p>
        </w:tc>
        <w:tc>
          <w:tcPr>
            <w:tcW w:w="1920" w:type="dxa"/>
            <w:vAlign w:val="bottom"/>
            <w:gridSpan w:val="3"/>
          </w:tcPr>
          <w:p>
            <w:pPr>
              <w:ind w:left="100"/>
              <w:spacing w:after="0"/>
              <w:rPr>
                <w:sz w:val="20"/>
                <w:szCs w:val="20"/>
                <w:color w:val="auto"/>
              </w:rPr>
            </w:pPr>
            <w:r>
              <w:rPr>
                <w:rFonts w:ascii="Arial" w:cs="Arial" w:eastAsia="Arial" w:hAnsi="Arial"/>
                <w:sz w:val="17"/>
                <w:szCs w:val="17"/>
                <w:color w:val="auto"/>
              </w:rPr>
              <w:t>Number outstanding</w:t>
            </w:r>
          </w:p>
        </w:tc>
        <w:tc>
          <w:tcPr>
            <w:tcW w:w="1660" w:type="dxa"/>
            <w:vAlign w:val="bottom"/>
            <w:gridSpan w:val="2"/>
          </w:tcPr>
          <w:p>
            <w:pPr>
              <w:jc w:val="center"/>
              <w:ind w:right="40"/>
              <w:spacing w:after="0"/>
              <w:rPr>
                <w:sz w:val="20"/>
                <w:szCs w:val="20"/>
                <w:color w:val="auto"/>
              </w:rPr>
            </w:pPr>
            <w:r>
              <w:rPr>
                <w:rFonts w:ascii="Arial" w:cs="Arial" w:eastAsia="Arial" w:hAnsi="Arial"/>
                <w:sz w:val="17"/>
                <w:szCs w:val="17"/>
                <w:color w:val="auto"/>
                <w:w w:val="88"/>
              </w:rPr>
              <w:t>years)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3"/>
          </w:tcPr>
          <w:p>
            <w:pPr>
              <w:jc w:val="right"/>
              <w:ind w:right="660"/>
              <w:spacing w:after="0"/>
              <w:rPr>
                <w:sz w:val="20"/>
                <w:szCs w:val="20"/>
                <w:color w:val="auto"/>
              </w:rPr>
            </w:pPr>
            <w:r>
              <w:rPr>
                <w:rFonts w:ascii="Arial" w:cs="Arial" w:eastAsia="Arial" w:hAnsi="Arial"/>
                <w:sz w:val="17"/>
                <w:szCs w:val="17"/>
                <w:color w:val="auto"/>
              </w:rPr>
              <w:t>exercise price</w:t>
            </w:r>
          </w:p>
        </w:tc>
        <w:tc>
          <w:tcPr>
            <w:tcW w:w="1700" w:type="dxa"/>
            <w:vAlign w:val="bottom"/>
            <w:gridSpan w:val="4"/>
          </w:tcPr>
          <w:p>
            <w:pPr>
              <w:ind w:left="120"/>
              <w:spacing w:after="0"/>
              <w:rPr>
                <w:sz w:val="20"/>
                <w:szCs w:val="20"/>
                <w:color w:val="auto"/>
              </w:rPr>
            </w:pPr>
            <w:r>
              <w:rPr>
                <w:rFonts w:ascii="Arial" w:cs="Arial" w:eastAsia="Arial" w:hAnsi="Arial"/>
                <w:sz w:val="17"/>
                <w:szCs w:val="17"/>
                <w:color w:val="auto"/>
              </w:rPr>
              <w:t>Number exercisable</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5"/>
          </w:tcPr>
          <w:p>
            <w:pPr>
              <w:jc w:val="center"/>
              <w:ind w:right="480"/>
              <w:spacing w:after="0"/>
              <w:rPr>
                <w:sz w:val="20"/>
                <w:szCs w:val="20"/>
                <w:color w:val="auto"/>
              </w:rPr>
            </w:pPr>
            <w:r>
              <w:rPr>
                <w:rFonts w:ascii="Arial" w:cs="Arial" w:eastAsia="Arial" w:hAnsi="Arial"/>
                <w:sz w:val="17"/>
                <w:szCs w:val="17"/>
                <w:color w:val="auto"/>
                <w:w w:val="89"/>
              </w:rPr>
              <w:t>exercise price</w:t>
            </w:r>
          </w:p>
        </w:tc>
      </w:tr>
      <w:tr>
        <w:trPr>
          <w:trHeight w:val="206"/>
        </w:trPr>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4.42-21.30</w:t>
            </w:r>
          </w:p>
        </w:tc>
        <w:tc>
          <w:tcPr>
            <w:tcW w:w="280" w:type="dxa"/>
            <w:vAlign w:val="bottom"/>
            <w:shd w:val="clear" w:color="auto" w:fill="CCEEFF"/>
          </w:tcPr>
          <w:p>
            <w:pPr>
              <w:spacing w:after="0"/>
              <w:rPr>
                <w:sz w:val="17"/>
                <w:szCs w:val="17"/>
                <w:color w:val="auto"/>
              </w:rPr>
            </w:pP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580,185</w:t>
            </w:r>
          </w:p>
        </w:tc>
        <w:tc>
          <w:tcPr>
            <w:tcW w:w="320" w:type="dxa"/>
            <w:vAlign w:val="bottom"/>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9.64</w:t>
            </w:r>
          </w:p>
        </w:tc>
        <w:tc>
          <w:tcPr>
            <w:tcW w:w="3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459,662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469"/>
        </w:trPr>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9"/>
          </w:tcPr>
          <w:p>
            <w:pPr>
              <w:jc w:val="right"/>
              <w:ind w:right="74"/>
              <w:spacing w:after="0"/>
              <w:rPr>
                <w:sz w:val="20"/>
                <w:szCs w:val="20"/>
                <w:color w:val="auto"/>
              </w:rPr>
            </w:pPr>
            <w:r>
              <w:rPr>
                <w:rFonts w:ascii="Arial" w:cs="Arial" w:eastAsia="Arial" w:hAnsi="Arial"/>
                <w:sz w:val="17"/>
                <w:szCs w:val="17"/>
                <w:color w:val="auto"/>
              </w:rPr>
              <w:t>Year ended December 31,</w:t>
            </w: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2"/>
        </w:trPr>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18"/>
                <w:szCs w:val="18"/>
                <w:color w:val="auto"/>
              </w:rPr>
            </w:pPr>
          </w:p>
        </w:tc>
        <w:tc>
          <w:tcPr>
            <w:tcW w:w="9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color w:val="auto"/>
              </w:rPr>
              <w:t>2016</w:t>
            </w:r>
          </w:p>
        </w:tc>
        <w:tc>
          <w:tcPr>
            <w:tcW w:w="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2015</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The intrinsic value of options exercised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26,031</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9"/>
              </w:rPr>
              <w:t>40,314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15,374</w:t>
            </w:r>
          </w:p>
        </w:tc>
        <w:tc>
          <w:tcPr>
            <w:tcW w:w="80" w:type="dxa"/>
            <w:vAlign w:val="bottom"/>
            <w:shd w:val="clear" w:color="auto" w:fill="CCEEFF"/>
          </w:tcPr>
          <w:p>
            <w:pPr>
              <w:spacing w:after="0"/>
              <w:rPr>
                <w:sz w:val="17"/>
                <w:szCs w:val="17"/>
                <w:color w:val="auto"/>
              </w:rPr>
            </w:pPr>
          </w:p>
        </w:tc>
      </w:tr>
      <w:tr>
        <w:trPr>
          <w:trHeight w:val="217"/>
        </w:trPr>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Arial" w:cs="Arial" w:eastAsia="Arial" w:hAnsi="Arial"/>
                <w:sz w:val="17"/>
                <w:szCs w:val="17"/>
                <w:color w:val="auto"/>
              </w:rPr>
              <w:t>The original fair value of options exercised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7,202</w:t>
            </w:r>
          </w:p>
        </w:tc>
        <w:tc>
          <w:tcPr>
            <w:tcW w:w="580" w:type="dxa"/>
            <w:vAlign w:val="bottom"/>
          </w:tcPr>
          <w:p>
            <w:pPr>
              <w:jc w:val="right"/>
              <w:ind w:right="42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7"/>
                <w:szCs w:val="17"/>
                <w:color w:val="auto"/>
                <w:w w:val="99"/>
              </w:rPr>
              <w:t>16,711</w:t>
            </w:r>
          </w:p>
        </w:tc>
        <w:tc>
          <w:tcPr>
            <w:tcW w:w="42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17"/>
                <w:szCs w:val="17"/>
                <w:color w:val="auto"/>
              </w:rPr>
              <w:t>3,721</w:t>
            </w:r>
          </w:p>
        </w:tc>
      </w:tr>
      <w:tr>
        <w:trPr>
          <w:trHeight w:val="458"/>
        </w:trPr>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9"/>
          </w:tcPr>
          <w:p>
            <w:pPr>
              <w:jc w:val="right"/>
              <w:ind w:right="74"/>
              <w:spacing w:after="0"/>
              <w:rPr>
                <w:sz w:val="20"/>
                <w:szCs w:val="20"/>
                <w:color w:val="auto"/>
              </w:rPr>
            </w:pPr>
            <w:r>
              <w:rPr>
                <w:rFonts w:ascii="Arial" w:cs="Arial" w:eastAsia="Arial" w:hAnsi="Arial"/>
                <w:sz w:val="17"/>
                <w:szCs w:val="17"/>
                <w:color w:val="auto"/>
              </w:rPr>
              <w:t>Year ended December 31,</w:t>
            </w: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2"/>
        </w:trPr>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18"/>
                <w:szCs w:val="18"/>
                <w:color w:val="auto"/>
              </w:rPr>
            </w:pPr>
          </w:p>
        </w:tc>
        <w:tc>
          <w:tcPr>
            <w:tcW w:w="9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color w:val="auto"/>
              </w:rPr>
              <w:t>2016</w:t>
            </w:r>
          </w:p>
        </w:tc>
        <w:tc>
          <w:tcPr>
            <w:tcW w:w="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2015</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The intrinsic value of RSU's exercised</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12,996</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17"/>
        </w:trPr>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gridSpan w:val="4"/>
          </w:tcPr>
          <w:p>
            <w:pPr>
              <w:spacing w:after="0"/>
              <w:rPr>
                <w:sz w:val="20"/>
                <w:szCs w:val="20"/>
                <w:color w:val="auto"/>
              </w:rPr>
            </w:pPr>
            <w:r>
              <w:rPr>
                <w:rFonts w:ascii="Arial" w:cs="Arial" w:eastAsia="Arial" w:hAnsi="Arial"/>
                <w:sz w:val="17"/>
                <w:szCs w:val="17"/>
                <w:color w:val="auto"/>
              </w:rPr>
              <w:t>The original fair value of RSU's exercised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8,138</w:t>
            </w:r>
          </w:p>
        </w:tc>
        <w:tc>
          <w:tcPr>
            <w:tcW w:w="580" w:type="dxa"/>
            <w:vAlign w:val="bottom"/>
          </w:tcPr>
          <w:p>
            <w:pPr>
              <w:jc w:val="right"/>
              <w:ind w:right="420"/>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7"/>
                <w:szCs w:val="17"/>
                <w:color w:val="auto"/>
              </w:rPr>
              <w:t>994</w:t>
            </w:r>
          </w:p>
        </w:tc>
        <w:tc>
          <w:tcPr>
            <w:tcW w:w="42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618"/>
        </w:trPr>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- 45 -</w:t>
            </w: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
        </w:trPr>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80" w:lineRule="exact"/>
        <w:rPr>
          <w:sz w:val="20"/>
          <w:szCs w:val="20"/>
          <w:color w:val="auto"/>
        </w:rPr>
      </w:pPr>
    </w:p>
    <w:p>
      <w:pPr>
        <w:ind w:left="1780" w:hanging="542"/>
        <w:spacing w:after="0"/>
        <w:tabs>
          <w:tab w:leader="none" w:pos="178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Plans (cont.)</w:t>
      </w:r>
    </w:p>
    <w:p>
      <w:pPr>
        <w:spacing w:after="0" w:line="267" w:lineRule="exact"/>
        <w:rPr>
          <w:rFonts w:ascii="Arial" w:cs="Arial" w:eastAsia="Arial" w:hAnsi="Arial"/>
          <w:sz w:val="17"/>
          <w:szCs w:val="17"/>
          <w:b w:val="1"/>
          <w:bCs w:val="1"/>
          <w:color w:val="auto"/>
        </w:rPr>
      </w:pPr>
    </w:p>
    <w:p>
      <w:pPr>
        <w:ind w:left="2220" w:hanging="468"/>
        <w:spacing w:after="0"/>
        <w:tabs>
          <w:tab w:leader="none" w:pos="2220" w:val="left"/>
        </w:tabs>
        <w:numPr>
          <w:ilvl w:val="1"/>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Information about Employees’ Share Incentive Plans (cont.)</w:t>
      </w:r>
    </w:p>
    <w:p>
      <w:pPr>
        <w:spacing w:after="0" w:line="273" w:lineRule="exact"/>
        <w:rPr>
          <w:rFonts w:ascii="Arial" w:cs="Arial" w:eastAsia="Arial" w:hAnsi="Arial"/>
          <w:sz w:val="17"/>
          <w:szCs w:val="17"/>
          <w:b w:val="1"/>
          <w:bCs w:val="1"/>
          <w:color w:val="auto"/>
        </w:rPr>
      </w:pPr>
    </w:p>
    <w:p>
      <w:pPr>
        <w:ind w:left="2240"/>
        <w:spacing w:after="0"/>
        <w:rPr>
          <w:rFonts w:ascii="Arial" w:cs="Arial" w:eastAsia="Arial" w:hAnsi="Arial"/>
          <w:sz w:val="17"/>
          <w:szCs w:val="17"/>
          <w:b w:val="1"/>
          <w:bCs w:val="1"/>
          <w:color w:val="auto"/>
        </w:rPr>
      </w:pPr>
      <w:r>
        <w:rPr>
          <w:rFonts w:ascii="Arial" w:cs="Arial" w:eastAsia="Arial" w:hAnsi="Arial"/>
          <w:sz w:val="17"/>
          <w:szCs w:val="17"/>
          <w:color w:val="auto"/>
        </w:rPr>
        <w:t>Stock-based compensation expenses were recognized in the Statement of Operations as follows:</w:t>
      </w:r>
    </w:p>
    <w:p>
      <w:pPr>
        <w:spacing w:after="0" w:line="216" w:lineRule="exact"/>
        <w:rPr>
          <w:sz w:val="20"/>
          <w:szCs w:val="20"/>
          <w:color w:val="auto"/>
        </w:rPr>
      </w:pPr>
    </w:p>
    <w:tbl>
      <w:tblPr>
        <w:tblLayout w:type="fixed"/>
        <w:tblInd w:w="2060" w:type="dxa"/>
        <w:tblCellMar>
          <w:top w:w="0" w:type="dxa"/>
          <w:left w:w="0" w:type="dxa"/>
          <w:bottom w:w="0" w:type="dxa"/>
          <w:right w:w="0" w:type="dxa"/>
        </w:tblCellMar>
      </w:tblPr>
      <w:tr>
        <w:trPr>
          <w:trHeight w:val="224"/>
        </w:trPr>
        <w:tc>
          <w:tcPr>
            <w:tcW w:w="5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7"/>
                <w:szCs w:val="17"/>
                <w:color w:val="auto"/>
              </w:rPr>
              <w:t>Year ended December 31,</w:t>
            </w: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5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2016</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8"/>
                <w:szCs w:val="18"/>
                <w:color w:val="auto"/>
              </w:rPr>
            </w:pPr>
          </w:p>
        </w:tc>
      </w:tr>
      <w:tr>
        <w:trPr>
          <w:trHeight w:val="206"/>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Cost of goods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2,214</w:t>
            </w:r>
          </w:p>
        </w:tc>
        <w:tc>
          <w:tcPr>
            <w:tcW w:w="80" w:type="dxa"/>
            <w:vAlign w:val="bottom"/>
            <w:shd w:val="clear" w:color="auto" w:fill="CCEEFF"/>
          </w:tcPr>
          <w:p>
            <w:pPr>
              <w:spacing w:after="0"/>
              <w:rPr>
                <w:sz w:val="17"/>
                <w:szCs w:val="17"/>
                <w:color w:val="auto"/>
              </w:rPr>
            </w:pPr>
          </w:p>
        </w:tc>
      </w:tr>
      <w:tr>
        <w:trPr>
          <w:trHeight w:val="206"/>
        </w:trPr>
        <w:tc>
          <w:tcPr>
            <w:tcW w:w="5260" w:type="dxa"/>
            <w:vAlign w:val="bottom"/>
          </w:tcPr>
          <w:p>
            <w:pPr>
              <w:spacing w:after="0"/>
              <w:rPr>
                <w:sz w:val="20"/>
                <w:szCs w:val="20"/>
                <w:color w:val="auto"/>
              </w:rPr>
            </w:pPr>
            <w:r>
              <w:rPr>
                <w:rFonts w:ascii="Arial" w:cs="Arial" w:eastAsia="Arial" w:hAnsi="Arial"/>
                <w:sz w:val="17"/>
                <w:szCs w:val="17"/>
                <w:color w:val="auto"/>
              </w:rPr>
              <w:t>Research and development, net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2,555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2,119</w:t>
            </w:r>
          </w:p>
        </w:tc>
        <w:tc>
          <w:tcPr>
            <w:tcW w:w="26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1,905</w:t>
            </w:r>
          </w:p>
        </w:tc>
      </w:tr>
      <w:tr>
        <w:trPr>
          <w:trHeight w:val="206"/>
        </w:trPr>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Marketing, general and administrative</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3,367</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3,421</w:t>
            </w:r>
          </w:p>
        </w:tc>
      </w:tr>
      <w:tr>
        <w:trPr>
          <w:trHeight w:val="26"/>
        </w:trPr>
        <w:tc>
          <w:tcPr>
            <w:tcW w:w="5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6"/>
        </w:trPr>
        <w:tc>
          <w:tcPr>
            <w:tcW w:w="5260" w:type="dxa"/>
            <w:vAlign w:val="bottom"/>
          </w:tcPr>
          <w:p>
            <w:pPr>
              <w:spacing w:after="0"/>
              <w:rPr>
                <w:sz w:val="20"/>
                <w:szCs w:val="20"/>
                <w:color w:val="auto"/>
              </w:rPr>
            </w:pPr>
            <w:r>
              <w:rPr>
                <w:rFonts w:ascii="Arial" w:cs="Arial" w:eastAsia="Arial" w:hAnsi="Arial"/>
                <w:sz w:val="17"/>
                <w:szCs w:val="17"/>
                <w:color w:val="auto"/>
              </w:rPr>
              <w:t>Total stock-based compensation expense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11,649</w:t>
            </w:r>
          </w:p>
        </w:tc>
        <w:tc>
          <w:tcPr>
            <w:tcW w:w="18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9,406</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7,540</w:t>
            </w:r>
          </w:p>
        </w:tc>
      </w:tr>
      <w:tr>
        <w:trPr>
          <w:trHeight w:val="20"/>
        </w:trPr>
        <w:tc>
          <w:tcPr>
            <w:tcW w:w="5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9" w:lineRule="exact"/>
        <w:rPr>
          <w:sz w:val="20"/>
          <w:szCs w:val="20"/>
          <w:color w:val="auto"/>
        </w:rPr>
      </w:pPr>
    </w:p>
    <w:p>
      <w:pPr>
        <w:ind w:left="2220" w:hanging="468"/>
        <w:spacing w:after="0"/>
        <w:tabs>
          <w:tab w:leader="none" w:pos="222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Weighted Average Grant-Date Fair Value of Options Granted to Employees</w:t>
      </w:r>
    </w:p>
    <w:p>
      <w:pPr>
        <w:spacing w:after="0" w:line="273" w:lineRule="exact"/>
        <w:rPr>
          <w:rFonts w:ascii="Arial" w:cs="Arial" w:eastAsia="Arial" w:hAnsi="Arial"/>
          <w:sz w:val="17"/>
          <w:szCs w:val="17"/>
          <w:b w:val="1"/>
          <w:bCs w:val="1"/>
          <w:color w:val="auto"/>
        </w:rPr>
      </w:pPr>
    </w:p>
    <w:p>
      <w:pPr>
        <w:jc w:val="both"/>
        <w:ind w:left="2240"/>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The weighted average grant-date fair value of the options granted during 2016 and 2015 to employees and directors amounted to $4.20 and $7.16 per option, respectively (no options were granted in 2017). The Company utilizes the Black-Scholes model. The Company estimated the fair value, utilizing the following assumptions for the years 2016 and 2015 (all in weighted averages):</w:t>
      </w:r>
    </w:p>
    <w:p>
      <w:pPr>
        <w:spacing w:after="0" w:line="210" w:lineRule="exact"/>
        <w:rPr>
          <w:sz w:val="20"/>
          <w:szCs w:val="20"/>
          <w:color w:val="auto"/>
        </w:rPr>
      </w:pPr>
    </w:p>
    <w:tbl>
      <w:tblPr>
        <w:tblLayout w:type="fixed"/>
        <w:tblInd w:w="2060" w:type="dxa"/>
        <w:tblCellMar>
          <w:top w:w="0" w:type="dxa"/>
          <w:left w:w="0" w:type="dxa"/>
          <w:bottom w:w="0" w:type="dxa"/>
          <w:right w:w="0" w:type="dxa"/>
        </w:tblCellMar>
      </w:tblPr>
      <w:tr>
        <w:trPr>
          <w:trHeight w:val="224"/>
        </w:trPr>
        <w:tc>
          <w:tcPr>
            <w:tcW w:w="6320" w:type="dxa"/>
            <w:vAlign w:val="bottom"/>
          </w:tcPr>
          <w:p>
            <w:pPr>
              <w:spacing w:after="0"/>
              <w:rPr>
                <w:sz w:val="19"/>
                <w:szCs w:val="19"/>
                <w:color w:val="auto"/>
              </w:rPr>
            </w:pPr>
          </w:p>
        </w:tc>
        <w:tc>
          <w:tcPr>
            <w:tcW w:w="1340" w:type="dxa"/>
            <w:vAlign w:val="bottom"/>
          </w:tcPr>
          <w:p>
            <w:pPr>
              <w:jc w:val="right"/>
              <w:ind w:right="414"/>
              <w:spacing w:after="0"/>
              <w:rPr>
                <w:sz w:val="20"/>
                <w:szCs w:val="20"/>
                <w:color w:val="auto"/>
              </w:rPr>
            </w:pPr>
            <w:r>
              <w:rPr>
                <w:rFonts w:ascii="Arial" w:cs="Arial" w:eastAsia="Arial" w:hAnsi="Arial"/>
                <w:sz w:val="17"/>
                <w:szCs w:val="17"/>
                <w:color w:val="auto"/>
              </w:rPr>
              <w:t>2016</w:t>
            </w:r>
          </w:p>
        </w:tc>
        <w:tc>
          <w:tcPr>
            <w:tcW w:w="1580" w:type="dxa"/>
            <w:vAlign w:val="bottom"/>
            <w:gridSpan w:val="2"/>
          </w:tcPr>
          <w:p>
            <w:pPr>
              <w:jc w:val="center"/>
              <w:ind w:left="134"/>
              <w:spacing w:after="0"/>
              <w:rPr>
                <w:sz w:val="20"/>
                <w:szCs w:val="20"/>
                <w:color w:val="auto"/>
              </w:rPr>
            </w:pPr>
            <w:r>
              <w:rPr>
                <w:rFonts w:ascii="Arial" w:cs="Arial" w:eastAsia="Arial" w:hAnsi="Arial"/>
                <w:sz w:val="17"/>
                <w:szCs w:val="17"/>
                <w:color w:val="auto"/>
                <w:w w:val="95"/>
              </w:rPr>
              <w:t>2015</w:t>
            </w:r>
          </w:p>
        </w:tc>
        <w:tc>
          <w:tcPr>
            <w:tcW w:w="120" w:type="dxa"/>
            <w:vAlign w:val="bottom"/>
          </w:tcPr>
          <w:p>
            <w:pPr>
              <w:spacing w:after="0"/>
              <w:rPr>
                <w:sz w:val="19"/>
                <w:szCs w:val="19"/>
                <w:color w:val="auto"/>
              </w:rPr>
            </w:pPr>
          </w:p>
        </w:tc>
      </w:tr>
      <w:tr>
        <w:trPr>
          <w:trHeight w:val="206"/>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3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0.9%-1.3%</w:t>
            </w:r>
          </w:p>
        </w:tc>
        <w:tc>
          <w:tcPr>
            <w:tcW w:w="22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rPr>
              <w:t>1.2%-1.4%</w:t>
            </w:r>
          </w:p>
        </w:tc>
        <w:tc>
          <w:tcPr>
            <w:tcW w:w="120" w:type="dxa"/>
            <w:vAlign w:val="bottom"/>
            <w:shd w:val="clear" w:color="auto" w:fill="CCEEFF"/>
          </w:tcPr>
          <w:p>
            <w:pPr>
              <w:spacing w:after="0"/>
              <w:rPr>
                <w:sz w:val="17"/>
                <w:szCs w:val="17"/>
                <w:color w:val="auto"/>
              </w:rPr>
            </w:pPr>
          </w:p>
        </w:tc>
      </w:tr>
      <w:tr>
        <w:trPr>
          <w:trHeight w:val="206"/>
        </w:trPr>
        <w:tc>
          <w:tcPr>
            <w:tcW w:w="6320" w:type="dxa"/>
            <w:vAlign w:val="bottom"/>
          </w:tcPr>
          <w:p>
            <w:pPr>
              <w:spacing w:after="0"/>
              <w:rPr>
                <w:sz w:val="20"/>
                <w:szCs w:val="20"/>
                <w:color w:val="auto"/>
              </w:rPr>
            </w:pPr>
            <w:r>
              <w:rPr>
                <w:rFonts w:ascii="Arial" w:cs="Arial" w:eastAsia="Arial" w:hAnsi="Arial"/>
                <w:sz w:val="17"/>
                <w:szCs w:val="17"/>
                <w:color w:val="auto"/>
              </w:rPr>
              <w:t>Expected life of options</w:t>
            </w:r>
          </w:p>
        </w:tc>
        <w:tc>
          <w:tcPr>
            <w:tcW w:w="1340" w:type="dxa"/>
            <w:vAlign w:val="bottom"/>
          </w:tcPr>
          <w:p>
            <w:pPr>
              <w:jc w:val="right"/>
              <w:ind w:right="234"/>
              <w:spacing w:after="0"/>
              <w:rPr>
                <w:sz w:val="20"/>
                <w:szCs w:val="20"/>
                <w:color w:val="auto"/>
              </w:rPr>
            </w:pPr>
            <w:r>
              <w:rPr>
                <w:rFonts w:ascii="Arial" w:cs="Arial" w:eastAsia="Arial" w:hAnsi="Arial"/>
                <w:sz w:val="17"/>
                <w:szCs w:val="17"/>
                <w:color w:val="auto"/>
              </w:rPr>
              <w:t>4.60 years</w:t>
            </w:r>
          </w:p>
        </w:tc>
        <w:tc>
          <w:tcPr>
            <w:tcW w:w="2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0"/>
              </w:rPr>
              <w:t>4.75 years</w:t>
            </w:r>
          </w:p>
        </w:tc>
        <w:tc>
          <w:tcPr>
            <w:tcW w:w="120" w:type="dxa"/>
            <w:vAlign w:val="bottom"/>
          </w:tcPr>
          <w:p>
            <w:pPr>
              <w:spacing w:after="0"/>
              <w:rPr>
                <w:sz w:val="17"/>
                <w:szCs w:val="17"/>
                <w:color w:val="auto"/>
              </w:rPr>
            </w:pPr>
          </w:p>
        </w:tc>
      </w:tr>
      <w:tr>
        <w:trPr>
          <w:trHeight w:val="206"/>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Expected annual volatility</w:t>
            </w:r>
          </w:p>
        </w:tc>
        <w:tc>
          <w:tcPr>
            <w:tcW w:w="134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47%-48%</w:t>
            </w:r>
          </w:p>
        </w:tc>
        <w:tc>
          <w:tcPr>
            <w:tcW w:w="1580" w:type="dxa"/>
            <w:vAlign w:val="bottom"/>
            <w:gridSpan w:val="2"/>
            <w:shd w:val="clear" w:color="auto" w:fill="CCEEFF"/>
          </w:tcPr>
          <w:p>
            <w:pPr>
              <w:jc w:val="right"/>
              <w:ind w:right="494"/>
              <w:spacing w:after="0"/>
              <w:rPr>
                <w:sz w:val="20"/>
                <w:szCs w:val="20"/>
                <w:color w:val="auto"/>
              </w:rPr>
            </w:pPr>
            <w:r>
              <w:rPr>
                <w:rFonts w:ascii="Arial" w:cs="Arial" w:eastAsia="Arial" w:hAnsi="Arial"/>
                <w:sz w:val="17"/>
                <w:szCs w:val="17"/>
                <w:color w:val="auto"/>
              </w:rPr>
              <w:t>47%</w:t>
            </w:r>
          </w:p>
        </w:tc>
        <w:tc>
          <w:tcPr>
            <w:tcW w:w="120" w:type="dxa"/>
            <w:vAlign w:val="bottom"/>
            <w:shd w:val="clear" w:color="auto" w:fill="CCEEFF"/>
          </w:tcPr>
          <w:p>
            <w:pPr>
              <w:spacing w:after="0"/>
              <w:rPr>
                <w:sz w:val="17"/>
                <w:szCs w:val="17"/>
                <w:color w:val="auto"/>
              </w:rPr>
            </w:pPr>
          </w:p>
        </w:tc>
      </w:tr>
      <w:tr>
        <w:trPr>
          <w:trHeight w:val="217"/>
        </w:trPr>
        <w:tc>
          <w:tcPr>
            <w:tcW w:w="632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340" w:type="dxa"/>
            <w:vAlign w:val="bottom"/>
          </w:tcPr>
          <w:p>
            <w:pPr>
              <w:jc w:val="right"/>
              <w:ind w:right="414"/>
              <w:spacing w:after="0"/>
              <w:rPr>
                <w:sz w:val="20"/>
                <w:szCs w:val="20"/>
                <w:color w:val="auto"/>
              </w:rPr>
            </w:pPr>
            <w:r>
              <w:rPr>
                <w:rFonts w:ascii="Arial" w:cs="Arial" w:eastAsia="Arial" w:hAnsi="Arial"/>
                <w:sz w:val="17"/>
                <w:szCs w:val="17"/>
                <w:color w:val="auto"/>
              </w:rPr>
              <w:t>none</w:t>
            </w:r>
          </w:p>
        </w:tc>
        <w:tc>
          <w:tcPr>
            <w:tcW w:w="2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84"/>
              </w:rPr>
              <w:t>none</w:t>
            </w:r>
          </w:p>
        </w:tc>
        <w:tc>
          <w:tcPr>
            <w:tcW w:w="120" w:type="dxa"/>
            <w:vAlign w:val="bottom"/>
          </w:tcPr>
          <w:p>
            <w:pPr>
              <w:spacing w:after="0"/>
              <w:rPr>
                <w:sz w:val="18"/>
                <w:szCs w:val="18"/>
                <w:color w:val="auto"/>
              </w:rPr>
            </w:pPr>
          </w:p>
        </w:tc>
      </w:tr>
    </w:tbl>
    <w:p>
      <w:pPr>
        <w:spacing w:after="0" w:line="234" w:lineRule="exact"/>
        <w:rPr>
          <w:sz w:val="20"/>
          <w:szCs w:val="20"/>
          <w:color w:val="auto"/>
        </w:rPr>
      </w:pPr>
    </w:p>
    <w:p>
      <w:pPr>
        <w:ind w:left="2240"/>
        <w:spacing w:after="0"/>
        <w:rPr>
          <w:sz w:val="20"/>
          <w:szCs w:val="20"/>
          <w:color w:val="auto"/>
        </w:rPr>
      </w:pPr>
      <w:r>
        <w:rPr>
          <w:rFonts w:ascii="Arial" w:cs="Arial" w:eastAsia="Arial" w:hAnsi="Arial"/>
          <w:sz w:val="17"/>
          <w:szCs w:val="17"/>
          <w:color w:val="auto"/>
        </w:rPr>
        <w:t>Risk free interest rate is based on yield curve rates published by the U.S. Department of Treasury.</w:t>
      </w:r>
    </w:p>
    <w:p>
      <w:pPr>
        <w:spacing w:after="0" w:line="216" w:lineRule="exact"/>
        <w:rPr>
          <w:sz w:val="20"/>
          <w:szCs w:val="20"/>
          <w:color w:val="auto"/>
        </w:rPr>
      </w:pPr>
    </w:p>
    <w:p>
      <w:pPr>
        <w:ind w:left="2240"/>
        <w:spacing w:after="0" w:line="278" w:lineRule="auto"/>
        <w:rPr>
          <w:sz w:val="20"/>
          <w:szCs w:val="20"/>
          <w:color w:val="auto"/>
        </w:rPr>
      </w:pPr>
      <w:r>
        <w:rPr>
          <w:rFonts w:ascii="Arial" w:cs="Arial" w:eastAsia="Arial" w:hAnsi="Arial"/>
          <w:sz w:val="17"/>
          <w:szCs w:val="17"/>
          <w:color w:val="auto"/>
        </w:rPr>
        <w:t>Expected life of options is based upon historical experience and represents the period of time that options granted are expected to be outstanding.</w:t>
      </w:r>
    </w:p>
    <w:p>
      <w:pPr>
        <w:spacing w:after="0" w:line="165" w:lineRule="exact"/>
        <w:rPr>
          <w:sz w:val="20"/>
          <w:szCs w:val="20"/>
          <w:color w:val="auto"/>
        </w:rPr>
      </w:pPr>
    </w:p>
    <w:p>
      <w:pPr>
        <w:ind w:left="2240"/>
        <w:spacing w:after="0" w:line="278" w:lineRule="auto"/>
        <w:rPr>
          <w:sz w:val="20"/>
          <w:szCs w:val="20"/>
          <w:color w:val="auto"/>
        </w:rPr>
      </w:pPr>
      <w:r>
        <w:rPr>
          <w:rFonts w:ascii="Arial" w:cs="Arial" w:eastAsia="Arial" w:hAnsi="Arial"/>
          <w:sz w:val="17"/>
          <w:szCs w:val="17"/>
          <w:color w:val="auto"/>
        </w:rPr>
        <w:t>Expected annual volatility is based on the volatility of Tower’s ordinary share prior to the options grant for the term identical to expected life.</w:t>
      </w:r>
    </w:p>
    <w:p>
      <w:pPr>
        <w:spacing w:after="0" w:line="210" w:lineRule="exact"/>
        <w:rPr>
          <w:sz w:val="20"/>
          <w:szCs w:val="20"/>
          <w:color w:val="auto"/>
        </w:rPr>
      </w:pPr>
    </w:p>
    <w:p>
      <w:pPr>
        <w:ind w:left="1780" w:hanging="542"/>
        <w:spacing w:after="0"/>
        <w:tabs>
          <w:tab w:leader="none" w:pos="178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Israeli Banks’ Capital Notes and Warrants</w:t>
      </w:r>
    </w:p>
    <w:p>
      <w:pPr>
        <w:spacing w:after="0" w:line="273"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All issued and outstanding equity equivalent capital notes convertible into approximately 1.2 million ordinary shares as of December 31, 2017, have no voting rights, no maturity date, no dividend rights, are not tradable, are not registered, do not carry interest, are not linked to any index and are not redeemable. The equity equivalent capital notes are classified in shareholders’ equity. As of December 31, 2017, Bank Ha’poalim was the sole holder of such capital notes.</w:t>
      </w:r>
    </w:p>
    <w:p>
      <w:pPr>
        <w:spacing w:after="0" w:line="397" w:lineRule="exact"/>
        <w:rPr>
          <w:rFonts w:ascii="Arial" w:cs="Arial" w:eastAsia="Arial" w:hAnsi="Arial"/>
          <w:sz w:val="17"/>
          <w:szCs w:val="17"/>
          <w:b w:val="1"/>
          <w:bCs w:val="1"/>
          <w:color w:val="auto"/>
        </w:rPr>
      </w:pPr>
    </w:p>
    <w:p>
      <w:pPr>
        <w:ind w:left="5620" w:hanging="92"/>
        <w:spacing w:after="0"/>
        <w:tabs>
          <w:tab w:leader="none" w:pos="56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16</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80" w:lineRule="exact"/>
        <w:rPr>
          <w:sz w:val="20"/>
          <w:szCs w:val="20"/>
          <w:color w:val="auto"/>
        </w:rPr>
      </w:pPr>
    </w:p>
    <w:p>
      <w:pPr>
        <w:ind w:left="1780" w:hanging="542"/>
        <w:spacing w:after="0"/>
        <w:tabs>
          <w:tab w:leader="none" w:pos="178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Israeli Banks’ Capital Notes and Warrants (cont.)</w:t>
      </w:r>
    </w:p>
    <w:p>
      <w:pPr>
        <w:spacing w:after="0" w:line="273"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As of December 31, 2017 and 2016, the Israeli Banks held a total of approximately 0.5 million warrants exercisable until December 2018, at various exercise prices ranging between $10.5 and $92.55 per share.</w:t>
      </w:r>
    </w:p>
    <w:p>
      <w:pPr>
        <w:spacing w:after="0" w:line="210" w:lineRule="exact"/>
        <w:rPr>
          <w:rFonts w:ascii="Arial" w:cs="Arial" w:eastAsia="Arial" w:hAnsi="Arial"/>
          <w:sz w:val="17"/>
          <w:szCs w:val="17"/>
          <w:b w:val="1"/>
          <w:bCs w:val="1"/>
          <w:color w:val="auto"/>
        </w:rPr>
      </w:pPr>
    </w:p>
    <w:p>
      <w:pPr>
        <w:ind w:left="1780" w:hanging="542"/>
        <w:spacing w:after="0"/>
        <w:tabs>
          <w:tab w:leader="none" w:pos="178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Treasury Stock</w:t>
      </w:r>
    </w:p>
    <w:p>
      <w:pPr>
        <w:spacing w:after="0" w:line="273"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During 1999 and 1998, the Company funded the purchase by a trustee of an aggregate of 86,667 of Tower’s ordinary shares. These shares are classified as treasury shares.</w:t>
      </w:r>
    </w:p>
    <w:p>
      <w:pPr>
        <w:spacing w:after="0" w:line="210" w:lineRule="exact"/>
        <w:rPr>
          <w:rFonts w:ascii="Arial" w:cs="Arial" w:eastAsia="Arial" w:hAnsi="Arial"/>
          <w:sz w:val="17"/>
          <w:szCs w:val="17"/>
          <w:b w:val="1"/>
          <w:bCs w:val="1"/>
          <w:color w:val="auto"/>
        </w:rPr>
      </w:pPr>
    </w:p>
    <w:p>
      <w:pPr>
        <w:ind w:left="1780" w:hanging="542"/>
        <w:spacing w:after="0"/>
        <w:tabs>
          <w:tab w:leader="none" w:pos="178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Dividend Restriction</w:t>
      </w:r>
    </w:p>
    <w:p>
      <w:pPr>
        <w:spacing w:after="0" w:line="273"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Tower is subject to the restrictions under the Israeli Companies Law, 1999. In addition, Tower is subject to limitations under Series G Debentures indenture, which enables to distribute dividends subject to satisfying certain financial ratios.</w:t>
      </w:r>
    </w:p>
    <w:p>
      <w:pPr>
        <w:spacing w:after="0" w:line="210" w:lineRule="exact"/>
        <w:rPr>
          <w:rFonts w:ascii="Arial" w:cs="Arial" w:eastAsia="Arial" w:hAnsi="Arial"/>
          <w:sz w:val="17"/>
          <w:szCs w:val="17"/>
          <w:b w:val="1"/>
          <w:bCs w:val="1"/>
          <w:color w:val="auto"/>
        </w:rPr>
      </w:pPr>
    </w:p>
    <w:p>
      <w:pPr>
        <w:ind w:left="1780" w:hanging="542"/>
        <w:spacing w:after="0"/>
        <w:tabs>
          <w:tab w:leader="none" w:pos="178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Warrants Series 9</w:t>
      </w:r>
    </w:p>
    <w:p>
      <w:pPr>
        <w:spacing w:after="0" w:line="273"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As of December 31, 2016, the Company had Warrants Series 9, which were issued in 2013 and exercisable into approximately 2.3 million ordinary shares until July 2017. All of these warrants were exercised into shares during 2017.</w:t>
      </w:r>
    </w:p>
    <w:p>
      <w:pPr>
        <w:spacing w:after="0" w:line="210" w:lineRule="exact"/>
        <w:rPr>
          <w:rFonts w:ascii="Arial" w:cs="Arial" w:eastAsia="Arial" w:hAnsi="Arial"/>
          <w:sz w:val="17"/>
          <w:szCs w:val="17"/>
          <w:b w:val="1"/>
          <w:bCs w:val="1"/>
          <w:color w:val="auto"/>
        </w:rPr>
      </w:pPr>
    </w:p>
    <w:p>
      <w:pPr>
        <w:ind w:left="1780" w:hanging="499"/>
        <w:spacing w:after="0"/>
        <w:tabs>
          <w:tab w:leader="none" w:pos="1780" w:val="left"/>
        </w:tabs>
        <w:numPr>
          <w:ilvl w:val="1"/>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Convertible Debentures</w:t>
      </w:r>
    </w:p>
    <w:p>
      <w:pPr>
        <w:spacing w:after="0" w:line="273"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With regard to convertible debentures, see Note 11C.</w:t>
      </w:r>
    </w:p>
    <w:p>
      <w:pPr>
        <w:spacing w:after="0" w:line="383" w:lineRule="exact"/>
        <w:rPr>
          <w:rFonts w:ascii="Arial" w:cs="Arial" w:eastAsia="Arial" w:hAnsi="Arial"/>
          <w:sz w:val="17"/>
          <w:szCs w:val="17"/>
          <w:b w:val="1"/>
          <w:bCs w:val="1"/>
          <w:color w:val="auto"/>
        </w:rPr>
      </w:pPr>
    </w:p>
    <w:p>
      <w:pPr>
        <w:ind w:left="5620" w:hanging="92"/>
        <w:spacing w:after="0"/>
        <w:tabs>
          <w:tab w:leader="none" w:pos="5620" w:val="left"/>
        </w:tabs>
        <w:numPr>
          <w:ilvl w:val="2"/>
          <w:numId w:val="45"/>
        </w:numPr>
        <w:rPr>
          <w:rFonts w:ascii="Arial" w:cs="Arial" w:eastAsia="Arial" w:hAnsi="Arial"/>
          <w:sz w:val="17"/>
          <w:szCs w:val="17"/>
          <w:color w:val="auto"/>
        </w:rPr>
      </w:pPr>
      <w:r>
        <w:rPr>
          <w:rFonts w:ascii="Arial" w:cs="Arial" w:eastAsia="Arial" w:hAnsi="Arial"/>
          <w:sz w:val="17"/>
          <w:szCs w:val="17"/>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38"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17</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INFORMATION ON GEOGRAPHIC AREAS AND MAJOR CUSTOMERS</w:t>
      </w:r>
    </w:p>
    <w:p>
      <w:pPr>
        <w:spacing w:after="0" w:line="280" w:lineRule="exact"/>
        <w:rPr>
          <w:sz w:val="20"/>
          <w:szCs w:val="20"/>
          <w:color w:val="auto"/>
        </w:rPr>
      </w:pPr>
    </w:p>
    <w:p>
      <w:pPr>
        <w:ind w:left="1780" w:hanging="542"/>
        <w:spacing w:after="0"/>
        <w:tabs>
          <w:tab w:leader="none" w:pos="178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Revenues by Geographic Area - as Percentage of Total Revenue</w:t>
      </w:r>
    </w:p>
    <w:p>
      <w:pPr>
        <w:spacing w:after="0" w:line="274" w:lineRule="exact"/>
        <w:rPr>
          <w:sz w:val="20"/>
          <w:szCs w:val="20"/>
          <w:color w:val="auto"/>
        </w:rPr>
      </w:pPr>
    </w:p>
    <w:p>
      <w:pPr>
        <w:ind w:left="8700"/>
        <w:spacing w:after="0"/>
        <w:rPr>
          <w:sz w:val="20"/>
          <w:szCs w:val="20"/>
          <w:color w:val="auto"/>
        </w:rPr>
      </w:pPr>
      <w:r>
        <w:rPr>
          <w:rFonts w:ascii="Arial" w:cs="Arial" w:eastAsia="Arial" w:hAnsi="Arial"/>
          <w:sz w:val="17"/>
          <w:szCs w:val="17"/>
          <w:color w:val="auto"/>
        </w:rPr>
        <w:t>Year ended December 31,</w:t>
      </w:r>
    </w:p>
    <w:p>
      <w:pPr>
        <w:spacing w:after="0" w:line="21" w:lineRule="exact"/>
        <w:rPr>
          <w:sz w:val="20"/>
          <w:szCs w:val="20"/>
          <w:color w:val="auto"/>
        </w:rPr>
      </w:pPr>
    </w:p>
    <w:tbl>
      <w:tblPr>
        <w:tblLayout w:type="fixed"/>
        <w:tblInd w:w="1620" w:type="dxa"/>
        <w:tblCellMar>
          <w:top w:w="0" w:type="dxa"/>
          <w:left w:w="0" w:type="dxa"/>
          <w:bottom w:w="0" w:type="dxa"/>
          <w:right w:w="0" w:type="dxa"/>
        </w:tblCellMar>
      </w:tblPr>
      <w:tr>
        <w:trPr>
          <w:trHeight w:val="219"/>
        </w:trPr>
        <w:tc>
          <w:tcPr>
            <w:tcW w:w="6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2017</w:t>
            </w:r>
          </w:p>
        </w:tc>
        <w:tc>
          <w:tcPr>
            <w:tcW w:w="3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2016</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2015</w:t>
            </w:r>
          </w:p>
        </w:tc>
        <w:tc>
          <w:tcPr>
            <w:tcW w:w="140" w:type="dxa"/>
            <w:vAlign w:val="bottom"/>
          </w:tcPr>
          <w:p>
            <w:pPr>
              <w:spacing w:after="0"/>
              <w:rPr>
                <w:sz w:val="19"/>
                <w:szCs w:val="19"/>
                <w:color w:val="auto"/>
              </w:rPr>
            </w:pPr>
          </w:p>
        </w:tc>
      </w:tr>
      <w:tr>
        <w:trPr>
          <w:trHeight w:val="206"/>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USA</w:t>
            </w:r>
          </w:p>
        </w:tc>
        <w:tc>
          <w:tcPr>
            <w:tcW w:w="6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w:t>
            </w:r>
          </w:p>
        </w:tc>
      </w:tr>
      <w:tr>
        <w:trPr>
          <w:trHeight w:val="206"/>
        </w:trPr>
        <w:tc>
          <w:tcPr>
            <w:tcW w:w="6940" w:type="dxa"/>
            <w:vAlign w:val="bottom"/>
            <w:gridSpan w:val="2"/>
          </w:tcPr>
          <w:p>
            <w:pPr>
              <w:spacing w:after="0"/>
              <w:rPr>
                <w:sz w:val="20"/>
                <w:szCs w:val="20"/>
                <w:color w:val="auto"/>
              </w:rPr>
            </w:pPr>
            <w:r>
              <w:rPr>
                <w:rFonts w:ascii="Arial" w:cs="Arial" w:eastAsia="Arial" w:hAnsi="Arial"/>
                <w:sz w:val="17"/>
                <w:szCs w:val="17"/>
                <w:color w:val="auto"/>
              </w:rPr>
              <w:t>Japan</w:t>
            </w:r>
          </w:p>
        </w:tc>
        <w:tc>
          <w:tcPr>
            <w:tcW w:w="540" w:type="dxa"/>
            <w:vAlign w:val="bottom"/>
            <w:gridSpan w:val="2"/>
          </w:tcPr>
          <w:p>
            <w:pPr>
              <w:jc w:val="right"/>
              <w:ind w:right="240"/>
              <w:spacing w:after="0"/>
              <w:rPr>
                <w:sz w:val="20"/>
                <w:szCs w:val="20"/>
                <w:color w:val="auto"/>
              </w:rPr>
            </w:pPr>
            <w:r>
              <w:rPr>
                <w:rFonts w:ascii="Arial" w:cs="Arial" w:eastAsia="Arial" w:hAnsi="Arial"/>
                <w:sz w:val="17"/>
                <w:szCs w:val="17"/>
                <w:color w:val="auto"/>
              </w:rPr>
              <w:t>32</w:t>
            </w:r>
          </w:p>
        </w:tc>
        <w:tc>
          <w:tcPr>
            <w:tcW w:w="960" w:type="dxa"/>
            <w:vAlign w:val="bottom"/>
          </w:tcPr>
          <w:p>
            <w:pPr>
              <w:jc w:val="right"/>
              <w:spacing w:after="0"/>
              <w:rPr>
                <w:sz w:val="20"/>
                <w:szCs w:val="20"/>
                <w:color w:val="auto"/>
              </w:rPr>
            </w:pPr>
            <w:r>
              <w:rPr>
                <w:rFonts w:ascii="Arial" w:cs="Arial" w:eastAsia="Arial" w:hAnsi="Arial"/>
                <w:sz w:val="17"/>
                <w:szCs w:val="17"/>
                <w:color w:val="auto"/>
              </w:rPr>
              <w:t>36</w:t>
            </w:r>
          </w:p>
        </w:tc>
        <w:tc>
          <w:tcPr>
            <w:tcW w:w="2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r>
      <w:tr>
        <w:trPr>
          <w:trHeight w:val="206"/>
        </w:trPr>
        <w:tc>
          <w:tcPr>
            <w:tcW w:w="6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Asia *</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w:t>
            </w:r>
          </w:p>
        </w:tc>
      </w:tr>
      <w:tr>
        <w:trPr>
          <w:trHeight w:val="206"/>
        </w:trPr>
        <w:tc>
          <w:tcPr>
            <w:tcW w:w="6260" w:type="dxa"/>
            <w:vAlign w:val="bottom"/>
          </w:tcPr>
          <w:p>
            <w:pPr>
              <w:spacing w:after="0"/>
              <w:rPr>
                <w:sz w:val="20"/>
                <w:szCs w:val="20"/>
                <w:color w:val="auto"/>
              </w:rPr>
            </w:pPr>
            <w:r>
              <w:rPr>
                <w:rFonts w:ascii="Arial" w:cs="Arial" w:eastAsia="Arial" w:hAnsi="Arial"/>
                <w:sz w:val="17"/>
                <w:szCs w:val="17"/>
                <w:color w:val="auto"/>
              </w:rPr>
              <w:t>Europe</w:t>
            </w:r>
          </w:p>
        </w:tc>
        <w:tc>
          <w:tcPr>
            <w:tcW w:w="68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3</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r>
      <w:tr>
        <w:trPr>
          <w:trHeight w:val="26"/>
        </w:trPr>
        <w:tc>
          <w:tcPr>
            <w:tcW w:w="6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6"/>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6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6"/>
              </w:rPr>
              <w:t>100%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6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45"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 Represents revenues from individual countries of less than 10% each.</w:t>
      </w:r>
    </w:p>
    <w:p>
      <w:pPr>
        <w:spacing w:after="0" w:line="268" w:lineRule="exact"/>
        <w:rPr>
          <w:sz w:val="20"/>
          <w:szCs w:val="20"/>
          <w:color w:val="auto"/>
        </w:rPr>
      </w:pPr>
    </w:p>
    <w:p>
      <w:pPr>
        <w:ind w:left="1780"/>
        <w:spacing w:after="0" w:line="278" w:lineRule="auto"/>
        <w:rPr>
          <w:sz w:val="20"/>
          <w:szCs w:val="20"/>
          <w:color w:val="auto"/>
        </w:rPr>
      </w:pPr>
      <w:r>
        <w:rPr>
          <w:rFonts w:ascii="Arial" w:cs="Arial" w:eastAsia="Arial" w:hAnsi="Arial"/>
          <w:sz w:val="17"/>
          <w:szCs w:val="17"/>
          <w:color w:val="auto"/>
        </w:rPr>
        <w:t>The basis of attributing revenues from external customers to geographic area is based on the headquarter location of the customer issuing the purchase order; actual delivery may be shipped to other geographic area per customer request.</w:t>
      </w:r>
    </w:p>
    <w:p>
      <w:pPr>
        <w:spacing w:after="0" w:line="210" w:lineRule="exact"/>
        <w:rPr>
          <w:sz w:val="20"/>
          <w:szCs w:val="20"/>
          <w:color w:val="auto"/>
        </w:rPr>
      </w:pPr>
    </w:p>
    <w:p>
      <w:pPr>
        <w:ind w:left="1780" w:hanging="542"/>
        <w:spacing w:after="0"/>
        <w:tabs>
          <w:tab w:leader="none" w:pos="178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Long-Lived Assets by Geographic Area</w:t>
      </w:r>
    </w:p>
    <w:p>
      <w:pPr>
        <w:spacing w:after="0" w:line="273"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Substantially all of Tower’s long-lived assets are located in Israel, substantially all of Jazz’s and TJT’s long-lived assets are located in the United States and substantially all of TPSCo’s long-lived assets are located in Japan.</w:t>
      </w:r>
    </w:p>
    <w:p>
      <w:pPr>
        <w:spacing w:after="0" w:line="216" w:lineRule="exact"/>
        <w:rPr>
          <w:sz w:val="20"/>
          <w:szCs w:val="20"/>
          <w:color w:val="auto"/>
        </w:rPr>
      </w:pPr>
    </w:p>
    <w:tbl>
      <w:tblPr>
        <w:tblLayout w:type="fixed"/>
        <w:tblInd w:w="1620" w:type="dxa"/>
        <w:tblCellMar>
          <w:top w:w="0" w:type="dxa"/>
          <w:left w:w="0" w:type="dxa"/>
          <w:bottom w:w="0" w:type="dxa"/>
          <w:right w:w="0" w:type="dxa"/>
        </w:tblCellMar>
      </w:tblPr>
      <w:tr>
        <w:trPr>
          <w:trHeight w:val="224"/>
        </w:trPr>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5"/>
          </w:tcPr>
          <w:p>
            <w:pPr>
              <w:ind w:left="180"/>
              <w:spacing w:after="0"/>
              <w:rPr>
                <w:sz w:val="20"/>
                <w:szCs w:val="20"/>
                <w:color w:val="auto"/>
              </w:rPr>
            </w:pPr>
            <w:r>
              <w:rPr>
                <w:rFonts w:ascii="Arial" w:cs="Arial" w:eastAsia="Arial" w:hAnsi="Arial"/>
                <w:sz w:val="17"/>
                <w:szCs w:val="17"/>
                <w:color w:val="auto"/>
              </w:rPr>
              <w:t>As of December 31,</w:t>
            </w:r>
          </w:p>
        </w:tc>
      </w:tr>
      <w:tr>
        <w:trPr>
          <w:trHeight w:val="212"/>
        </w:trPr>
        <w:tc>
          <w:tcPr>
            <w:tcW w:w="7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Israel</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218,810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215,511</w:t>
            </w:r>
          </w:p>
        </w:tc>
        <w:tc>
          <w:tcPr>
            <w:tcW w:w="80" w:type="dxa"/>
            <w:vAlign w:val="bottom"/>
            <w:shd w:val="clear" w:color="auto" w:fill="CCEEFF"/>
          </w:tcPr>
          <w:p>
            <w:pPr>
              <w:spacing w:after="0"/>
              <w:rPr>
                <w:sz w:val="17"/>
                <w:szCs w:val="17"/>
                <w:color w:val="auto"/>
              </w:rPr>
            </w:pPr>
          </w:p>
        </w:tc>
      </w:tr>
      <w:tr>
        <w:trPr>
          <w:trHeight w:val="206"/>
        </w:trPr>
        <w:tc>
          <w:tcPr>
            <w:tcW w:w="7560" w:type="dxa"/>
            <w:vAlign w:val="bottom"/>
          </w:tcPr>
          <w:p>
            <w:pPr>
              <w:spacing w:after="0"/>
              <w:rPr>
                <w:sz w:val="20"/>
                <w:szCs w:val="20"/>
                <w:color w:val="auto"/>
              </w:rPr>
            </w:pPr>
            <w:r>
              <w:rPr>
                <w:rFonts w:ascii="Arial" w:cs="Arial" w:eastAsia="Arial" w:hAnsi="Arial"/>
                <w:sz w:val="17"/>
                <w:szCs w:val="17"/>
                <w:color w:val="auto"/>
              </w:rPr>
              <w:t>United States</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214,393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203,501</w:t>
            </w:r>
          </w:p>
        </w:tc>
      </w:tr>
      <w:tr>
        <w:trPr>
          <w:trHeight w:val="212"/>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Japan</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201,921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197,674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7560" w:type="dxa"/>
            <w:vAlign w:val="bottom"/>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635,124</w:t>
            </w:r>
          </w:p>
        </w:tc>
        <w:tc>
          <w:tcPr>
            <w:tcW w:w="2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616,686</w:t>
            </w:r>
          </w:p>
        </w:tc>
      </w:tr>
      <w:tr>
        <w:trPr>
          <w:trHeight w:val="20"/>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9" w:lineRule="exact"/>
        <w:rPr>
          <w:sz w:val="20"/>
          <w:szCs w:val="20"/>
          <w:color w:val="auto"/>
        </w:rPr>
      </w:pPr>
    </w:p>
    <w:p>
      <w:pPr>
        <w:ind w:left="1760" w:hanging="522"/>
        <w:spacing w:after="0"/>
        <w:tabs>
          <w:tab w:leader="none" w:pos="176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Major Customers - as Percentage of Net Accounts Receivable Balance</w:t>
      </w:r>
    </w:p>
    <w:p>
      <w:pPr>
        <w:spacing w:after="0" w:line="273"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Accounts receivable from significant customers representing 10% or more of the net accounts receivable balance as of December 31, 2017 and 2016, consist of the following customers:</w:t>
      </w:r>
    </w:p>
    <w:p>
      <w:pPr>
        <w:spacing w:after="0" w:line="165" w:lineRule="exact"/>
        <w:rPr>
          <w:sz w:val="20"/>
          <w:szCs w:val="20"/>
          <w:color w:val="auto"/>
        </w:rPr>
      </w:pPr>
    </w:p>
    <w:p>
      <w:pPr>
        <w:ind w:left="9500"/>
        <w:spacing w:after="0"/>
        <w:rPr>
          <w:sz w:val="20"/>
          <w:szCs w:val="20"/>
          <w:color w:val="auto"/>
        </w:rPr>
      </w:pPr>
      <w:r>
        <w:rPr>
          <w:rFonts w:ascii="Arial" w:cs="Arial" w:eastAsia="Arial" w:hAnsi="Arial"/>
          <w:sz w:val="17"/>
          <w:szCs w:val="17"/>
          <w:color w:val="auto"/>
        </w:rPr>
        <w:t>As of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100" w:type="dxa"/>
            <w:vAlign w:val="bottom"/>
            <w:gridSpan w:val="2"/>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2017</w:t>
            </w:r>
          </w:p>
        </w:tc>
        <w:tc>
          <w:tcPr>
            <w:tcW w:w="2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2016</w:t>
            </w:r>
          </w:p>
        </w:tc>
        <w:tc>
          <w:tcPr>
            <w:tcW w:w="140" w:type="dxa"/>
            <w:vAlign w:val="bottom"/>
          </w:tcPr>
          <w:p>
            <w:pPr>
              <w:spacing w:after="0"/>
              <w:rPr>
                <w:sz w:val="19"/>
                <w:szCs w:val="19"/>
                <w:color w:val="auto"/>
              </w:rPr>
            </w:pPr>
          </w:p>
        </w:tc>
      </w:tr>
      <w:tr>
        <w:trPr>
          <w:trHeight w:val="206"/>
        </w:trPr>
        <w:tc>
          <w:tcPr>
            <w:tcW w:w="1620" w:type="dxa"/>
            <w:vAlign w:val="bottom"/>
          </w:tcPr>
          <w:p>
            <w:pPr>
              <w:spacing w:after="0"/>
              <w:rPr>
                <w:sz w:val="17"/>
                <w:szCs w:val="17"/>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7"/>
                <w:szCs w:val="17"/>
                <w:color w:val="auto"/>
              </w:rPr>
              <w:t>Customer 1</w:t>
            </w:r>
          </w:p>
        </w:tc>
        <w:tc>
          <w:tcPr>
            <w:tcW w:w="7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7"/>
        </w:trPr>
        <w:tc>
          <w:tcPr>
            <w:tcW w:w="1620" w:type="dxa"/>
            <w:vAlign w:val="bottom"/>
          </w:tcPr>
          <w:p>
            <w:pPr>
              <w:spacing w:after="0"/>
              <w:rPr>
                <w:sz w:val="18"/>
                <w:szCs w:val="18"/>
                <w:color w:val="auto"/>
              </w:rPr>
            </w:pPr>
          </w:p>
        </w:tc>
        <w:tc>
          <w:tcPr>
            <w:tcW w:w="8200" w:type="dxa"/>
            <w:vAlign w:val="bottom"/>
            <w:gridSpan w:val="2"/>
          </w:tcPr>
          <w:p>
            <w:pPr>
              <w:spacing w:after="0"/>
              <w:rPr>
                <w:sz w:val="20"/>
                <w:szCs w:val="20"/>
                <w:color w:val="auto"/>
              </w:rPr>
            </w:pPr>
            <w:r>
              <w:rPr>
                <w:rFonts w:ascii="Arial" w:cs="Arial" w:eastAsia="Arial" w:hAnsi="Arial"/>
                <w:sz w:val="17"/>
                <w:szCs w:val="17"/>
                <w:color w:val="auto"/>
              </w:rPr>
              <w:t>Customer 2</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15%</w:t>
            </w:r>
          </w:p>
        </w:tc>
      </w:tr>
      <w:tr>
        <w:trPr>
          <w:trHeight w:val="875"/>
        </w:trPr>
        <w:tc>
          <w:tcPr>
            <w:tcW w:w="9100" w:type="dxa"/>
            <w:vAlign w:val="bottom"/>
            <w:gridSpan w:val="2"/>
          </w:tcPr>
          <w:p>
            <w:pPr>
              <w:jc w:val="right"/>
              <w:ind w:right="3114"/>
              <w:spacing w:after="0"/>
              <w:rPr>
                <w:sz w:val="20"/>
                <w:szCs w:val="20"/>
                <w:color w:val="auto"/>
              </w:rPr>
            </w:pPr>
            <w:r>
              <w:rPr>
                <w:rFonts w:ascii="Arial" w:cs="Arial" w:eastAsia="Arial" w:hAnsi="Arial"/>
                <w:sz w:val="17"/>
                <w:szCs w:val="17"/>
                <w:color w:val="auto"/>
              </w:rPr>
              <w:t>- 48 -</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9"/>
        </w:trPr>
        <w:tc>
          <w:tcPr>
            <w:tcW w:w="1620" w:type="dxa"/>
            <w:vAlign w:val="bottom"/>
            <w:tcBorders>
              <w:bottom w:val="single" w:sz="8" w:color="auto"/>
            </w:tcBorders>
          </w:tcPr>
          <w:p>
            <w:pPr>
              <w:spacing w:after="0"/>
              <w:rPr>
                <w:sz w:val="5"/>
                <w:szCs w:val="5"/>
                <w:color w:val="auto"/>
              </w:rPr>
            </w:pPr>
          </w:p>
        </w:tc>
        <w:tc>
          <w:tcPr>
            <w:tcW w:w="74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17</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INFORMATION ON GEOGRAPHIC AREAS AND MAJOR CUSTOMERS (cont.)</w:t>
      </w:r>
    </w:p>
    <w:p>
      <w:pPr>
        <w:spacing w:after="0" w:line="319" w:lineRule="exact"/>
        <w:rPr>
          <w:sz w:val="20"/>
          <w:szCs w:val="20"/>
          <w:color w:val="auto"/>
        </w:rPr>
      </w:pPr>
    </w:p>
    <w:p>
      <w:pPr>
        <w:ind w:left="1920" w:hanging="682"/>
        <w:spacing w:after="0"/>
        <w:tabs>
          <w:tab w:leader="none" w:pos="192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Major Customers - as Percentage of Total Revenue</w:t>
      </w:r>
    </w:p>
    <w:p>
      <w:pPr>
        <w:spacing w:after="0" w:line="286" w:lineRule="exact"/>
        <w:rPr>
          <w:sz w:val="20"/>
          <w:szCs w:val="20"/>
          <w:color w:val="auto"/>
        </w:rPr>
      </w:pPr>
    </w:p>
    <w:p>
      <w:pPr>
        <w:ind w:left="8700"/>
        <w:spacing w:after="0"/>
        <w:rPr>
          <w:sz w:val="20"/>
          <w:szCs w:val="20"/>
          <w:color w:val="auto"/>
        </w:rPr>
      </w:pPr>
      <w:r>
        <w:rPr>
          <w:rFonts w:ascii="Arial" w:cs="Arial" w:eastAsia="Arial" w:hAnsi="Arial"/>
          <w:sz w:val="17"/>
          <w:szCs w:val="17"/>
          <w:color w:val="auto"/>
        </w:rPr>
        <w:t>Year ended December 31,</w:t>
      </w:r>
    </w:p>
    <w:p>
      <w:pPr>
        <w:spacing w:after="0" w:line="21" w:lineRule="exact"/>
        <w:rPr>
          <w:sz w:val="20"/>
          <w:szCs w:val="20"/>
          <w:color w:val="auto"/>
        </w:rPr>
      </w:pPr>
    </w:p>
    <w:tbl>
      <w:tblPr>
        <w:tblLayout w:type="fixed"/>
        <w:tblInd w:w="1620" w:type="dxa"/>
        <w:tblCellMar>
          <w:top w:w="0" w:type="dxa"/>
          <w:left w:w="0" w:type="dxa"/>
          <w:bottom w:w="0" w:type="dxa"/>
          <w:right w:w="0" w:type="dxa"/>
        </w:tblCellMar>
      </w:tblPr>
      <w:tr>
        <w:trPr>
          <w:trHeight w:val="219"/>
        </w:trPr>
        <w:tc>
          <w:tcPr>
            <w:tcW w:w="6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2017</w:t>
            </w:r>
          </w:p>
        </w:tc>
        <w:tc>
          <w:tcPr>
            <w:tcW w:w="2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2016</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2015</w:t>
            </w:r>
          </w:p>
        </w:tc>
        <w:tc>
          <w:tcPr>
            <w:tcW w:w="140" w:type="dxa"/>
            <w:vAlign w:val="bottom"/>
          </w:tcPr>
          <w:p>
            <w:pPr>
              <w:spacing w:after="0"/>
              <w:rPr>
                <w:sz w:val="19"/>
                <w:szCs w:val="19"/>
                <w:color w:val="auto"/>
              </w:rPr>
            </w:pPr>
          </w:p>
        </w:tc>
      </w:tr>
      <w:tr>
        <w:trPr>
          <w:trHeight w:val="206"/>
        </w:trPr>
        <w:tc>
          <w:tcPr>
            <w:tcW w:w="6260" w:type="dxa"/>
            <w:vAlign w:val="bottom"/>
            <w:shd w:val="clear" w:color="auto" w:fill="CCEEFF"/>
          </w:tcPr>
          <w:p>
            <w:pPr>
              <w:spacing w:after="0"/>
              <w:rPr>
                <w:sz w:val="20"/>
                <w:szCs w:val="20"/>
                <w:color w:val="auto"/>
              </w:rPr>
            </w:pPr>
            <w:r>
              <w:rPr>
                <w:rFonts w:ascii="Arial" w:cs="Arial" w:eastAsia="Arial" w:hAnsi="Arial"/>
                <w:sz w:val="17"/>
                <w:szCs w:val="17"/>
                <w:color w:val="auto"/>
              </w:rPr>
              <w:t>Customer A</w:t>
            </w:r>
          </w:p>
        </w:tc>
        <w:tc>
          <w:tcPr>
            <w:tcW w:w="7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30%</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35%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06"/>
        </w:trPr>
        <w:tc>
          <w:tcPr>
            <w:tcW w:w="7000" w:type="dxa"/>
            <w:vAlign w:val="bottom"/>
            <w:gridSpan w:val="2"/>
          </w:tcPr>
          <w:p>
            <w:pPr>
              <w:spacing w:after="0"/>
              <w:rPr>
                <w:sz w:val="20"/>
                <w:szCs w:val="20"/>
                <w:color w:val="auto"/>
              </w:rPr>
            </w:pPr>
            <w:r>
              <w:rPr>
                <w:rFonts w:ascii="Arial" w:cs="Arial" w:eastAsia="Arial" w:hAnsi="Arial"/>
                <w:sz w:val="17"/>
                <w:szCs w:val="17"/>
                <w:color w:val="auto"/>
              </w:rPr>
              <w:t>Customer B</w:t>
            </w:r>
          </w:p>
        </w:tc>
        <w:tc>
          <w:tcPr>
            <w:tcW w:w="480" w:type="dxa"/>
            <w:vAlign w:val="bottom"/>
            <w:gridSpan w:val="2"/>
          </w:tcPr>
          <w:p>
            <w:pPr>
              <w:ind w:left="60"/>
              <w:spacing w:after="0"/>
              <w:rPr>
                <w:sz w:val="20"/>
                <w:szCs w:val="20"/>
                <w:color w:val="auto"/>
              </w:rPr>
            </w:pPr>
            <w:r>
              <w:rPr>
                <w:rFonts w:ascii="Arial" w:cs="Arial" w:eastAsia="Arial" w:hAnsi="Arial"/>
                <w:sz w:val="17"/>
                <w:szCs w:val="17"/>
                <w:color w:val="auto"/>
              </w:rPr>
              <w:t>12</w:t>
            </w:r>
          </w:p>
        </w:tc>
        <w:tc>
          <w:tcPr>
            <w:tcW w:w="960" w:type="dxa"/>
            <w:vAlign w:val="bottom"/>
          </w:tcPr>
          <w:p>
            <w:pPr>
              <w:ind w:left="800"/>
              <w:spacing w:after="0"/>
              <w:rPr>
                <w:sz w:val="20"/>
                <w:szCs w:val="20"/>
                <w:color w:val="auto"/>
              </w:rPr>
            </w:pPr>
            <w:r>
              <w:rPr>
                <w:rFonts w:ascii="Arial" w:cs="Arial" w:eastAsia="Arial" w:hAnsi="Arial"/>
                <w:sz w:val="17"/>
                <w:szCs w:val="17"/>
                <w:color w:val="auto"/>
                <w:w w:val="73"/>
              </w:rPr>
              <w:t>12</w:t>
            </w:r>
          </w:p>
        </w:tc>
        <w:tc>
          <w:tcPr>
            <w:tcW w:w="2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r>
      <w:tr>
        <w:trPr>
          <w:trHeight w:val="206"/>
        </w:trPr>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customers *</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15</w:t>
            </w:r>
          </w:p>
        </w:tc>
        <w:tc>
          <w:tcPr>
            <w:tcW w:w="960" w:type="dxa"/>
            <w:vAlign w:val="bottom"/>
            <w:shd w:val="clear" w:color="auto" w:fill="CCEEFF"/>
          </w:tcPr>
          <w:p>
            <w:pPr>
              <w:ind w:left="800"/>
              <w:spacing w:after="0"/>
              <w:rPr>
                <w:sz w:val="20"/>
                <w:szCs w:val="20"/>
                <w:color w:val="auto"/>
              </w:rPr>
            </w:pPr>
            <w:r>
              <w:rPr>
                <w:rFonts w:ascii="Arial" w:cs="Arial" w:eastAsia="Arial" w:hAnsi="Arial"/>
                <w:sz w:val="17"/>
                <w:szCs w:val="17"/>
                <w:color w:val="auto"/>
                <w:w w:val="73"/>
              </w:rPr>
              <w:t>14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r>
    </w:tbl>
    <w:p>
      <w:pPr>
        <w:spacing w:after="0" w:line="245" w:lineRule="exact"/>
        <w:rPr>
          <w:sz w:val="20"/>
          <w:szCs w:val="20"/>
          <w:color w:val="auto"/>
        </w:rPr>
      </w:pPr>
    </w:p>
    <w:p>
      <w:pPr>
        <w:ind w:left="2060" w:hanging="282"/>
        <w:spacing w:after="0" w:line="278" w:lineRule="auto"/>
        <w:tabs>
          <w:tab w:leader="none" w:pos="2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sales to two customers accounted for 7% and 8% of sales during 2017, to two customers accounted for 5% and 9% of sales during 2016 and to one customer accounted for 6% during 2015.</w:t>
      </w:r>
    </w:p>
    <w:p>
      <w:pPr>
        <w:spacing w:after="0" w:line="24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18</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INTEREST EXPENSES, NET AND OTHER FINANCING EXPENSES, NET</w:t>
      </w:r>
    </w:p>
    <w:p>
      <w:pPr>
        <w:spacing w:after="0" w:line="280" w:lineRule="exact"/>
        <w:rPr>
          <w:sz w:val="20"/>
          <w:szCs w:val="20"/>
          <w:color w:val="auto"/>
        </w:rPr>
      </w:pPr>
    </w:p>
    <w:p>
      <w:pPr>
        <w:ind w:left="1780" w:hanging="542"/>
        <w:spacing w:after="0"/>
        <w:tabs>
          <w:tab w:leader="none" w:pos="178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Interest Expense, Net</w:t>
      </w:r>
    </w:p>
    <w:p>
      <w:pPr>
        <w:spacing w:after="0" w:line="273"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Interest expense net, for the years ended December 31, 2017, 2016 and 2015 were $7,840, $11,857 and $13,179, respectively.</w:t>
      </w:r>
    </w:p>
    <w:p>
      <w:pPr>
        <w:spacing w:after="0" w:line="261" w:lineRule="exact"/>
        <w:rPr>
          <w:rFonts w:ascii="Arial" w:cs="Arial" w:eastAsia="Arial" w:hAnsi="Arial"/>
          <w:sz w:val="17"/>
          <w:szCs w:val="17"/>
          <w:b w:val="1"/>
          <w:bCs w:val="1"/>
          <w:color w:val="auto"/>
        </w:rPr>
      </w:pPr>
    </w:p>
    <w:p>
      <w:pPr>
        <w:ind w:left="1780" w:hanging="542"/>
        <w:spacing w:after="0"/>
        <w:tabs>
          <w:tab w:leader="none" w:pos="178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Other Financing Expense, Net</w:t>
      </w:r>
    </w:p>
    <w:p>
      <w:pPr>
        <w:spacing w:after="0" w:line="273"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Other financing expense, net consists of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color w:val="auto"/>
              </w:rPr>
              <w:t>Year ended December 31,</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16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2016</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20"/>
                <w:szCs w:val="20"/>
                <w:color w:val="auto"/>
              </w:rPr>
            </w:pPr>
          </w:p>
        </w:tc>
      </w:tr>
      <w:tr>
        <w:trPr>
          <w:trHeight w:val="206"/>
        </w:trPr>
        <w:tc>
          <w:tcPr>
            <w:tcW w:w="16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Jazz Notes amortization</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3,015</w:t>
            </w:r>
          </w:p>
        </w:tc>
        <w:tc>
          <w:tcPr>
            <w:tcW w:w="80" w:type="dxa"/>
            <w:vAlign w:val="bottom"/>
            <w:shd w:val="clear" w:color="auto" w:fill="CCEEFF"/>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Changes in fair value (total level 3 changes in fair value of bank loans)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7,900</w:t>
            </w:r>
          </w:p>
        </w:tc>
        <w:tc>
          <w:tcPr>
            <w:tcW w:w="2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16,092</w:t>
            </w:r>
          </w:p>
        </w:tc>
      </w:tr>
      <w:tr>
        <w:trPr>
          <w:trHeight w:val="206"/>
        </w:trPr>
        <w:tc>
          <w:tcPr>
            <w:tcW w:w="16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Series G Debentures amortization, related rate differences and hedging results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1,901</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Debentures Series F accretion and amortization including accelerated accretion</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150</w:t>
            </w:r>
          </w:p>
        </w:tc>
        <w:tc>
          <w:tcPr>
            <w:tcW w:w="2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87,973</w:t>
            </w:r>
          </w:p>
        </w:tc>
      </w:tr>
      <w:tr>
        <w:trPr>
          <w:trHeight w:val="206"/>
        </w:trPr>
        <w:tc>
          <w:tcPr>
            <w:tcW w:w="16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Exchange rate differences</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(3,768)</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1,056</w:t>
            </w:r>
          </w:p>
        </w:tc>
      </w:tr>
      <w:tr>
        <w:trPr>
          <w:trHeight w:val="212"/>
        </w:trPr>
        <w:tc>
          <w:tcPr>
            <w:tcW w:w="16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Others</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633</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2,738</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1,794</w:t>
            </w:r>
          </w:p>
        </w:tc>
      </w:tr>
      <w:tr>
        <w:trPr>
          <w:trHeight w:val="246"/>
        </w:trPr>
        <w:tc>
          <w:tcPr>
            <w:tcW w:w="16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12,492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109,930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620"/>
        </w:trPr>
        <w:tc>
          <w:tcPr>
            <w:tcW w:w="8000" w:type="dxa"/>
            <w:vAlign w:val="bottom"/>
            <w:gridSpan w:val="2"/>
          </w:tcPr>
          <w:p>
            <w:pPr>
              <w:jc w:val="right"/>
              <w:ind w:right="2014"/>
              <w:spacing w:after="0"/>
              <w:rPr>
                <w:sz w:val="20"/>
                <w:szCs w:val="20"/>
                <w:color w:val="auto"/>
              </w:rPr>
            </w:pPr>
            <w:r>
              <w:rPr>
                <w:rFonts w:ascii="Arial" w:cs="Arial" w:eastAsia="Arial" w:hAnsi="Arial"/>
                <w:sz w:val="17"/>
                <w:szCs w:val="17"/>
                <w:color w:val="auto"/>
              </w:rPr>
              <w:t>- 49 -</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
        </w:trPr>
        <w:tc>
          <w:tcPr>
            <w:tcW w:w="1620" w:type="dxa"/>
            <w:vAlign w:val="bottom"/>
            <w:tcBorders>
              <w:bottom w:val="single" w:sz="8" w:color="auto"/>
            </w:tcBorders>
          </w:tcPr>
          <w:p>
            <w:pPr>
              <w:spacing w:after="0"/>
              <w:rPr>
                <w:sz w:val="5"/>
                <w:szCs w:val="5"/>
                <w:color w:val="auto"/>
              </w:rPr>
            </w:pPr>
          </w:p>
        </w:tc>
        <w:tc>
          <w:tcPr>
            <w:tcW w:w="63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19</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INCOME TAXES</w:t>
      </w:r>
    </w:p>
    <w:p>
      <w:pPr>
        <w:spacing w:after="0" w:line="280" w:lineRule="exact"/>
        <w:rPr>
          <w:sz w:val="20"/>
          <w:szCs w:val="20"/>
          <w:color w:val="auto"/>
        </w:rPr>
      </w:pPr>
    </w:p>
    <w:p>
      <w:pPr>
        <w:ind w:left="1780" w:hanging="542"/>
        <w:spacing w:after="0"/>
        <w:tabs>
          <w:tab w:leader="none" w:pos="178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Tower Approved Enterprise Status and Statutory Income Rates</w:t>
      </w:r>
    </w:p>
    <w:p>
      <w:pPr>
        <w:spacing w:after="0" w:line="273"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Substantially all of Tower’s existing facilities and other capital investments made through 2012 have been granted approved enterprise status, as provided by the Law for the Encouragement of Capital Investment (“Investments Law”).</w:t>
      </w:r>
    </w:p>
    <w:p>
      <w:pPr>
        <w:spacing w:after="0" w:line="216" w:lineRule="exact"/>
        <w:rPr>
          <w:rFonts w:ascii="Arial" w:cs="Arial" w:eastAsia="Arial" w:hAnsi="Arial"/>
          <w:sz w:val="17"/>
          <w:szCs w:val="17"/>
          <w:b w:val="1"/>
          <w:bCs w:val="1"/>
          <w:color w:val="auto"/>
        </w:rPr>
      </w:pPr>
    </w:p>
    <w:p>
      <w:pPr>
        <w:ind w:left="1780"/>
        <w:spacing w:after="0" w:line="347" w:lineRule="auto"/>
        <w:rPr>
          <w:rFonts w:ascii="Arial" w:cs="Arial" w:eastAsia="Arial" w:hAnsi="Arial"/>
          <w:sz w:val="17"/>
          <w:szCs w:val="17"/>
          <w:b w:val="1"/>
          <w:bCs w:val="1"/>
          <w:color w:val="auto"/>
        </w:rPr>
      </w:pPr>
      <w:r>
        <w:rPr>
          <w:rFonts w:ascii="Arial" w:cs="Arial" w:eastAsia="Arial" w:hAnsi="Arial"/>
          <w:sz w:val="15"/>
          <w:szCs w:val="15"/>
          <w:color w:val="auto"/>
        </w:rPr>
        <w:t>Tower as an industrial company located in Migdal Ha’emek may elect the Preferred Enterprise regime to apply to it under the Investment Law. The election is irrevocable. Under the Preferred Enterprise Regime, Towers entire preferred income is subject to the tax rate of 7.5%.</w:t>
      </w:r>
    </w:p>
    <w:p>
      <w:pPr>
        <w:spacing w:after="0" w:line="118" w:lineRule="exact"/>
        <w:rPr>
          <w:rFonts w:ascii="Arial" w:cs="Arial" w:eastAsia="Arial" w:hAnsi="Arial"/>
          <w:sz w:val="17"/>
          <w:szCs w:val="17"/>
          <w:b w:val="1"/>
          <w:bCs w:val="1"/>
          <w:color w:val="auto"/>
        </w:rPr>
      </w:pPr>
    </w:p>
    <w:p>
      <w:pPr>
        <w:jc w:val="both"/>
        <w:ind w:left="178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Income not eligible for Preferred Enterprise benefits is taxed at the regular corporate tax rate, which was 25% in 2016 and 26.5% in 2015 and 2014. Under an Amendment to the Income Tax Ordinance enacted in December 2016 the regular corporate tax rate was reduced to 24% in 2017 and 23% in 2018 and thereafter.</w:t>
      </w:r>
    </w:p>
    <w:p>
      <w:pPr>
        <w:spacing w:after="0" w:line="221" w:lineRule="exact"/>
        <w:rPr>
          <w:rFonts w:ascii="Arial" w:cs="Arial" w:eastAsia="Arial" w:hAnsi="Arial"/>
          <w:sz w:val="17"/>
          <w:szCs w:val="17"/>
          <w:b w:val="1"/>
          <w:bCs w:val="1"/>
          <w:color w:val="auto"/>
        </w:rPr>
      </w:pPr>
    </w:p>
    <w:p>
      <w:pPr>
        <w:ind w:left="1820" w:hanging="582"/>
        <w:spacing w:after="0"/>
        <w:tabs>
          <w:tab w:leader="none" w:pos="182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 Provision</w:t>
      </w:r>
    </w:p>
    <w:p>
      <w:pPr>
        <w:spacing w:after="0" w:line="222" w:lineRule="exact"/>
        <w:rPr>
          <w:sz w:val="20"/>
          <w:szCs w:val="20"/>
          <w:color w:val="auto"/>
        </w:rPr>
      </w:pPr>
    </w:p>
    <w:tbl>
      <w:tblPr>
        <w:tblLayout w:type="fixed"/>
        <w:tblInd w:w="1620" w:type="dxa"/>
        <w:tblCellMar>
          <w:top w:w="0" w:type="dxa"/>
          <w:left w:w="0" w:type="dxa"/>
          <w:bottom w:w="0" w:type="dxa"/>
          <w:right w:w="0" w:type="dxa"/>
        </w:tblCellMar>
      </w:tblPr>
      <w:tr>
        <w:trPr>
          <w:trHeight w:val="217"/>
        </w:trPr>
        <w:tc>
          <w:tcPr>
            <w:tcW w:w="6380" w:type="dxa"/>
            <w:vAlign w:val="bottom"/>
          </w:tcPr>
          <w:p>
            <w:pPr>
              <w:ind w:left="160"/>
              <w:spacing w:after="0"/>
              <w:rPr>
                <w:sz w:val="20"/>
                <w:szCs w:val="20"/>
                <w:color w:val="auto"/>
              </w:rPr>
            </w:pPr>
            <w:r>
              <w:rPr>
                <w:rFonts w:ascii="Arial" w:cs="Arial" w:eastAsia="Arial" w:hAnsi="Arial"/>
                <w:sz w:val="17"/>
                <w:szCs w:val="17"/>
                <w:color w:val="auto"/>
              </w:rPr>
              <w:t>The Company’s income tax provision is as follows: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9"/>
        </w:trPr>
        <w:tc>
          <w:tcPr>
            <w:tcW w:w="6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7"/>
                <w:szCs w:val="17"/>
                <w:color w:val="auto"/>
              </w:rPr>
              <w:t>Year ended December 31,</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2"/>
        </w:trPr>
        <w:tc>
          <w:tcPr>
            <w:tcW w:w="6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8"/>
                <w:szCs w:val="18"/>
                <w:color w:val="auto"/>
              </w:rPr>
            </w:pPr>
          </w:p>
        </w:tc>
      </w:tr>
      <w:tr>
        <w:trPr>
          <w:trHeight w:val="206"/>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Current tax expense (benefit):</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6380" w:type="dxa"/>
            <w:vAlign w:val="bottom"/>
          </w:tcPr>
          <w:p>
            <w:pPr>
              <w:ind w:left="80"/>
              <w:spacing w:after="0"/>
              <w:rPr>
                <w:sz w:val="20"/>
                <w:szCs w:val="20"/>
                <w:color w:val="auto"/>
              </w:rPr>
            </w:pPr>
            <w:r>
              <w:rPr>
                <w:rFonts w:ascii="Arial" w:cs="Arial" w:eastAsia="Arial" w:hAnsi="Arial"/>
                <w:sz w:val="17"/>
                <w:szCs w:val="17"/>
                <w:color w:val="auto"/>
              </w:rPr>
              <w:t>Local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3,622</w:t>
            </w:r>
          </w:p>
        </w:tc>
        <w:tc>
          <w:tcPr>
            <w:tcW w:w="120" w:type="dxa"/>
            <w:vAlign w:val="bottom"/>
          </w:tcPr>
          <w:p>
            <w:pPr>
              <w:spacing w:after="0"/>
              <w:rPr>
                <w:sz w:val="17"/>
                <w:szCs w:val="17"/>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6"/>
        </w:trPr>
        <w:tc>
          <w:tcPr>
            <w:tcW w:w="6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Foreign (*)</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5,948</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(8,473)</w:t>
            </w:r>
          </w:p>
        </w:tc>
      </w:tr>
      <w:tr>
        <w:trPr>
          <w:trHeight w:val="231"/>
        </w:trPr>
        <w:tc>
          <w:tcPr>
            <w:tcW w:w="6380" w:type="dxa"/>
            <w:vAlign w:val="bottom"/>
          </w:tcPr>
          <w:p>
            <w:pPr>
              <w:spacing w:after="0"/>
              <w:rPr>
                <w:sz w:val="20"/>
                <w:szCs w:val="20"/>
                <w:color w:val="auto"/>
              </w:rPr>
            </w:pPr>
            <w:r>
              <w:rPr>
                <w:rFonts w:ascii="Arial" w:cs="Arial" w:eastAsia="Arial" w:hAnsi="Arial"/>
                <w:sz w:val="17"/>
                <w:szCs w:val="17"/>
                <w:color w:val="auto"/>
              </w:rPr>
              <w:t>Deferred tax expense (benefit):</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7"/>
        </w:trPr>
        <w:tc>
          <w:tcPr>
            <w:tcW w:w="6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Local (see F below)</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(82,370)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12"/>
        </w:trPr>
        <w:tc>
          <w:tcPr>
            <w:tcW w:w="6380" w:type="dxa"/>
            <w:vAlign w:val="bottom"/>
          </w:tcPr>
          <w:p>
            <w:pPr>
              <w:ind w:left="80"/>
              <w:spacing w:after="0"/>
              <w:rPr>
                <w:sz w:val="20"/>
                <w:szCs w:val="20"/>
                <w:color w:val="auto"/>
              </w:rPr>
            </w:pPr>
            <w:r>
              <w:rPr>
                <w:rFonts w:ascii="Arial" w:cs="Arial" w:eastAsia="Arial" w:hAnsi="Arial"/>
                <w:sz w:val="17"/>
                <w:szCs w:val="17"/>
                <w:color w:val="auto"/>
              </w:rPr>
              <w:t>Foreign(*) (see E below)</w:t>
            </w: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(27,210)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(4,516)</w:t>
            </w: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(3,805)</w:t>
            </w:r>
          </w:p>
        </w:tc>
      </w:tr>
      <w:tr>
        <w:trPr>
          <w:trHeight w:val="246"/>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(99,888)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(12,278)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60"/>
        </w:trPr>
        <w:tc>
          <w:tcPr>
            <w:tcW w:w="6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7"/>
                <w:szCs w:val="17"/>
                <w:color w:val="auto"/>
              </w:rPr>
              <w:t>Year ended December 31,</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2"/>
        </w:trPr>
        <w:tc>
          <w:tcPr>
            <w:tcW w:w="6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8"/>
                <w:szCs w:val="18"/>
                <w:color w:val="auto"/>
              </w:rPr>
            </w:pPr>
          </w:p>
        </w:tc>
      </w:tr>
      <w:tr>
        <w:trPr>
          <w:trHeight w:val="206"/>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Profit (loss) before taxes:</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6380" w:type="dxa"/>
            <w:vAlign w:val="bottom"/>
          </w:tcPr>
          <w:p>
            <w:pPr>
              <w:spacing w:after="0"/>
              <w:rPr>
                <w:sz w:val="20"/>
                <w:szCs w:val="20"/>
                <w:color w:val="auto"/>
              </w:rPr>
            </w:pPr>
            <w:r>
              <w:rPr>
                <w:rFonts w:ascii="Arial" w:cs="Arial" w:eastAsia="Arial" w:hAnsi="Arial"/>
                <w:sz w:val="17"/>
                <w:szCs w:val="17"/>
                <w:color w:val="auto"/>
              </w:rPr>
              <w:t>Domestic</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198,008</w:t>
            </w:r>
          </w:p>
        </w:tc>
        <w:tc>
          <w:tcPr>
            <w:tcW w:w="120" w:type="dxa"/>
            <w:vAlign w:val="bottom"/>
          </w:tcPr>
          <w:p>
            <w:pPr>
              <w:spacing w:after="0"/>
              <w:rPr>
                <w:sz w:val="17"/>
                <w:szCs w:val="17"/>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168,668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(59,797)</w:t>
            </w:r>
          </w:p>
        </w:tc>
      </w:tr>
      <w:tr>
        <w:trPr>
          <w:trHeight w:val="212"/>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Foreign (*)</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41,930</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18,392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6380" w:type="dxa"/>
            <w:vAlign w:val="bottom"/>
          </w:tcPr>
          <w:p>
            <w:pPr>
              <w:spacing w:after="0"/>
              <w:rPr>
                <w:sz w:val="20"/>
                <w:szCs w:val="20"/>
                <w:color w:val="auto"/>
              </w:rPr>
            </w:pPr>
            <w:r>
              <w:rPr>
                <w:rFonts w:ascii="Arial" w:cs="Arial" w:eastAsia="Arial" w:hAnsi="Arial"/>
                <w:sz w:val="17"/>
                <w:szCs w:val="17"/>
                <w:color w:val="auto"/>
              </w:rPr>
              <w:t>Total profit (loss) before taxes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201,768</w:t>
            </w:r>
          </w:p>
        </w:tc>
        <w:tc>
          <w:tcPr>
            <w:tcW w:w="120" w:type="dxa"/>
            <w:vAlign w:val="bottom"/>
          </w:tcPr>
          <w:p>
            <w:pPr>
              <w:spacing w:after="0"/>
              <w:rPr>
                <w:sz w:val="17"/>
                <w:szCs w:val="17"/>
                <w:color w:val="auto"/>
              </w:rPr>
            </w:pPr>
          </w:p>
        </w:tc>
        <w:tc>
          <w:tcPr>
            <w:tcW w:w="2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210,598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(41,405)</w:t>
            </w:r>
          </w:p>
        </w:tc>
      </w:tr>
      <w:tr>
        <w:trPr>
          <w:trHeight w:val="20"/>
        </w:trPr>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left="2020" w:hanging="242"/>
        <w:spacing w:after="0"/>
        <w:tabs>
          <w:tab w:leader="none" w:pos="2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Foreign are provisions related to Tower’s Japanese and US subsidiaries.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2" w:lineRule="exact"/>
        <w:rPr>
          <w:rFonts w:ascii="Arial" w:cs="Arial" w:eastAsia="Arial" w:hAnsi="Arial"/>
          <w:sz w:val="17"/>
          <w:szCs w:val="17"/>
          <w:color w:val="auto"/>
        </w:rPr>
      </w:pPr>
    </w:p>
    <w:p>
      <w:pPr>
        <w:ind w:left="5620" w:hanging="92"/>
        <w:spacing w:after="0"/>
        <w:tabs>
          <w:tab w:leader="none" w:pos="5620" w:val="left"/>
        </w:tabs>
        <w:numPr>
          <w:ilvl w:val="1"/>
          <w:numId w:val="53"/>
        </w:numPr>
        <w:rPr>
          <w:rFonts w:ascii="Arial" w:cs="Arial" w:eastAsia="Arial" w:hAnsi="Arial"/>
          <w:sz w:val="17"/>
          <w:szCs w:val="17"/>
          <w:color w:val="auto"/>
        </w:rPr>
      </w:pPr>
      <w:r>
        <w:rPr>
          <w:rFonts w:ascii="Arial" w:cs="Arial" w:eastAsia="Arial" w:hAnsi="Arial"/>
          <w:sz w:val="17"/>
          <w:szCs w:val="17"/>
          <w:color w:val="auto"/>
        </w:rPr>
        <w:t>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19</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6"/>
          <w:szCs w:val="16"/>
          <w:b w:val="1"/>
          <w:bCs w:val="1"/>
          <w:color w:val="auto"/>
        </w:rPr>
        <w:t>INCOME TAXES (cont.)</w:t>
      </w:r>
    </w:p>
    <w:p>
      <w:pPr>
        <w:spacing w:after="0" w:line="229" w:lineRule="exact"/>
        <w:rPr>
          <w:sz w:val="20"/>
          <w:szCs w:val="20"/>
          <w:color w:val="auto"/>
        </w:rPr>
      </w:pPr>
    </w:p>
    <w:p>
      <w:pPr>
        <w:ind w:left="1840" w:hanging="602"/>
        <w:spacing w:after="0"/>
        <w:tabs>
          <w:tab w:leader="none" w:pos="184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Components of Deferred Tax Asset/Liability</w:t>
      </w:r>
    </w:p>
    <w:p>
      <w:pPr>
        <w:spacing w:after="0" w:line="274" w:lineRule="exact"/>
        <w:rPr>
          <w:sz w:val="20"/>
          <w:szCs w:val="20"/>
          <w:color w:val="auto"/>
        </w:rPr>
      </w:pPr>
    </w:p>
    <w:p>
      <w:pPr>
        <w:ind w:left="1780"/>
        <w:spacing w:after="0" w:line="278" w:lineRule="auto"/>
        <w:rPr>
          <w:sz w:val="20"/>
          <w:szCs w:val="20"/>
          <w:color w:val="auto"/>
        </w:rPr>
      </w:pPr>
      <w:r>
        <w:rPr>
          <w:rFonts w:ascii="Arial" w:cs="Arial" w:eastAsia="Arial" w:hAnsi="Arial"/>
          <w:sz w:val="17"/>
          <w:szCs w:val="17"/>
          <w:color w:val="auto"/>
        </w:rPr>
        <w:t>The following is a summary of the components of the deferred tax assets and liabilities reflected in the balance sheets as of the respective dates (*)</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4"/>
        </w:trPr>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5"/>
          </w:tcPr>
          <w:p>
            <w:pPr>
              <w:jc w:val="right"/>
              <w:ind w:right="480"/>
              <w:spacing w:after="0"/>
              <w:rPr>
                <w:sz w:val="20"/>
                <w:szCs w:val="20"/>
                <w:color w:val="auto"/>
              </w:rPr>
            </w:pPr>
            <w:r>
              <w:rPr>
                <w:rFonts w:ascii="Arial" w:cs="Arial" w:eastAsia="Arial" w:hAnsi="Arial"/>
                <w:sz w:val="17"/>
                <w:szCs w:val="17"/>
                <w:color w:val="auto"/>
              </w:rPr>
              <w:t>As of December 31,</w:t>
            </w:r>
          </w:p>
        </w:tc>
      </w:tr>
      <w:tr>
        <w:trPr>
          <w:trHeight w:val="212"/>
        </w:trPr>
        <w:tc>
          <w:tcPr>
            <w:tcW w:w="7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 - current: (**)</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7560" w:type="dxa"/>
            <w:vAlign w:val="bottom"/>
          </w:tcPr>
          <w:p>
            <w:pPr>
              <w:spacing w:after="0"/>
              <w:rPr>
                <w:sz w:val="20"/>
                <w:szCs w:val="20"/>
                <w:color w:val="auto"/>
              </w:rPr>
            </w:pPr>
            <w:r>
              <w:rPr>
                <w:rFonts w:ascii="Arial" w:cs="Arial" w:eastAsia="Arial" w:hAnsi="Arial"/>
                <w:sz w:val="17"/>
                <w:szCs w:val="17"/>
                <w:color w:val="auto"/>
              </w:rPr>
              <w:t>Net operating loss carryforward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797</w:t>
            </w: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Employees benefits and compensation</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3,895</w:t>
            </w:r>
          </w:p>
        </w:tc>
      </w:tr>
      <w:tr>
        <w:trPr>
          <w:trHeight w:val="212"/>
        </w:trPr>
        <w:tc>
          <w:tcPr>
            <w:tcW w:w="7560" w:type="dxa"/>
            <w:vAlign w:val="bottom"/>
          </w:tcPr>
          <w:p>
            <w:pPr>
              <w:spacing w:after="0"/>
              <w:rPr>
                <w:sz w:val="20"/>
                <w:szCs w:val="20"/>
                <w:color w:val="auto"/>
              </w:rPr>
            </w:pPr>
            <w:r>
              <w:rPr>
                <w:rFonts w:ascii="Arial" w:cs="Arial" w:eastAsia="Arial" w:hAnsi="Arial"/>
                <w:sz w:val="17"/>
                <w:szCs w:val="17"/>
                <w:color w:val="auto"/>
              </w:rPr>
              <w:t>Others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5,480</w:t>
            </w:r>
          </w:p>
        </w:tc>
      </w:tr>
      <w:tr>
        <w:trPr>
          <w:trHeight w:val="206"/>
        </w:trPr>
        <w:tc>
          <w:tcPr>
            <w:tcW w:w="75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10,172</w:t>
            </w:r>
          </w:p>
        </w:tc>
        <w:tc>
          <w:tcPr>
            <w:tcW w:w="80" w:type="dxa"/>
            <w:vAlign w:val="bottom"/>
            <w:shd w:val="clear" w:color="auto" w:fill="CCEEFF"/>
          </w:tcPr>
          <w:p>
            <w:pPr>
              <w:spacing w:after="0"/>
              <w:rPr>
                <w:sz w:val="17"/>
                <w:szCs w:val="17"/>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7"/>
                <w:szCs w:val="17"/>
                <w:color w:val="auto"/>
              </w:rPr>
              <w:t>Valuation allowance, see F below</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(3,014)</w:t>
            </w:r>
          </w:p>
        </w:tc>
      </w:tr>
      <w:tr>
        <w:trPr>
          <w:trHeight w:val="297"/>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current deferred tax asset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461"/>
        </w:trPr>
        <w:tc>
          <w:tcPr>
            <w:tcW w:w="7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5"/>
          </w:tcPr>
          <w:p>
            <w:pPr>
              <w:jc w:val="right"/>
              <w:ind w:right="460"/>
              <w:spacing w:after="0"/>
              <w:rPr>
                <w:sz w:val="20"/>
                <w:szCs w:val="20"/>
                <w:color w:val="auto"/>
              </w:rPr>
            </w:pPr>
            <w:r>
              <w:rPr>
                <w:rFonts w:ascii="Arial" w:cs="Arial" w:eastAsia="Arial" w:hAnsi="Arial"/>
                <w:sz w:val="17"/>
                <w:szCs w:val="17"/>
                <w:color w:val="auto"/>
              </w:rPr>
              <w:t>As of December 31,</w:t>
            </w:r>
          </w:p>
        </w:tc>
      </w:tr>
      <w:tr>
        <w:trPr>
          <w:trHeight w:val="212"/>
        </w:trPr>
        <w:tc>
          <w:tcPr>
            <w:tcW w:w="7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 and liability - long-term: (**)</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7560" w:type="dxa"/>
            <w:vAlign w:val="bottom"/>
          </w:tcPr>
          <w:p>
            <w:pPr>
              <w:ind w:left="440"/>
              <w:spacing w:after="0"/>
              <w:rPr>
                <w:sz w:val="20"/>
                <w:szCs w:val="20"/>
                <w:color w:val="auto"/>
              </w:rPr>
            </w:pPr>
            <w:r>
              <w:rPr>
                <w:rFonts w:ascii="Arial" w:cs="Arial" w:eastAsia="Arial" w:hAnsi="Arial"/>
                <w:sz w:val="17"/>
                <w:szCs w:val="17"/>
                <w:color w:val="auto"/>
              </w:rPr>
              <w:t>Deferred tax assets:</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Net operating loss carryforward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103,197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306,496</w:t>
            </w:r>
          </w:p>
        </w:tc>
      </w:tr>
      <w:tr>
        <w:trPr>
          <w:trHeight w:val="206"/>
        </w:trPr>
        <w:tc>
          <w:tcPr>
            <w:tcW w:w="7560" w:type="dxa"/>
            <w:vAlign w:val="bottom"/>
          </w:tcPr>
          <w:p>
            <w:pPr>
              <w:spacing w:after="0"/>
              <w:rPr>
                <w:sz w:val="20"/>
                <w:szCs w:val="20"/>
                <w:color w:val="auto"/>
              </w:rPr>
            </w:pPr>
            <w:r>
              <w:rPr>
                <w:rFonts w:ascii="Arial" w:cs="Arial" w:eastAsia="Arial" w:hAnsi="Arial"/>
                <w:sz w:val="17"/>
                <w:szCs w:val="17"/>
                <w:color w:val="auto"/>
              </w:rPr>
              <w:t>Employees benefits and compensation</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2,405</w:t>
            </w: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Accruals and reserves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6"/>
        </w:trPr>
        <w:tc>
          <w:tcPr>
            <w:tcW w:w="75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1,707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1,940</w:t>
            </w:r>
          </w:p>
        </w:tc>
      </w:tr>
      <w:tr>
        <w:trPr>
          <w:trHeight w:val="212"/>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6"/>
        </w:trPr>
        <w:tc>
          <w:tcPr>
            <w:tcW w:w="7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118,343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314,244</w:t>
            </w:r>
          </w:p>
        </w:tc>
      </w:tr>
      <w:tr>
        <w:trPr>
          <w:trHeight w:val="212"/>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 see F below</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(5,807)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(279,898)</w:t>
            </w:r>
          </w:p>
        </w:tc>
      </w:tr>
      <w:tr>
        <w:trPr>
          <w:trHeight w:val="206"/>
        </w:trPr>
        <w:tc>
          <w:tcPr>
            <w:tcW w:w="75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Deferred tax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112,536</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34,346</w:t>
            </w:r>
          </w:p>
        </w:tc>
        <w:tc>
          <w:tcPr>
            <w:tcW w:w="80" w:type="dxa"/>
            <w:vAlign w:val="bottom"/>
            <w:tcBorders>
              <w:top w:val="single" w:sz="8" w:color="CCEEFF"/>
            </w:tcBorders>
          </w:tcPr>
          <w:p>
            <w:pPr>
              <w:spacing w:after="0"/>
              <w:rPr>
                <w:sz w:val="17"/>
                <w:szCs w:val="17"/>
                <w:color w:val="auto"/>
              </w:rPr>
            </w:pP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Deferred tax liabilities:</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75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(77,092)</w:t>
            </w:r>
          </w:p>
        </w:tc>
        <w:tc>
          <w:tcPr>
            <w:tcW w:w="1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(96,242)</w:t>
            </w: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Gain on TPSCo acquisition</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(15,957)</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(30,653)</w:t>
            </w:r>
          </w:p>
        </w:tc>
      </w:tr>
      <w:tr>
        <w:trPr>
          <w:trHeight w:val="206"/>
        </w:trPr>
        <w:tc>
          <w:tcPr>
            <w:tcW w:w="7560" w:type="dxa"/>
            <w:vAlign w:val="bottom"/>
          </w:tcPr>
          <w:p>
            <w:pPr>
              <w:spacing w:after="0"/>
              <w:rPr>
                <w:sz w:val="20"/>
                <w:szCs w:val="20"/>
                <w:color w:val="auto"/>
              </w:rPr>
            </w:pPr>
            <w:r>
              <w:rPr>
                <w:rFonts w:ascii="Arial" w:cs="Arial" w:eastAsia="Arial" w:hAnsi="Arial"/>
                <w:sz w:val="17"/>
                <w:szCs w:val="17"/>
                <w:color w:val="auto"/>
              </w:rPr>
              <w:t>Others</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(559)</w:t>
            </w:r>
          </w:p>
        </w:tc>
        <w:tc>
          <w:tcPr>
            <w:tcW w:w="1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(2,684)</w:t>
            </w:r>
          </w:p>
        </w:tc>
      </w:tr>
      <w:tr>
        <w:trPr>
          <w:trHeight w:val="24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(93,608)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(129,579)</w:t>
            </w:r>
          </w:p>
        </w:tc>
      </w:tr>
      <w:tr>
        <w:trPr>
          <w:trHeight w:val="197"/>
        </w:trPr>
        <w:tc>
          <w:tcPr>
            <w:tcW w:w="75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2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Presented in long term deferred tax assets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82,852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r>
      <w:tr>
        <w:trPr>
          <w:trHeight w:val="20"/>
        </w:trPr>
        <w:tc>
          <w:tcPr>
            <w:tcW w:w="75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7560" w:type="dxa"/>
            <w:vAlign w:val="bottom"/>
          </w:tcPr>
          <w:p>
            <w:pPr>
              <w:spacing w:after="0"/>
              <w:rPr>
                <w:sz w:val="20"/>
                <w:szCs w:val="20"/>
                <w:color w:val="auto"/>
              </w:rPr>
            </w:pPr>
            <w:r>
              <w:rPr>
                <w:rFonts w:ascii="Arial" w:cs="Arial" w:eastAsia="Arial" w:hAnsi="Arial"/>
                <w:sz w:val="17"/>
                <w:szCs w:val="17"/>
                <w:color w:val="auto"/>
              </w:rPr>
              <w:t>Presented in long term deferred tax liabilities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63,924)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(95,233)</w:t>
            </w:r>
          </w:p>
        </w:tc>
      </w:tr>
      <w:tr>
        <w:trPr>
          <w:trHeight w:val="20"/>
        </w:trPr>
        <w:tc>
          <w:tcPr>
            <w:tcW w:w="7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5" w:lineRule="exact"/>
        <w:rPr>
          <w:sz w:val="20"/>
          <w:szCs w:val="20"/>
          <w:color w:val="auto"/>
        </w:rPr>
      </w:pPr>
    </w:p>
    <w:p>
      <w:pPr>
        <w:ind w:left="1780"/>
        <w:spacing w:after="0" w:line="259" w:lineRule="auto"/>
        <w:rPr>
          <w:sz w:val="20"/>
          <w:szCs w:val="20"/>
          <w:color w:val="auto"/>
        </w:rPr>
      </w:pPr>
      <w:r>
        <w:rPr>
          <w:rFonts w:ascii="Arial" w:cs="Arial" w:eastAsia="Arial" w:hAnsi="Arial"/>
          <w:sz w:val="17"/>
          <w:szCs w:val="17"/>
          <w:color w:val="auto"/>
        </w:rPr>
        <w:t>(*)deferred tax assets and liabilities relating to Tower for 2017 are computed based on the Israeli preferred enterprise tax rate of 7.5% and for 2016 are computed based on the effective Israeli statutory tax rate of 20%.</w:t>
      </w:r>
    </w:p>
    <w:p>
      <w:pPr>
        <w:spacing w:after="0" w:line="1" w:lineRule="exact"/>
        <w:rPr>
          <w:sz w:val="20"/>
          <w:szCs w:val="20"/>
          <w:color w:val="auto"/>
        </w:rPr>
      </w:pPr>
    </w:p>
    <w:p>
      <w:pPr>
        <w:ind w:left="1780" w:hanging="2"/>
        <w:spacing w:after="0" w:line="265" w:lineRule="auto"/>
        <w:tabs>
          <w:tab w:leader="none" w:pos="2108"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2017, the Company adopted ASU 2015-17 regarding classification of deferred taxes, prospectively, following which, effective 2017, deferred taxes are not presented as current assets.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0" w:lineRule="exact"/>
        <w:rPr>
          <w:rFonts w:ascii="Arial" w:cs="Arial" w:eastAsia="Arial" w:hAnsi="Arial"/>
          <w:sz w:val="17"/>
          <w:szCs w:val="17"/>
          <w:color w:val="auto"/>
        </w:rPr>
      </w:pPr>
    </w:p>
    <w:p>
      <w:pPr>
        <w:ind w:left="5620" w:hanging="92"/>
        <w:spacing w:after="0"/>
        <w:tabs>
          <w:tab w:leader="none" w:pos="56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jc w:val="center"/>
        <w:ind w:left="1980"/>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left="1980"/>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19</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6"/>
          <w:szCs w:val="16"/>
          <w:b w:val="1"/>
          <w:bCs w:val="1"/>
          <w:color w:val="auto"/>
        </w:rPr>
        <w:t>INCOME TAXES (cont.)</w:t>
      </w:r>
    </w:p>
    <w:p>
      <w:pPr>
        <w:spacing w:after="0" w:line="280" w:lineRule="exact"/>
        <w:rPr>
          <w:sz w:val="20"/>
          <w:szCs w:val="20"/>
          <w:color w:val="auto"/>
        </w:rPr>
      </w:pPr>
    </w:p>
    <w:p>
      <w:pPr>
        <w:ind w:left="1780" w:hanging="542"/>
        <w:spacing w:after="0"/>
        <w:tabs>
          <w:tab w:leader="none" w:pos="178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Unrecognized Tax Benefit</w:t>
      </w:r>
    </w:p>
    <w:p>
      <w:pPr>
        <w:spacing w:after="0" w:line="273"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5"/>
          <w:szCs w:val="15"/>
          <w:color w:val="auto"/>
        </w:rPr>
        <w:t>A reconciliation of the beginning and ending amount of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437515</wp:posOffset>
            </wp:positionV>
            <wp:extent cx="623189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3189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Balance at January 1, 2017</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Additions for tax positions</w:t>
      </w:r>
    </w:p>
    <w:p>
      <w:pPr>
        <w:spacing w:after="0" w:line="1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Reduction of prior years’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-122555</wp:posOffset>
            </wp:positionV>
            <wp:extent cx="6231890" cy="147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31890" cy="147320"/>
                    </a:xfrm>
                    <a:prstGeom prst="rect">
                      <a:avLst/>
                    </a:prstGeom>
                    <a:noFill/>
                  </pic:spPr>
                </pic:pic>
              </a:graphicData>
            </a:graphic>
          </wp:anchor>
        </w:drawing>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Balance at December 31, 2017</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Balance 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-115570</wp:posOffset>
            </wp:positionV>
            <wp:extent cx="6231890" cy="1308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31890" cy="130810"/>
                    </a:xfrm>
                    <a:prstGeom prst="rect">
                      <a:avLst/>
                    </a:prstGeom>
                    <a:noFill/>
                  </pic:spPr>
                </pic:pic>
              </a:graphicData>
            </a:graphic>
          </wp:anchor>
        </w:drawing>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Additions for tax positions of current year</w:t>
      </w:r>
    </w:p>
    <w:p>
      <w:pPr>
        <w:spacing w:after="0" w:line="1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Expiration of prior years’ provision due to TJP 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-122555</wp:posOffset>
            </wp:positionV>
            <wp:extent cx="6231890" cy="1308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31890" cy="13081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7"/>
          <w:szCs w:val="17"/>
          <w:color w:val="auto"/>
        </w:rPr>
        <w:t>Additions for tax positions of prior years</w:t>
      </w:r>
    </w:p>
    <w:p>
      <w:pPr>
        <w:spacing w:after="0" w:line="1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Translation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-122555</wp:posOffset>
            </wp:positionV>
            <wp:extent cx="6231890" cy="147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31890" cy="147320"/>
                    </a:xfrm>
                    <a:prstGeom prst="rect">
                      <a:avLst/>
                    </a:prstGeom>
                    <a:noFill/>
                  </pic:spPr>
                </pic:pic>
              </a:graphicData>
            </a:graphic>
          </wp:anchor>
        </w:drawing>
      </w:r>
    </w:p>
    <w:p>
      <w:pPr>
        <w:spacing w:after="0" w:line="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Balance at December 31, 2016</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Balance at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-115570</wp:posOffset>
            </wp:positionV>
            <wp:extent cx="6231890" cy="130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31890" cy="130810"/>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Reduction in tax positions of current year</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Reduction due to statute of limitation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-122555</wp:posOffset>
            </wp:positionV>
            <wp:extent cx="6231890" cy="1308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31890" cy="13081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7"/>
          <w:szCs w:val="17"/>
          <w:color w:val="auto"/>
        </w:rPr>
        <w:t>Translation differences</w:t>
      </w:r>
    </w:p>
    <w:p>
      <w:pPr>
        <w:spacing w:after="0" w:line="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Balance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-115570</wp:posOffset>
            </wp:positionV>
            <wp:extent cx="6231890" cy="130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31890"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Unrecognized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4358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43585" cy="16510"/>
                    </a:xfrm>
                    <a:prstGeom prst="rect">
                      <a:avLst/>
                    </a:prstGeom>
                    <a:noFill/>
                  </pic:spPr>
                </pic:pic>
              </a:graphicData>
            </a:graphic>
          </wp:anchor>
        </w:drawing>
      </w:r>
    </w:p>
    <w:p>
      <w:pPr>
        <w:spacing w:after="0" w:line="57" w:lineRule="exact"/>
        <w:rPr>
          <w:sz w:val="20"/>
          <w:szCs w:val="20"/>
          <w:color w:val="auto"/>
        </w:rPr>
      </w:pPr>
    </w:p>
    <w:p>
      <w:pPr>
        <w:ind w:left="780" w:hanging="775"/>
        <w:spacing w:after="0"/>
        <w:tabs>
          <w:tab w:leader="none" w:pos="7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8,969</w:t>
      </w:r>
    </w:p>
    <w:p>
      <w:pPr>
        <w:spacing w:after="0" w:line="21" w:lineRule="exact"/>
        <w:rPr>
          <w:rFonts w:ascii="Arial" w:cs="Arial" w:eastAsia="Arial" w:hAnsi="Arial"/>
          <w:sz w:val="17"/>
          <w:szCs w:val="17"/>
          <w:color w:val="auto"/>
        </w:rPr>
      </w:pPr>
    </w:p>
    <w:p>
      <w:pPr>
        <w:ind w:left="780"/>
        <w:spacing w:after="0"/>
        <w:rPr>
          <w:rFonts w:ascii="Arial" w:cs="Arial" w:eastAsia="Arial" w:hAnsi="Arial"/>
          <w:sz w:val="17"/>
          <w:szCs w:val="17"/>
          <w:color w:val="auto"/>
        </w:rPr>
      </w:pPr>
      <w:r>
        <w:rPr>
          <w:rFonts w:ascii="Arial" w:cs="Arial" w:eastAsia="Arial" w:hAnsi="Arial"/>
          <w:sz w:val="17"/>
          <w:szCs w:val="17"/>
          <w:color w:val="auto"/>
        </w:rPr>
        <w:t>8,753</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(2,436)</w:t>
      </w:r>
    </w:p>
    <w:p>
      <w:pPr>
        <w:spacing w:after="0" w:line="25" w:lineRule="exact"/>
        <w:rPr>
          <w:sz w:val="20"/>
          <w:szCs w:val="20"/>
          <w:color w:val="auto"/>
        </w:rPr>
      </w:pPr>
    </w:p>
    <w:p>
      <w:pPr>
        <w:ind w:left="700" w:hanging="695"/>
        <w:spacing w:after="0"/>
        <w:tabs>
          <w:tab w:leader="none" w:pos="7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15,286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435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35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wp:posOffset>
            </wp:positionV>
            <wp:extent cx="7435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Unrecognized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4358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43585" cy="16510"/>
                    </a:xfrm>
                    <a:prstGeom prst="rect">
                      <a:avLst/>
                    </a:prstGeom>
                    <a:noFill/>
                  </pic:spPr>
                </pic:pic>
              </a:graphicData>
            </a:graphic>
          </wp:anchor>
        </w:drawing>
      </w:r>
    </w:p>
    <w:p>
      <w:pPr>
        <w:spacing w:after="0" w:line="5" w:lineRule="exact"/>
        <w:rPr>
          <w:sz w:val="20"/>
          <w:szCs w:val="20"/>
          <w:color w:val="auto"/>
        </w:rPr>
      </w:pPr>
    </w:p>
    <w:p>
      <w:pPr>
        <w:ind w:left="700" w:hanging="695"/>
        <w:spacing w:after="0"/>
        <w:tabs>
          <w:tab w:leader="none" w:pos="7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13,538</w:t>
      </w:r>
    </w:p>
    <w:p>
      <w:pPr>
        <w:spacing w:after="0" w:line="21"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color w:val="auto"/>
        </w:rPr>
        <w:t>157</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(6,472)</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779</w:t>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967</w:t>
      </w:r>
    </w:p>
    <w:p>
      <w:pPr>
        <w:spacing w:after="0" w:line="25" w:lineRule="exact"/>
        <w:rPr>
          <w:sz w:val="20"/>
          <w:szCs w:val="20"/>
          <w:color w:val="auto"/>
        </w:rPr>
      </w:pPr>
    </w:p>
    <w:p>
      <w:pPr>
        <w:ind w:left="780" w:hanging="775"/>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8,969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435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35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wp:posOffset>
            </wp:positionV>
            <wp:extent cx="7435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43585" cy="8255"/>
                    </a:xfrm>
                    <a:prstGeom prst="rect">
                      <a:avLst/>
                    </a:prstGeom>
                    <a:noFill/>
                  </pic:spPr>
                </pic:pic>
              </a:graphicData>
            </a:graphic>
          </wp:anchor>
        </w:drawing>
      </w:r>
    </w:p>
    <w:p>
      <w:pPr>
        <w:spacing w:after="0" w:line="29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Unrecognized</w:t>
      </w:r>
    </w:p>
    <w:p>
      <w:pPr>
        <w:spacing w:after="0" w:line="3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7620</wp:posOffset>
            </wp:positionV>
            <wp:extent cx="62865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8650" cy="16510"/>
                    </a:xfrm>
                    <a:prstGeom prst="rect">
                      <a:avLst/>
                    </a:prstGeom>
                    <a:noFill/>
                  </pic:spPr>
                </pic:pic>
              </a:graphicData>
            </a:graphic>
          </wp:anchor>
        </w:drawing>
      </w:r>
    </w:p>
    <w:p>
      <w:pPr>
        <w:spacing w:after="0" w:line="5" w:lineRule="exact"/>
        <w:rPr>
          <w:sz w:val="20"/>
          <w:szCs w:val="20"/>
          <w:color w:val="auto"/>
        </w:rPr>
      </w:pPr>
    </w:p>
    <w:p>
      <w:pPr>
        <w:ind w:left="700" w:hanging="515"/>
        <w:spacing w:after="0"/>
        <w:tabs>
          <w:tab w:leader="none" w:pos="7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24,961</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(623)</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(10,758)</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7620</wp:posOffset>
            </wp:positionV>
            <wp:extent cx="62865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8650" cy="16510"/>
                    </a:xfrm>
                    <a:prstGeom prst="rect">
                      <a:avLst/>
                    </a:prstGeom>
                    <a:noFill/>
                  </pic:spPr>
                </pic:pic>
              </a:graphicData>
            </a:graphic>
          </wp:anchor>
        </w:drawing>
      </w:r>
    </w:p>
    <w:p>
      <w:pPr>
        <w:spacing w:after="0" w:line="5" w:lineRule="exact"/>
        <w:rPr>
          <w:sz w:val="20"/>
          <w:szCs w:val="20"/>
          <w:color w:val="auto"/>
        </w:rPr>
      </w:pPr>
    </w:p>
    <w:p>
      <w:pPr>
        <w:ind w:left="700" w:hanging="515"/>
        <w:spacing w:after="0"/>
        <w:tabs>
          <w:tab w:leader="none" w:pos="7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13,538</w:t>
      </w:r>
    </w:p>
    <w:p>
      <w:pPr>
        <w:sectPr>
          <w:pgSz w:w="11900" w:h="16838" w:orient="portrait"/>
          <w:cols w:equalWidth="0" w:num="2">
            <w:col w:w="9440" w:space="720"/>
            <w:col w:w="1240"/>
          </w:cols>
          <w:pgMar w:left="240" w:top="121" w:right="25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19</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b w:val="1"/>
          <w:bCs w:val="1"/>
          <w:color w:val="auto"/>
        </w:rPr>
        <w:t>INCOME TAXES (cont.)</w:t>
      </w:r>
    </w:p>
    <w:p>
      <w:pPr>
        <w:spacing w:after="0" w:line="280" w:lineRule="exact"/>
        <w:rPr>
          <w:sz w:val="20"/>
          <w:szCs w:val="20"/>
          <w:color w:val="auto"/>
        </w:rPr>
      </w:pPr>
    </w:p>
    <w:p>
      <w:pPr>
        <w:ind w:left="1780" w:hanging="542"/>
        <w:spacing w:after="0"/>
        <w:tabs>
          <w:tab w:leader="none" w:pos="178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Effective Income Tax Rates</w:t>
      </w:r>
    </w:p>
    <w:p>
      <w:pPr>
        <w:spacing w:after="0" w:line="273" w:lineRule="exact"/>
        <w:rPr>
          <w:rFonts w:ascii="Arial" w:cs="Arial" w:eastAsia="Arial" w:hAnsi="Arial"/>
          <w:sz w:val="17"/>
          <w:szCs w:val="17"/>
          <w:b w:val="1"/>
          <w:bCs w:val="1"/>
          <w:color w:val="auto"/>
        </w:rPr>
      </w:pPr>
    </w:p>
    <w:p>
      <w:pPr>
        <w:jc w:val="both"/>
        <w:ind w:left="178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In December 2017, the Tax Cut and Jobs Act (the “Act”) was signed into law, which enacts significant changes to U.S. federal corporate tax and related laws. Some of the provisions of the Act affecting corporations include, but are not limited to: (i) a reduction of the U.S. federal corporate income tax rate from 35% to 21%; (ii) limiting the interest expense deduction; (iii) expensing of cost of acquired qualified property; and (iv) elimination of the domestic production activities deduction. Tower US Holdings, Jazz and TJT are currently evaluating the impact the Act will have on the future financial condition and results of operations and believe the Act will have a beneficial positive net impact.</w:t>
      </w:r>
    </w:p>
    <w:p>
      <w:pPr>
        <w:spacing w:after="0" w:line="236"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The reduction in the U.S. federal corporate income tax rate reduced Tower US Holdings’ deferred tax liabilities, net by $12,970, which is recorded in the income tax benefit in the statement of operations for the twelve months ended December 31, 2017. The Company believes this is a reasonable estimate of the reform tax effect; however, it is still analyzing certain aspects of the Act and may refine its calculations as additional guidance is issued by the IRS or other standard-setting entities.</w:t>
      </w:r>
    </w:p>
    <w:p>
      <w:pPr>
        <w:spacing w:after="0" w:line="178"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The SEC staff issued Staff Accounting Bulletin (“SAB”) 118, which provides guidance on accounting for the tax effects of the Act, for which the accounting under ASC 740, Income Taxes, is incomplete but is able to determine a reasonable estimate. The SAB afforded a measurement period in which refinement of the calculations to the estimated tax effects will be included in the period in which it was determined.</w:t>
      </w:r>
    </w:p>
    <w:p>
      <w:pPr>
        <w:spacing w:after="0" w:line="178"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The reconciliation of the statutory tax rate to the effective tax rate is as follows:</w:t>
      </w:r>
    </w:p>
    <w:p>
      <w:pPr>
        <w:spacing w:after="0" w:line="216" w:lineRule="exact"/>
        <w:rPr>
          <w:sz w:val="20"/>
          <w:szCs w:val="20"/>
          <w:color w:val="auto"/>
        </w:rPr>
      </w:pPr>
    </w:p>
    <w:tbl>
      <w:tblPr>
        <w:tblLayout w:type="fixed"/>
        <w:tblInd w:w="1620" w:type="dxa"/>
        <w:tblCellMar>
          <w:top w:w="0" w:type="dxa"/>
          <w:left w:w="0" w:type="dxa"/>
          <w:bottom w:w="0" w:type="dxa"/>
          <w:right w:w="0" w:type="dxa"/>
        </w:tblCellMar>
      </w:tblPr>
      <w:tr>
        <w:trPr>
          <w:trHeight w:val="224"/>
        </w:trPr>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7"/>
                <w:szCs w:val="17"/>
                <w:color w:val="auto"/>
              </w:rPr>
              <w:t>Year ended December 31,</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6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8"/>
                <w:szCs w:val="18"/>
                <w:color w:val="auto"/>
              </w:rPr>
            </w:pPr>
          </w:p>
        </w:tc>
      </w:tr>
      <w:tr>
        <w:trPr>
          <w:trHeight w:val="206"/>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Tax expense (benefit) computed at statutory rates, see (*) below</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52,650</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(10,972)</w:t>
            </w:r>
          </w:p>
        </w:tc>
        <w:tc>
          <w:tcPr>
            <w:tcW w:w="80" w:type="dxa"/>
            <w:vAlign w:val="bottom"/>
            <w:shd w:val="clear" w:color="auto" w:fill="CCEEFF"/>
          </w:tcPr>
          <w:p>
            <w:pPr>
              <w:spacing w:after="0"/>
              <w:rPr>
                <w:sz w:val="17"/>
                <w:szCs w:val="17"/>
                <w:color w:val="auto"/>
              </w:rPr>
            </w:pPr>
          </w:p>
        </w:tc>
      </w:tr>
      <w:tr>
        <w:trPr>
          <w:trHeight w:val="206"/>
        </w:trPr>
        <w:tc>
          <w:tcPr>
            <w:tcW w:w="6380" w:type="dxa"/>
            <w:vAlign w:val="bottom"/>
          </w:tcPr>
          <w:p>
            <w:pPr>
              <w:spacing w:after="0"/>
              <w:rPr>
                <w:sz w:val="20"/>
                <w:szCs w:val="20"/>
                <w:color w:val="auto"/>
              </w:rPr>
            </w:pPr>
            <w:r>
              <w:rPr>
                <w:rFonts w:ascii="Arial" w:cs="Arial" w:eastAsia="Arial" w:hAnsi="Arial"/>
                <w:sz w:val="17"/>
                <w:szCs w:val="17"/>
                <w:color w:val="auto"/>
              </w:rPr>
              <w:t>Effect of tax rate change on deferred tax liabilities, net(**)</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(16,078)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6"/>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Effect of different tax rates in different jurisdictions and Preferred Enterprise Benefit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(33,298)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(4,772)</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6,108</w:t>
            </w:r>
          </w:p>
        </w:tc>
      </w:tr>
      <w:tr>
        <w:trPr>
          <w:trHeight w:val="206"/>
        </w:trPr>
        <w:tc>
          <w:tcPr>
            <w:tcW w:w="6380" w:type="dxa"/>
            <w:vAlign w:val="bottom"/>
          </w:tcPr>
          <w:p>
            <w:pPr>
              <w:spacing w:after="0"/>
              <w:rPr>
                <w:sz w:val="20"/>
                <w:szCs w:val="20"/>
                <w:color w:val="auto"/>
              </w:rPr>
            </w:pPr>
            <w:r>
              <w:rPr>
                <w:rFonts w:ascii="Arial" w:cs="Arial" w:eastAsia="Arial" w:hAnsi="Arial"/>
                <w:sz w:val="17"/>
                <w:szCs w:val="17"/>
                <w:color w:val="auto"/>
              </w:rPr>
              <w:t>Gain on acquisition</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(10,450)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6"/>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Tax benefits for which deferred taxes were not recorded, see F below</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(15,103)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(23,489)</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11,687</w:t>
            </w:r>
          </w:p>
        </w:tc>
        <w:tc>
          <w:tcPr>
            <w:tcW w:w="80" w:type="dxa"/>
            <w:vAlign w:val="bottom"/>
            <w:shd w:val="clear" w:color="auto" w:fill="CCEEFF"/>
          </w:tcPr>
          <w:p>
            <w:pPr>
              <w:spacing w:after="0"/>
              <w:rPr>
                <w:sz w:val="17"/>
                <w:szCs w:val="17"/>
                <w:color w:val="auto"/>
              </w:rPr>
            </w:pPr>
          </w:p>
        </w:tc>
      </w:tr>
      <w:tr>
        <w:trPr>
          <w:trHeight w:val="206"/>
        </w:trPr>
        <w:tc>
          <w:tcPr>
            <w:tcW w:w="6380" w:type="dxa"/>
            <w:vAlign w:val="bottom"/>
          </w:tcPr>
          <w:p>
            <w:pPr>
              <w:spacing w:after="0"/>
              <w:rPr>
                <w:sz w:val="20"/>
                <w:szCs w:val="20"/>
                <w:color w:val="auto"/>
              </w:rPr>
            </w:pPr>
            <w:r>
              <w:rPr>
                <w:rFonts w:ascii="Arial" w:cs="Arial" w:eastAsia="Arial" w:hAnsi="Arial"/>
                <w:sz w:val="17"/>
                <w:szCs w:val="17"/>
                <w:color w:val="auto"/>
              </w:rPr>
              <w:t>Change in Valuation allowance, see F below</w:t>
            </w:r>
          </w:p>
        </w:tc>
        <w:tc>
          <w:tcPr>
            <w:tcW w:w="2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(82,772)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(6,212)</w:t>
            </w:r>
          </w:p>
        </w:tc>
        <w:tc>
          <w:tcPr>
            <w:tcW w:w="24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(11,153)</w:t>
            </w:r>
          </w:p>
        </w:tc>
      </w:tr>
      <w:tr>
        <w:trPr>
          <w:trHeight w:val="206"/>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 and other, net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(6,295)</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(7,948)</w:t>
            </w:r>
          </w:p>
        </w:tc>
      </w:tr>
      <w:tr>
        <w:trPr>
          <w:trHeight w:val="26"/>
        </w:trPr>
        <w:tc>
          <w:tcPr>
            <w:tcW w:w="6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6"/>
        </w:trPr>
        <w:tc>
          <w:tcPr>
            <w:tcW w:w="638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(99,888)</w:t>
            </w:r>
          </w:p>
        </w:tc>
        <w:tc>
          <w:tcPr>
            <w:tcW w:w="2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1,432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(12,278)</w:t>
            </w:r>
          </w:p>
        </w:tc>
      </w:tr>
      <w:tr>
        <w:trPr>
          <w:trHeight w:val="20"/>
        </w:trPr>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left="1780" w:hanging="2"/>
        <w:spacing w:after="0" w:line="278" w:lineRule="auto"/>
        <w:tabs>
          <w:tab w:leader="none" w:pos="2023"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tax expense (benefit) was computed based on Tower’s regular corporate tax rate of 24% for 2017, 25% for 2016 and 26.5% for 2015 (**) Reduction in tax rates due to the U.S. Tax Reform and reduction in income tax rates in Japan.</w:t>
      </w:r>
    </w:p>
    <w:p>
      <w:pPr>
        <w:spacing w:after="0" w:line="200" w:lineRule="exact"/>
        <w:rPr>
          <w:rFonts w:ascii="Arial" w:cs="Arial" w:eastAsia="Arial" w:hAnsi="Arial"/>
          <w:sz w:val="17"/>
          <w:szCs w:val="17"/>
          <w:color w:val="auto"/>
        </w:rPr>
      </w:pPr>
    </w:p>
    <w:p>
      <w:pPr>
        <w:spacing w:after="0" w:line="389" w:lineRule="exact"/>
        <w:rPr>
          <w:rFonts w:ascii="Arial" w:cs="Arial" w:eastAsia="Arial" w:hAnsi="Arial"/>
          <w:sz w:val="17"/>
          <w:szCs w:val="17"/>
          <w:color w:val="auto"/>
        </w:rPr>
      </w:pPr>
    </w:p>
    <w:p>
      <w:pPr>
        <w:ind w:left="5620" w:hanging="92"/>
        <w:spacing w:after="0"/>
        <w:tabs>
          <w:tab w:leader="none" w:pos="56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19</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b w:val="1"/>
          <w:bCs w:val="1"/>
          <w:color w:val="auto"/>
        </w:rPr>
        <w:t>INCOME TAXES (cont.)</w:t>
      </w:r>
    </w:p>
    <w:p>
      <w:pPr>
        <w:spacing w:after="0" w:line="280" w:lineRule="exact"/>
        <w:rPr>
          <w:sz w:val="20"/>
          <w:szCs w:val="20"/>
          <w:color w:val="auto"/>
        </w:rPr>
      </w:pPr>
    </w:p>
    <w:p>
      <w:pPr>
        <w:ind w:left="1780" w:hanging="542"/>
        <w:spacing w:after="0"/>
        <w:tabs>
          <w:tab w:leader="none" w:pos="178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Net Operating Loss Carryforward</w:t>
      </w:r>
    </w:p>
    <w:p>
      <w:pPr>
        <w:spacing w:after="0" w:line="273" w:lineRule="exact"/>
        <w:rPr>
          <w:rFonts w:ascii="Arial" w:cs="Arial" w:eastAsia="Arial" w:hAnsi="Arial"/>
          <w:sz w:val="17"/>
          <w:szCs w:val="17"/>
          <w:b w:val="1"/>
          <w:bCs w:val="1"/>
          <w:color w:val="auto"/>
        </w:rPr>
      </w:pPr>
    </w:p>
    <w:p>
      <w:pPr>
        <w:jc w:val="both"/>
        <w:ind w:left="1780"/>
        <w:spacing w:after="0" w:line="293" w:lineRule="auto"/>
        <w:rPr>
          <w:rFonts w:ascii="Arial" w:cs="Arial" w:eastAsia="Arial" w:hAnsi="Arial"/>
          <w:sz w:val="17"/>
          <w:szCs w:val="17"/>
          <w:b w:val="1"/>
          <w:bCs w:val="1"/>
          <w:color w:val="auto"/>
        </w:rPr>
      </w:pPr>
      <w:r>
        <w:rPr>
          <w:rFonts w:ascii="Arial" w:cs="Arial" w:eastAsia="Arial" w:hAnsi="Arial"/>
          <w:sz w:val="15"/>
          <w:szCs w:val="15"/>
          <w:color w:val="auto"/>
        </w:rPr>
        <w:t>Tower has net operating loss carryforward for tax purposes of approximately $1,200,000, which may be carried forward indefinitely. For the year ended December 31, 2016 Tower established a valuation allowance for deferred tax assets (see C above) as it was unable to conclude that it is more-likely-than-not that such deferred tax assets will be realized. As of December 31, 2017 Tower concluded that realization of net deferred assets is more likely than not as required by ASC 740-10-30-5(e). Tower considered both positive and negative factors. Positive factors include the Israeli accumulated profit before tax for 2017 and recent years, projections for taxable income in Israel in the near term and the unlimited time for the utilization of the losses carryforward. The negative factors considered include Tower’s history of operating losses, the uncertainty in estimating the future generation of sufficient taxable income in Israel to utilize the loss carryforward of approximately $1,200,000, taking into account that it operates in the cyclical industry of semiconductors and other trends affecting Tower’s ability to sustain current level of income. Weighing all the above, Tower concluded that it is more likely than not that taxable income will be generated and released entirely the valuation allowance related to the Israeli accumulated losses.</w:t>
      </w:r>
    </w:p>
    <w:p>
      <w:pPr>
        <w:spacing w:after="0" w:line="158" w:lineRule="exact"/>
        <w:rPr>
          <w:rFonts w:ascii="Arial" w:cs="Arial" w:eastAsia="Arial" w:hAnsi="Arial"/>
          <w:sz w:val="17"/>
          <w:szCs w:val="17"/>
          <w:b w:val="1"/>
          <w:bCs w:val="1"/>
          <w:color w:val="auto"/>
        </w:rPr>
      </w:pPr>
    </w:p>
    <w:p>
      <w:pPr>
        <w:jc w:val="both"/>
        <w:ind w:left="1780"/>
        <w:spacing w:after="0" w:line="298" w:lineRule="auto"/>
        <w:rPr>
          <w:rFonts w:ascii="Arial" w:cs="Arial" w:eastAsia="Arial" w:hAnsi="Arial"/>
          <w:sz w:val="17"/>
          <w:szCs w:val="17"/>
          <w:b w:val="1"/>
          <w:bCs w:val="1"/>
          <w:color w:val="auto"/>
        </w:rPr>
      </w:pPr>
      <w:r>
        <w:rPr>
          <w:rFonts w:ascii="Arial" w:cs="Arial" w:eastAsia="Arial" w:hAnsi="Arial"/>
          <w:sz w:val="15"/>
          <w:szCs w:val="15"/>
          <w:color w:val="auto"/>
        </w:rPr>
        <w:t>The future utilization of Tower US Holdings’ federal net operating loss carryforward to offset future federal taxable income is subject to an annual limitation as a result of ownership changes that have occurred. Additional limitations could apply if ownership changes occur in the future. Jazz has had two “change in ownership” events that limit the utilization of net operating loss carryforward. The first “change in ownership” event occurred in February 2007 upon Jazz Technologies’ acquisition of Jazz Semiconductor. The second “change in ownership” event occurred on September 19, 2008, upon Tower’s acquisition of Jazz. Jazz concluded that the net operating loss limitation for the change in ownership which occurred in September 2008 will be an annual utilization of approximately $2,100 in its tax return.</w:t>
      </w:r>
    </w:p>
    <w:p>
      <w:pPr>
        <w:spacing w:after="0" w:line="207"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As of December 31, 2017, Tower US Holdings had federal net operating loss carryforward of approximately $26,000 that will begin to expire in 2022 unless previously utilized.</w:t>
      </w:r>
    </w:p>
    <w:p>
      <w:pPr>
        <w:spacing w:after="0" w:line="216" w:lineRule="exact"/>
        <w:rPr>
          <w:rFonts w:ascii="Arial" w:cs="Arial" w:eastAsia="Arial" w:hAnsi="Arial"/>
          <w:sz w:val="17"/>
          <w:szCs w:val="17"/>
          <w:b w:val="1"/>
          <w:bCs w:val="1"/>
          <w:color w:val="auto"/>
        </w:rPr>
      </w:pPr>
    </w:p>
    <w:p>
      <w:pPr>
        <w:jc w:val="both"/>
        <w:ind w:left="1780"/>
        <w:spacing w:after="0" w:line="279" w:lineRule="auto"/>
        <w:rPr>
          <w:rFonts w:ascii="Arial" w:cs="Arial" w:eastAsia="Arial" w:hAnsi="Arial"/>
          <w:sz w:val="17"/>
          <w:szCs w:val="17"/>
          <w:b w:val="1"/>
          <w:bCs w:val="1"/>
          <w:color w:val="auto"/>
        </w:rPr>
      </w:pPr>
      <w:r>
        <w:rPr>
          <w:rFonts w:ascii="Arial" w:cs="Arial" w:eastAsia="Arial" w:hAnsi="Arial"/>
          <w:sz w:val="16"/>
          <w:szCs w:val="16"/>
          <w:color w:val="auto"/>
        </w:rPr>
        <w:t>Tower US Holdings made a Water’s Edge election to file its 2016 California return and the next six years of California returns on this basis. As such, Tower US Holdings will not be filing on a world-wide basis for the foreseeable future. As a result of making the election, Tower US Holdings has re-computed the net operating loss carryforward for California as if it had been filing on a Water’s Edge basis. This resulted in a reduction in the amount of California net operating loss carryforward of approximately $107,000. There was no impact to the tax expense since Tower US Holdings previously maintained a full valuation allowance on its California net deferred tax assets.</w:t>
      </w:r>
    </w:p>
    <w:p>
      <w:pPr>
        <w:spacing w:after="0" w:line="165"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As of December 31, 2017, Tower US Holdings had state net operating loss carryforward of approximately $27,000. The state tax loss carry forward begin to expire in 2028 unless previously utilized.</w:t>
      </w:r>
    </w:p>
    <w:p>
      <w:pPr>
        <w:spacing w:after="0" w:line="216"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As of December 31, 2017 and 2016, TPSCo had no net operating loss carryforward.</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92" w:lineRule="exact"/>
        <w:rPr>
          <w:rFonts w:ascii="Arial" w:cs="Arial" w:eastAsia="Arial" w:hAnsi="Arial"/>
          <w:sz w:val="17"/>
          <w:szCs w:val="17"/>
          <w:b w:val="1"/>
          <w:bCs w:val="1"/>
          <w:color w:val="auto"/>
        </w:rPr>
      </w:pPr>
    </w:p>
    <w:p>
      <w:pPr>
        <w:ind w:left="5620" w:hanging="92"/>
        <w:spacing w:after="0"/>
        <w:tabs>
          <w:tab w:leader="none" w:pos="5620" w:val="left"/>
        </w:tabs>
        <w:numPr>
          <w:ilvl w:val="1"/>
          <w:numId w:val="65"/>
        </w:numPr>
        <w:rPr>
          <w:rFonts w:ascii="Arial" w:cs="Arial" w:eastAsia="Arial" w:hAnsi="Arial"/>
          <w:sz w:val="17"/>
          <w:szCs w:val="17"/>
          <w:color w:val="auto"/>
        </w:rPr>
      </w:pPr>
      <w:r>
        <w:rPr>
          <w:rFonts w:ascii="Arial" w:cs="Arial" w:eastAsia="Arial" w:hAnsi="Arial"/>
          <w:sz w:val="17"/>
          <w:szCs w:val="17"/>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38"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19</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b w:val="1"/>
          <w:bCs w:val="1"/>
          <w:color w:val="auto"/>
        </w:rPr>
        <w:t>INCOME TAXES (cont.)</w:t>
      </w:r>
    </w:p>
    <w:p>
      <w:pPr>
        <w:spacing w:after="0" w:line="280" w:lineRule="exact"/>
        <w:rPr>
          <w:sz w:val="20"/>
          <w:szCs w:val="20"/>
          <w:color w:val="auto"/>
        </w:rPr>
      </w:pPr>
    </w:p>
    <w:p>
      <w:pPr>
        <w:ind w:left="1780" w:hanging="542"/>
        <w:spacing w:after="0"/>
        <w:tabs>
          <w:tab w:leader="none" w:pos="178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Final Tax Assessments</w:t>
      </w:r>
    </w:p>
    <w:p>
      <w:pPr>
        <w:spacing w:after="0" w:line="273"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5"/>
          <w:szCs w:val="15"/>
          <w:color w:val="auto"/>
        </w:rPr>
        <w:t>Tower possesses final tax assessments through the year 1998. In addition, the tax assessments for the years 1999-2012 are deemed final.</w:t>
      </w:r>
    </w:p>
    <w:p>
      <w:pPr>
        <w:spacing w:after="0" w:line="290"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Tower US holding is filing the consolidated tax return including Jazz and TJT. Tower US Holdings and its subsidiaries are subject to U.S. federal income tax as well as income tax in multiple state and foreign jurisdictions.</w:t>
      </w:r>
    </w:p>
    <w:p>
      <w:pPr>
        <w:spacing w:after="0" w:line="216"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Tower US Holdings is no longer subject to U.S. federal income tax examinations for 2010 and before, state and local income tax examinations for 2012 and before and foreign income tax examinations for 2013 and before. However, to the extent allowed by law, the tax authorities may have the right to examine prior periods where net operating losses were generated and carried forward, and make adjustments up to the amount of the net operating loss carryforward amount.</w:t>
      </w:r>
    </w:p>
    <w:p>
      <w:pPr>
        <w:spacing w:after="0" w:line="230"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During 2016, the U.S. tax authorities commenced a regulatory audit on Tower US Holdings’ tax returns for the years 2011 through 2014. The audit results have not been finalized as of the financial statements date.</w:t>
      </w:r>
    </w:p>
    <w:p>
      <w:pPr>
        <w:spacing w:after="0" w:line="164"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TPSCo possesses final tax assessments through the year 2016.</w:t>
      </w:r>
    </w:p>
    <w:p>
      <w:pPr>
        <w:spacing w:after="0" w:line="200" w:lineRule="exact"/>
        <w:rPr>
          <w:rFonts w:ascii="Arial" w:cs="Arial" w:eastAsia="Arial" w:hAnsi="Arial"/>
          <w:sz w:val="17"/>
          <w:szCs w:val="17"/>
          <w:b w:val="1"/>
          <w:bCs w:val="1"/>
          <w:color w:val="auto"/>
        </w:rPr>
      </w:pPr>
    </w:p>
    <w:p>
      <w:pPr>
        <w:spacing w:after="0" w:line="234" w:lineRule="exact"/>
        <w:rPr>
          <w:rFonts w:ascii="Arial" w:cs="Arial" w:eastAsia="Arial" w:hAnsi="Arial"/>
          <w:sz w:val="17"/>
          <w:szCs w:val="17"/>
          <w:b w:val="1"/>
          <w:bCs w:val="1"/>
          <w:color w:val="auto"/>
        </w:rPr>
      </w:pPr>
    </w:p>
    <w:p>
      <w:pPr>
        <w:ind w:left="5620" w:hanging="92"/>
        <w:spacing w:after="0"/>
        <w:tabs>
          <w:tab w:leader="none" w:pos="56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20</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b w:val="1"/>
          <w:bCs w:val="1"/>
          <w:color w:val="auto"/>
        </w:rPr>
        <w:t>RELATED PARTIES BALANCES AND TRANSACTIONS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60" w:type="dxa"/>
            <w:vAlign w:val="bottom"/>
          </w:tcPr>
          <w:p>
            <w:pPr>
              <w:ind w:left="1240"/>
              <w:spacing w:after="0"/>
              <w:rPr>
                <w:sz w:val="20"/>
                <w:szCs w:val="20"/>
                <w:color w:val="auto"/>
              </w:rPr>
            </w:pPr>
            <w:r>
              <w:rPr>
                <w:rFonts w:ascii="Arial" w:cs="Arial" w:eastAsia="Arial" w:hAnsi="Arial"/>
                <w:sz w:val="17"/>
                <w:szCs w:val="17"/>
                <w:b w:val="1"/>
                <w:bCs w:val="1"/>
                <w:color w:val="auto"/>
              </w:rPr>
              <w:t>A.</w:t>
            </w:r>
          </w:p>
        </w:tc>
        <w:tc>
          <w:tcPr>
            <w:tcW w:w="7040" w:type="dxa"/>
            <w:vAlign w:val="bottom"/>
            <w:gridSpan w:val="2"/>
          </w:tcPr>
          <w:p>
            <w:pPr>
              <w:ind w:left="120"/>
              <w:spacing w:after="0"/>
              <w:rPr>
                <w:sz w:val="20"/>
                <w:szCs w:val="20"/>
                <w:color w:val="auto"/>
              </w:rPr>
            </w:pPr>
            <w:r>
              <w:rPr>
                <w:rFonts w:ascii="Arial" w:cs="Arial" w:eastAsia="Arial" w:hAnsi="Arial"/>
                <w:sz w:val="17"/>
                <w:szCs w:val="17"/>
                <w:b w:val="1"/>
                <w:bCs w:val="1"/>
                <w:color w:val="auto"/>
              </w:rPr>
              <w:t>Balances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0"/>
        </w:trPr>
        <w:tc>
          <w:tcPr>
            <w:tcW w:w="1660" w:type="dxa"/>
            <w:vAlign w:val="bottom"/>
          </w:tcPr>
          <w:p>
            <w:pPr>
              <w:spacing w:after="0"/>
              <w:rPr>
                <w:sz w:val="24"/>
                <w:szCs w:val="24"/>
                <w:color w:val="auto"/>
              </w:rPr>
            </w:pPr>
          </w:p>
        </w:tc>
        <w:tc>
          <w:tcPr>
            <w:tcW w:w="7040" w:type="dxa"/>
            <w:vAlign w:val="bottom"/>
            <w:gridSpan w:val="2"/>
          </w:tcPr>
          <w:p>
            <w:pPr>
              <w:ind w:left="740"/>
              <w:spacing w:after="0"/>
              <w:rPr>
                <w:sz w:val="20"/>
                <w:szCs w:val="20"/>
                <w:color w:val="auto"/>
              </w:rPr>
            </w:pPr>
            <w:r>
              <w:rPr>
                <w:rFonts w:ascii="Arial" w:cs="Arial" w:eastAsia="Arial" w:hAnsi="Arial"/>
                <w:sz w:val="17"/>
                <w:szCs w:val="17"/>
                <w:b w:val="1"/>
                <w:bCs w:val="1"/>
                <w:color w:val="auto"/>
              </w:rPr>
              <w:t>The nature of the relationships involved</w:t>
            </w:r>
          </w:p>
        </w:tc>
        <w:tc>
          <w:tcPr>
            <w:tcW w:w="120" w:type="dxa"/>
            <w:vAlign w:val="bottom"/>
          </w:tcPr>
          <w:p>
            <w:pPr>
              <w:spacing w:after="0"/>
              <w:rPr>
                <w:sz w:val="24"/>
                <w:szCs w:val="24"/>
                <w:color w:val="auto"/>
              </w:rPr>
            </w:pPr>
          </w:p>
        </w:tc>
        <w:tc>
          <w:tcPr>
            <w:tcW w:w="2220" w:type="dxa"/>
            <w:vAlign w:val="bottom"/>
            <w:gridSpan w:val="4"/>
          </w:tcPr>
          <w:p>
            <w:pPr>
              <w:jc w:val="right"/>
              <w:ind w:right="205"/>
              <w:spacing w:after="0"/>
              <w:rPr>
                <w:sz w:val="20"/>
                <w:szCs w:val="20"/>
                <w:color w:val="auto"/>
              </w:rPr>
            </w:pPr>
            <w:r>
              <w:rPr>
                <w:rFonts w:ascii="Arial" w:cs="Arial" w:eastAsia="Arial" w:hAnsi="Arial"/>
                <w:sz w:val="17"/>
                <w:szCs w:val="17"/>
                <w:color w:val="auto"/>
              </w:rPr>
              <w:t>As of December 31,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rPr>
              <w:t>2017</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45"/>
              <w:spacing w:after="0"/>
              <w:rPr>
                <w:sz w:val="20"/>
                <w:szCs w:val="20"/>
                <w:color w:val="auto"/>
              </w:rPr>
            </w:pPr>
            <w:r>
              <w:rPr>
                <w:rFonts w:ascii="Arial" w:cs="Arial" w:eastAsia="Arial" w:hAnsi="Arial"/>
                <w:sz w:val="17"/>
                <w:szCs w:val="17"/>
                <w:color w:val="auto"/>
              </w:rPr>
              <w:t>2016</w:t>
            </w: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1660" w:type="dxa"/>
            <w:vAlign w:val="bottom"/>
            <w:shd w:val="clear" w:color="auto" w:fill="CCEEFF"/>
          </w:tcPr>
          <w:p>
            <w:pPr>
              <w:spacing w:after="0"/>
              <w:rPr>
                <w:sz w:val="20"/>
                <w:szCs w:val="20"/>
                <w:color w:val="auto"/>
              </w:rPr>
            </w:pPr>
            <w:r>
              <w:rPr>
                <w:rFonts w:ascii="Arial" w:cs="Arial" w:eastAsia="Arial" w:hAnsi="Arial"/>
                <w:sz w:val="17"/>
                <w:szCs w:val="17"/>
                <w:color w:val="auto"/>
                <w:w w:val="99"/>
              </w:rPr>
              <w:t>Long-term investment</w:t>
            </w:r>
          </w:p>
        </w:tc>
        <w:tc>
          <w:tcPr>
            <w:tcW w:w="704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Equity investment in a limited partnership</w:t>
            </w:r>
          </w:p>
        </w:tc>
        <w:tc>
          <w:tcPr>
            <w:tcW w:w="1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9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24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7"/>
                <w:szCs w:val="17"/>
                <w:color w:val="auto"/>
              </w:rPr>
            </w:pPr>
          </w:p>
        </w:tc>
      </w:tr>
    </w:tbl>
    <w:p>
      <w:pPr>
        <w:spacing w:after="0" w:line="239" w:lineRule="exact"/>
        <w:rPr>
          <w:sz w:val="20"/>
          <w:szCs w:val="20"/>
          <w:color w:val="auto"/>
        </w:rPr>
      </w:pPr>
    </w:p>
    <w:p>
      <w:pPr>
        <w:ind w:left="1780" w:hanging="542"/>
        <w:spacing w:after="0"/>
        <w:tabs>
          <w:tab w:leader="none" w:pos="178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Transactions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Description of the transactions</w:t>
            </w: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7"/>
          </w:tcPr>
          <w:p>
            <w:pPr>
              <w:jc w:val="right"/>
              <w:ind w:right="54"/>
              <w:spacing w:after="0"/>
              <w:rPr>
                <w:sz w:val="20"/>
                <w:szCs w:val="20"/>
                <w:color w:val="auto"/>
              </w:rPr>
            </w:pPr>
            <w:r>
              <w:rPr>
                <w:rFonts w:ascii="Arial" w:cs="Arial" w:eastAsia="Arial" w:hAnsi="Arial"/>
                <w:sz w:val="17"/>
                <w:szCs w:val="17"/>
                <w:color w:val="auto"/>
                <w:w w:val="98"/>
              </w:rPr>
              <w:t>Year ended December 31,</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2"/>
        </w:trPr>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2017</w:t>
            </w:r>
          </w:p>
        </w:tc>
        <w:tc>
          <w:tcPr>
            <w:tcW w:w="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2016</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2015</w:t>
            </w:r>
          </w:p>
        </w:tc>
        <w:tc>
          <w:tcPr>
            <w:tcW w:w="120" w:type="dxa"/>
            <w:vAlign w:val="bottom"/>
          </w:tcPr>
          <w:p>
            <w:pPr>
              <w:spacing w:after="0"/>
              <w:rPr>
                <w:sz w:val="18"/>
                <w:szCs w:val="18"/>
                <w:color w:val="auto"/>
              </w:rPr>
            </w:pPr>
          </w:p>
        </w:tc>
      </w:tr>
      <w:tr>
        <w:trPr>
          <w:trHeight w:val="206"/>
        </w:trPr>
        <w:tc>
          <w:tcPr>
            <w:tcW w:w="2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revenues</w:t>
            </w: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Purchase of services and goods from affiliates of a related party.</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13,970</w:t>
            </w:r>
          </w:p>
        </w:tc>
        <w:tc>
          <w:tcPr>
            <w:tcW w:w="120" w:type="dxa"/>
            <w:vAlign w:val="bottom"/>
            <w:shd w:val="clear" w:color="auto" w:fill="CCEEFF"/>
          </w:tcPr>
          <w:p>
            <w:pPr>
              <w:spacing w:after="0"/>
              <w:rPr>
                <w:sz w:val="17"/>
                <w:szCs w:val="17"/>
                <w:color w:val="auto"/>
              </w:rPr>
            </w:pPr>
          </w:p>
        </w:tc>
      </w:tr>
      <w:tr>
        <w:trPr>
          <w:trHeight w:val="193"/>
        </w:trPr>
        <w:tc>
          <w:tcPr>
            <w:tcW w:w="2460" w:type="dxa"/>
            <w:vAlign w:val="bottom"/>
            <w:gridSpan w:val="2"/>
          </w:tcPr>
          <w:p>
            <w:pPr>
              <w:spacing w:after="0" w:line="194" w:lineRule="exact"/>
              <w:rPr>
                <w:sz w:val="20"/>
                <w:szCs w:val="20"/>
                <w:color w:val="auto"/>
              </w:rPr>
            </w:pPr>
            <w:r>
              <w:rPr>
                <w:rFonts w:ascii="Arial" w:cs="Arial" w:eastAsia="Arial" w:hAnsi="Arial"/>
                <w:sz w:val="17"/>
                <w:szCs w:val="17"/>
                <w:color w:val="auto"/>
              </w:rPr>
              <w:t>General and Administrative</w:t>
            </w:r>
          </w:p>
        </w:tc>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7"/>
        </w:trPr>
        <w:tc>
          <w:tcPr>
            <w:tcW w:w="880" w:type="dxa"/>
            <w:vAlign w:val="bottom"/>
          </w:tcPr>
          <w:p>
            <w:pPr>
              <w:spacing w:after="0"/>
              <w:rPr>
                <w:sz w:val="20"/>
                <w:szCs w:val="20"/>
                <w:color w:val="auto"/>
              </w:rPr>
            </w:pPr>
            <w:r>
              <w:rPr>
                <w:rFonts w:ascii="Arial" w:cs="Arial" w:eastAsia="Arial" w:hAnsi="Arial"/>
                <w:sz w:val="17"/>
                <w:szCs w:val="17"/>
                <w:color w:val="auto"/>
              </w:rPr>
              <w:t>expenses</w:t>
            </w:r>
          </w:p>
        </w:tc>
        <w:tc>
          <w:tcPr>
            <w:tcW w:w="158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Directors’ fees and reimbursement to directors</w:t>
            </w:r>
          </w:p>
        </w:tc>
        <w:tc>
          <w:tcPr>
            <w:tcW w:w="920" w:type="dxa"/>
            <w:vAlign w:val="bottom"/>
            <w:gridSpan w:val="2"/>
          </w:tcPr>
          <w:p>
            <w:pPr>
              <w:jc w:val="right"/>
              <w:ind w:right="634"/>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719</w:t>
            </w:r>
          </w:p>
        </w:tc>
        <w:tc>
          <w:tcPr>
            <w:tcW w:w="30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639</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234</w:t>
            </w:r>
          </w:p>
        </w:tc>
      </w:tr>
      <w:tr>
        <w:trPr>
          <w:trHeight w:val="207"/>
        </w:trPr>
        <w:tc>
          <w:tcPr>
            <w:tcW w:w="2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expense (income), net</w:t>
            </w: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Equity loss (profit) in a limited partnership</w:t>
            </w:r>
          </w:p>
        </w:tc>
        <w:tc>
          <w:tcPr>
            <w:tcW w:w="920" w:type="dxa"/>
            <w:vAlign w:val="bottom"/>
            <w:gridSpan w:val="2"/>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w:t>
            </w:r>
          </w:p>
        </w:tc>
        <w:tc>
          <w:tcPr>
            <w:tcW w:w="30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r>
      <w:tr>
        <w:trPr>
          <w:trHeight w:val="500"/>
        </w:trPr>
        <w:tc>
          <w:tcPr>
            <w:tcW w:w="880" w:type="dxa"/>
            <w:vAlign w:val="bottom"/>
          </w:tcPr>
          <w:p>
            <w:pPr>
              <w:spacing w:after="0"/>
              <w:rPr>
                <w:sz w:val="20"/>
                <w:szCs w:val="20"/>
                <w:color w:val="auto"/>
              </w:rPr>
            </w:pPr>
            <w:r>
              <w:rPr>
                <w:rFonts w:ascii="Arial" w:cs="Arial" w:eastAsia="Arial" w:hAnsi="Arial"/>
                <w:sz w:val="17"/>
                <w:szCs w:val="17"/>
                <w:b w:val="1"/>
                <w:bCs w:val="1"/>
                <w:color w:val="auto"/>
              </w:rPr>
              <w:t>NOTE 21</w:t>
            </w:r>
          </w:p>
        </w:tc>
        <w:tc>
          <w:tcPr>
            <w:tcW w:w="6500" w:type="dxa"/>
            <w:vAlign w:val="bottom"/>
            <w:gridSpan w:val="2"/>
          </w:tcPr>
          <w:p>
            <w:pPr>
              <w:ind w:left="1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ADDITIONAL INFORMATION - RECONCILIATION OF US GAAP TO IFRS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59" w:lineRule="exact"/>
        <w:rPr>
          <w:sz w:val="20"/>
          <w:szCs w:val="20"/>
          <w:color w:val="auto"/>
        </w:rPr>
      </w:pPr>
    </w:p>
    <w:p>
      <w:pPr>
        <w:jc w:val="both"/>
        <w:ind w:left="1240"/>
        <w:spacing w:after="0" w:line="278" w:lineRule="auto"/>
        <w:rPr>
          <w:sz w:val="20"/>
          <w:szCs w:val="20"/>
          <w:color w:val="auto"/>
        </w:rPr>
      </w:pPr>
      <w:r>
        <w:rPr>
          <w:rFonts w:ascii="Arial" w:cs="Arial" w:eastAsia="Arial" w:hAnsi="Arial"/>
          <w:sz w:val="17"/>
          <w:szCs w:val="17"/>
          <w:color w:val="auto"/>
        </w:rPr>
        <w:t>Since the initial listing of the Company on NASDAQ in the United States of America in 1993, the Company utilized US GAAP reports (prior to 2007 Israeli GAAP reconciled to US GAAP) in the preparation of its financial statements.</w:t>
      </w:r>
    </w:p>
    <w:p>
      <w:pPr>
        <w:spacing w:after="0" w:line="216" w:lineRule="exact"/>
        <w:rPr>
          <w:sz w:val="20"/>
          <w:szCs w:val="20"/>
          <w:color w:val="auto"/>
        </w:rPr>
      </w:pPr>
    </w:p>
    <w:p>
      <w:pPr>
        <w:jc w:val="both"/>
        <w:ind w:left="1240"/>
        <w:spacing w:after="0" w:line="259" w:lineRule="auto"/>
        <w:rPr>
          <w:sz w:val="20"/>
          <w:szCs w:val="20"/>
          <w:color w:val="auto"/>
        </w:rPr>
      </w:pPr>
      <w:r>
        <w:rPr>
          <w:rFonts w:ascii="Arial" w:cs="Arial" w:eastAsia="Arial" w:hAnsi="Arial"/>
          <w:sz w:val="17"/>
          <w:szCs w:val="17"/>
          <w:color w:val="auto"/>
        </w:rPr>
        <w:t>As many of the Company’s investors and analysts are located in Israel and in Europe and are familiar with and use the International Financial Reporting Standards rules (“IFRS”), the Company provides on a voluntary basis a reconciliation from US GAAP to IFRS as detailed below (condensed balance sheet, condensed statement of operations and additional information). IFRS differs in certain significant aspects from US GAAP. The primary differences between US GAAP and IFRS relating to the Company are the accounting for goodwill, financial instruments, pension plans and termination benefits.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20" w:val="left"/>
          <w:tab w:leader="none" w:pos="1400" w:val="left"/>
        </w:tabs>
        <w:rPr>
          <w:sz w:val="20"/>
          <w:szCs w:val="20"/>
          <w:color w:val="auto"/>
        </w:rPr>
      </w:pPr>
      <w:r>
        <w:rPr>
          <w:rFonts w:ascii="Arial" w:cs="Arial" w:eastAsia="Arial" w:hAnsi="Arial"/>
          <w:sz w:val="17"/>
          <w:szCs w:val="17"/>
          <w:b w:val="1"/>
          <w:bCs w:val="1"/>
          <w:color w:val="auto"/>
        </w:rPr>
        <w:t>NOTE 21</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ADDITIONAL INFORMATION- RECONCILIATION OF US GAAP TO IFRS (cont.)</w:t>
      </w:r>
    </w:p>
    <w:p>
      <w:pPr>
        <w:spacing w:after="0" w:line="280" w:lineRule="exact"/>
        <w:rPr>
          <w:sz w:val="20"/>
          <w:szCs w:val="20"/>
          <w:color w:val="auto"/>
        </w:rPr>
      </w:pPr>
    </w:p>
    <w:p>
      <w:pPr>
        <w:ind w:left="1780" w:hanging="542"/>
        <w:spacing w:after="0"/>
        <w:tabs>
          <w:tab w:leader="none" w:pos="178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Goodwill</w:t>
      </w:r>
    </w:p>
    <w:p>
      <w:pPr>
        <w:spacing w:after="0" w:line="273"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Adjustment arising from goodwill of a subsidiary acquired in 2008.</w:t>
      </w:r>
    </w:p>
    <w:p>
      <w:pPr>
        <w:spacing w:after="0" w:line="267"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The purchase consideration was paid in Tower’s ordinary shares. Under US GAAP, the consideration was measured according to Tower's share price at the transaction announcement date. Under IFRS, the consideration was measured according to Tower's share price at closing date. Accordingly, a lower purchase consideration was measured under IFRS than the purchase consideration measured under US GAAP. Consequently, no purchase price was allocated to goodwill under IFRS.</w:t>
      </w:r>
    </w:p>
    <w:p>
      <w:pPr>
        <w:spacing w:after="0" w:line="224" w:lineRule="exact"/>
        <w:rPr>
          <w:rFonts w:ascii="Arial" w:cs="Arial" w:eastAsia="Arial" w:hAnsi="Arial"/>
          <w:sz w:val="17"/>
          <w:szCs w:val="17"/>
          <w:b w:val="1"/>
          <w:bCs w:val="1"/>
          <w:color w:val="auto"/>
        </w:rPr>
      </w:pPr>
    </w:p>
    <w:p>
      <w:pPr>
        <w:ind w:left="1780" w:hanging="542"/>
        <w:spacing w:after="0"/>
        <w:tabs>
          <w:tab w:leader="none" w:pos="178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w:t>
      </w:r>
    </w:p>
    <w:p>
      <w:pPr>
        <w:spacing w:after="0" w:line="273"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Adjustments arising from allocation of proceeds from issuance of convertible debentures and warrants to liabilities and equity and the subsequent measurement of such liabilities.</w:t>
      </w:r>
    </w:p>
    <w:p>
      <w:pPr>
        <w:spacing w:after="0" w:line="216" w:lineRule="exact"/>
        <w:rPr>
          <w:rFonts w:ascii="Arial" w:cs="Arial" w:eastAsia="Arial" w:hAnsi="Arial"/>
          <w:sz w:val="17"/>
          <w:szCs w:val="17"/>
          <w:b w:val="1"/>
          <w:bCs w:val="1"/>
          <w:color w:val="auto"/>
        </w:rPr>
      </w:pPr>
    </w:p>
    <w:p>
      <w:pPr>
        <w:jc w:val="both"/>
        <w:ind w:left="178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The adjustment stems primarily from a convertible debt security sold by Tower in 2010, with a conversion ratio that was determined in the third quarter of 2012 based on Tower's share price as of such date. Under ASC 815 and ASC 470-20, the related conversion feature was measured in the third quarter of 2012 based on its intrinsic value and recorded to equity, with a corresponding discount on the debt instrument. Under IAS 39, such conversion feature was bifurcated from its host contract at the date of issuance and measured as a liability at fair value at each cut-off date until the date of determination of the related conversion ratio, at which date such conversion feature was classified to equity.</w:t>
      </w:r>
    </w:p>
    <w:p>
      <w:pPr>
        <w:spacing w:after="0" w:line="230" w:lineRule="exact"/>
        <w:rPr>
          <w:rFonts w:ascii="Arial" w:cs="Arial" w:eastAsia="Arial" w:hAnsi="Arial"/>
          <w:sz w:val="17"/>
          <w:szCs w:val="17"/>
          <w:b w:val="1"/>
          <w:bCs w:val="1"/>
          <w:color w:val="auto"/>
        </w:rPr>
      </w:pPr>
    </w:p>
    <w:p>
      <w:pPr>
        <w:ind w:left="1780" w:hanging="542"/>
        <w:spacing w:after="0"/>
        <w:tabs>
          <w:tab w:leader="none" w:pos="178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Pension Plans</w:t>
      </w:r>
    </w:p>
    <w:p>
      <w:pPr>
        <w:spacing w:after="0" w:line="273"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Adjustments arising from defined benefit pension arrangements.</w:t>
      </w:r>
    </w:p>
    <w:p>
      <w:pPr>
        <w:spacing w:after="0" w:line="267" w:lineRule="exact"/>
        <w:rPr>
          <w:rFonts w:ascii="Arial" w:cs="Arial" w:eastAsia="Arial" w:hAnsi="Arial"/>
          <w:sz w:val="17"/>
          <w:szCs w:val="17"/>
          <w:b w:val="1"/>
          <w:bCs w:val="1"/>
          <w:color w:val="auto"/>
        </w:rPr>
      </w:pPr>
    </w:p>
    <w:p>
      <w:pPr>
        <w:jc w:val="both"/>
        <w:ind w:left="178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Under ASC 715, prior years’ service cost, as well as actuarial gains and losses, are recorded in accumulated other comprehensive income, and amortized to the profit and loss statement over time. Under IAS 19, prior years’ service cost is recorded to the profit and loss statement in the period in which the underlying change was executed, while actuarial gains and losses, at the Company's election, are recorded directly to retained earnings with no impact on the profit and loss statement.</w:t>
      </w:r>
    </w:p>
    <w:p>
      <w:pPr>
        <w:spacing w:after="0" w:line="224" w:lineRule="exact"/>
        <w:rPr>
          <w:rFonts w:ascii="Arial" w:cs="Arial" w:eastAsia="Arial" w:hAnsi="Arial"/>
          <w:sz w:val="17"/>
          <w:szCs w:val="17"/>
          <w:b w:val="1"/>
          <w:bCs w:val="1"/>
          <w:color w:val="auto"/>
        </w:rPr>
      </w:pPr>
    </w:p>
    <w:p>
      <w:pPr>
        <w:ind w:left="1780" w:hanging="542"/>
        <w:spacing w:after="0"/>
        <w:tabs>
          <w:tab w:leader="none" w:pos="178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Benefits</w:t>
      </w:r>
    </w:p>
    <w:p>
      <w:pPr>
        <w:spacing w:after="0" w:line="273" w:lineRule="exact"/>
        <w:rPr>
          <w:rFonts w:ascii="Arial" w:cs="Arial" w:eastAsia="Arial" w:hAnsi="Arial"/>
          <w:sz w:val="17"/>
          <w:szCs w:val="17"/>
          <w:b w:val="1"/>
          <w:bCs w:val="1"/>
          <w:color w:val="auto"/>
        </w:rPr>
      </w:pPr>
    </w:p>
    <w:p>
      <w:pPr>
        <w:ind w:left="1780"/>
        <w:spacing w:after="0"/>
        <w:rPr>
          <w:rFonts w:ascii="Arial" w:cs="Arial" w:eastAsia="Arial" w:hAnsi="Arial"/>
          <w:sz w:val="17"/>
          <w:szCs w:val="17"/>
          <w:b w:val="1"/>
          <w:bCs w:val="1"/>
          <w:color w:val="auto"/>
        </w:rPr>
      </w:pPr>
      <w:r>
        <w:rPr>
          <w:rFonts w:ascii="Arial" w:cs="Arial" w:eastAsia="Arial" w:hAnsi="Arial"/>
          <w:sz w:val="17"/>
          <w:szCs w:val="17"/>
          <w:color w:val="auto"/>
        </w:rPr>
        <w:t>Adjustment arising from benefit to be granted to certain of the Company’s employees upon termination.</w:t>
      </w:r>
    </w:p>
    <w:p>
      <w:pPr>
        <w:spacing w:after="0" w:line="267" w:lineRule="exact"/>
        <w:rPr>
          <w:rFonts w:ascii="Arial" w:cs="Arial" w:eastAsia="Arial" w:hAnsi="Arial"/>
          <w:sz w:val="17"/>
          <w:szCs w:val="17"/>
          <w:b w:val="1"/>
          <w:bCs w:val="1"/>
          <w:color w:val="auto"/>
        </w:rPr>
      </w:pPr>
    </w:p>
    <w:p>
      <w:pPr>
        <w:ind w:left="1780"/>
        <w:spacing w:after="0" w:line="278" w:lineRule="auto"/>
        <w:rPr>
          <w:rFonts w:ascii="Arial" w:cs="Arial" w:eastAsia="Arial" w:hAnsi="Arial"/>
          <w:sz w:val="17"/>
          <w:szCs w:val="17"/>
          <w:b w:val="1"/>
          <w:bCs w:val="1"/>
          <w:color w:val="auto"/>
        </w:rPr>
      </w:pPr>
      <w:r>
        <w:rPr>
          <w:rFonts w:ascii="Arial" w:cs="Arial" w:eastAsia="Arial" w:hAnsi="Arial"/>
          <w:sz w:val="17"/>
          <w:szCs w:val="17"/>
          <w:color w:val="auto"/>
        </w:rPr>
        <w:t>Under IAS 19, such benefits are not reflected in the Company's financial statements until termination occurs. Under ASC 712, such benefits are recorded in earlier periods based on probability of occurrence.</w:t>
      </w:r>
    </w:p>
    <w:p>
      <w:pPr>
        <w:spacing w:after="0" w:line="331" w:lineRule="exact"/>
        <w:rPr>
          <w:rFonts w:ascii="Arial" w:cs="Arial" w:eastAsia="Arial" w:hAnsi="Arial"/>
          <w:sz w:val="17"/>
          <w:szCs w:val="17"/>
          <w:b w:val="1"/>
          <w:bCs w:val="1"/>
          <w:color w:val="auto"/>
        </w:rPr>
      </w:pPr>
    </w:p>
    <w:p>
      <w:pPr>
        <w:ind w:left="5620" w:hanging="92"/>
        <w:spacing w:after="0"/>
        <w:tabs>
          <w:tab w:leader="none" w:pos="5620" w:val="left"/>
        </w:tabs>
        <w:numPr>
          <w:ilvl w:val="1"/>
          <w:numId w:val="68"/>
        </w:numPr>
        <w:rPr>
          <w:rFonts w:ascii="Arial" w:cs="Arial" w:eastAsia="Arial" w:hAnsi="Arial"/>
          <w:sz w:val="17"/>
          <w:szCs w:val="17"/>
          <w:color w:val="auto"/>
        </w:rPr>
      </w:pPr>
      <w:r>
        <w:rPr>
          <w:rFonts w:ascii="Arial" w:cs="Arial" w:eastAsia="Arial" w:hAnsi="Arial"/>
          <w:sz w:val="17"/>
          <w:szCs w:val="17"/>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725297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21</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ADDITIONAL INFORMATION- RECONCILIATION OF US GAAP TO IFRS (cont.)</w:t>
      </w:r>
    </w:p>
    <w:p>
      <w:pPr>
        <w:spacing w:after="0" w:line="280" w:lineRule="exact"/>
        <w:rPr>
          <w:sz w:val="20"/>
          <w:szCs w:val="20"/>
          <w:color w:val="auto"/>
        </w:rPr>
      </w:pPr>
    </w:p>
    <w:p>
      <w:pPr>
        <w:ind w:left="1780" w:hanging="542"/>
        <w:spacing w:after="0"/>
        <w:tabs>
          <w:tab w:leader="none" w:pos="178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Condensed Balance Sheet in Accordance with IFRS:</w:t>
      </w:r>
    </w:p>
    <w:p>
      <w:pPr>
        <w:spacing w:after="0" w:line="274" w:lineRule="exact"/>
        <w:rPr>
          <w:sz w:val="20"/>
          <w:szCs w:val="20"/>
          <w:color w:val="auto"/>
        </w:rPr>
      </w:pPr>
    </w:p>
    <w:tbl>
      <w:tblPr>
        <w:tblLayout w:type="fixed"/>
        <w:tblInd w:w="1620" w:type="dxa"/>
        <w:tblCellMar>
          <w:top w:w="0" w:type="dxa"/>
          <w:left w:w="0" w:type="dxa"/>
          <w:bottom w:w="0" w:type="dxa"/>
          <w:right w:w="0" w:type="dxa"/>
        </w:tblCellMar>
      </w:tblPr>
      <w:tr>
        <w:trPr>
          <w:trHeight w:val="224"/>
        </w:trPr>
        <w:tc>
          <w:tcPr>
            <w:tcW w:w="6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color w:val="auto"/>
              </w:rPr>
              <w:t>As of December 31, 2017</w:t>
            </w: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7"/>
                <w:szCs w:val="17"/>
                <w:color w:val="auto"/>
                <w:w w:val="95"/>
              </w:rPr>
              <w:t>US GAAP</w:t>
            </w:r>
          </w:p>
        </w:tc>
        <w:tc>
          <w:tcPr>
            <w:tcW w:w="200" w:type="dxa"/>
            <w:vAlign w:val="bottom"/>
          </w:tcPr>
          <w:p>
            <w:pPr>
              <w:spacing w:after="0"/>
              <w:rPr>
                <w:sz w:val="18"/>
                <w:szCs w:val="18"/>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7"/>
                <w:szCs w:val="17"/>
                <w:color w:val="auto"/>
                <w:w w:val="96"/>
              </w:rPr>
              <w:t>Adjustments</w:t>
            </w:r>
          </w:p>
        </w:tc>
        <w:tc>
          <w:tcPr>
            <w:tcW w:w="200" w:type="dxa"/>
            <w:vAlign w:val="bottom"/>
          </w:tcPr>
          <w:p>
            <w:pPr>
              <w:spacing w:after="0"/>
              <w:rPr>
                <w:sz w:val="18"/>
                <w:szCs w:val="18"/>
                <w:color w:val="auto"/>
              </w:rPr>
            </w:pPr>
          </w:p>
        </w:tc>
        <w:tc>
          <w:tcPr>
            <w:tcW w:w="760" w:type="dxa"/>
            <w:vAlign w:val="bottom"/>
          </w:tcPr>
          <w:p>
            <w:pPr>
              <w:jc w:val="right"/>
              <w:ind w:right="214"/>
              <w:spacing w:after="0"/>
              <w:rPr>
                <w:sz w:val="20"/>
                <w:szCs w:val="20"/>
                <w:color w:val="auto"/>
              </w:rPr>
            </w:pPr>
            <w:r>
              <w:rPr>
                <w:rFonts w:ascii="Arial" w:cs="Arial" w:eastAsia="Arial" w:hAnsi="Arial"/>
                <w:sz w:val="17"/>
                <w:szCs w:val="17"/>
                <w:color w:val="auto"/>
              </w:rPr>
              <w:t>IFRS</w:t>
            </w:r>
          </w:p>
        </w:tc>
        <w:tc>
          <w:tcPr>
            <w:tcW w:w="80" w:type="dxa"/>
            <w:vAlign w:val="bottom"/>
          </w:tcPr>
          <w:p>
            <w:pPr>
              <w:spacing w:after="0"/>
              <w:rPr>
                <w:sz w:val="18"/>
                <w:szCs w:val="18"/>
                <w:color w:val="auto"/>
              </w:rPr>
            </w:pPr>
          </w:p>
        </w:tc>
      </w:tr>
      <w:tr>
        <w:trPr>
          <w:trHeight w:val="206"/>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6380" w:type="dxa"/>
            <w:vAlign w:val="bottom"/>
          </w:tcPr>
          <w:p>
            <w:pPr>
              <w:ind w:left="80"/>
              <w:spacing w:after="0"/>
              <w:rPr>
                <w:sz w:val="20"/>
                <w:szCs w:val="20"/>
                <w:color w:val="auto"/>
              </w:rPr>
            </w:pPr>
            <w:r>
              <w:rPr>
                <w:rFonts w:ascii="Arial" w:cs="Arial" w:eastAsia="Arial" w:hAnsi="Arial"/>
                <w:sz w:val="17"/>
                <w:szCs w:val="17"/>
                <w:color w:val="auto"/>
              </w:rPr>
              <w:t>Current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874,332</w:t>
            </w:r>
          </w:p>
        </w:tc>
        <w:tc>
          <w:tcPr>
            <w:tcW w:w="520" w:type="dxa"/>
            <w:vAlign w:val="bottom"/>
            <w:gridSpan w:val="2"/>
          </w:tcPr>
          <w:p>
            <w:pPr>
              <w:jc w:val="right"/>
              <w:ind w:right="161"/>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874,332</w:t>
            </w:r>
          </w:p>
        </w:tc>
      </w:tr>
      <w:tr>
        <w:trPr>
          <w:trHeight w:val="206"/>
        </w:trPr>
        <w:tc>
          <w:tcPr>
            <w:tcW w:w="6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Property and equipment, net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635,124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635,124</w:t>
            </w:r>
          </w:p>
        </w:tc>
      </w:tr>
      <w:tr>
        <w:trPr>
          <w:trHeight w:val="212"/>
        </w:trPr>
        <w:tc>
          <w:tcPr>
            <w:tcW w:w="6380" w:type="dxa"/>
            <w:vAlign w:val="bottom"/>
          </w:tcPr>
          <w:p>
            <w:pPr>
              <w:ind w:left="80"/>
              <w:spacing w:after="0"/>
              <w:rPr>
                <w:sz w:val="20"/>
                <w:szCs w:val="20"/>
                <w:color w:val="auto"/>
              </w:rPr>
            </w:pPr>
            <w:r>
              <w:rPr>
                <w:rFonts w:ascii="Arial" w:cs="Arial" w:eastAsia="Arial" w:hAnsi="Arial"/>
                <w:sz w:val="17"/>
                <w:szCs w:val="17"/>
                <w:color w:val="auto"/>
              </w:rPr>
              <w:t>Long-term assets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164,183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(7,000)</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157,183</w:t>
            </w:r>
          </w:p>
        </w:tc>
      </w:tr>
      <w:tr>
        <w:trPr>
          <w:trHeight w:val="246"/>
        </w:trPr>
        <w:tc>
          <w:tcPr>
            <w:tcW w:w="6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1, 673,639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1, 666,639</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6380" w:type="dxa"/>
            <w:vAlign w:val="bottom"/>
          </w:tcPr>
          <w:p>
            <w:pPr>
              <w:spacing w:after="0"/>
              <w:rPr>
                <w:sz w:val="20"/>
                <w:szCs w:val="20"/>
                <w:color w:val="auto"/>
              </w:rPr>
            </w:pPr>
            <w:r>
              <w:rPr>
                <w:rFonts w:ascii="Arial" w:cs="Arial" w:eastAsia="Arial" w:hAnsi="Arial"/>
                <w:sz w:val="17"/>
                <w:szCs w:val="17"/>
                <w:color w:val="auto"/>
              </w:rPr>
              <w:t>LIABILITIES AND SHAREHOLDERS' EQUITY</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6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302,373</w:t>
            </w:r>
          </w:p>
        </w:tc>
        <w:tc>
          <w:tcPr>
            <w:tcW w:w="520" w:type="dxa"/>
            <w:vAlign w:val="bottom"/>
            <w:gridSpan w:val="2"/>
            <w:shd w:val="clear" w:color="auto" w:fill="CCEEFF"/>
          </w:tcPr>
          <w:p>
            <w:pPr>
              <w:jc w:val="right"/>
              <w:ind w:right="161"/>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302,373</w:t>
            </w:r>
          </w:p>
        </w:tc>
      </w:tr>
      <w:tr>
        <w:trPr>
          <w:trHeight w:val="212"/>
        </w:trPr>
        <w:tc>
          <w:tcPr>
            <w:tcW w:w="6380" w:type="dxa"/>
            <w:vAlign w:val="bottom"/>
          </w:tcPr>
          <w:p>
            <w:pPr>
              <w:ind w:left="80"/>
              <w:spacing w:after="0"/>
              <w:rPr>
                <w:sz w:val="20"/>
                <w:szCs w:val="20"/>
                <w:color w:val="auto"/>
              </w:rPr>
            </w:pPr>
            <w:r>
              <w:rPr>
                <w:rFonts w:ascii="Arial" w:cs="Arial" w:eastAsia="Arial" w:hAnsi="Arial"/>
                <w:sz w:val="17"/>
                <w:szCs w:val="17"/>
                <w:color w:val="auto"/>
              </w:rPr>
              <w:t>Long-term liabilities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341,560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(1,152)</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340,408</w:t>
            </w:r>
          </w:p>
        </w:tc>
      </w:tr>
      <w:tr>
        <w:trPr>
          <w:trHeight w:val="206"/>
        </w:trPr>
        <w:tc>
          <w:tcPr>
            <w:tcW w:w="6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liabilities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643,933</w:t>
            </w:r>
          </w:p>
        </w:tc>
        <w:tc>
          <w:tcPr>
            <w:tcW w:w="2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(1,152)</w:t>
            </w: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642,781</w:t>
            </w:r>
          </w:p>
        </w:tc>
        <w:tc>
          <w:tcPr>
            <w:tcW w:w="80" w:type="dxa"/>
            <w:vAlign w:val="bottom"/>
            <w:shd w:val="clear" w:color="auto" w:fill="CCEEFF"/>
          </w:tcPr>
          <w:p>
            <w:pPr>
              <w:spacing w:after="0"/>
              <w:rPr>
                <w:sz w:val="17"/>
                <w:szCs w:val="17"/>
                <w:color w:val="auto"/>
              </w:rPr>
            </w:pPr>
          </w:p>
        </w:tc>
      </w:tr>
      <w:tr>
        <w:trPr>
          <w:trHeight w:val="212"/>
        </w:trPr>
        <w:tc>
          <w:tcPr>
            <w:tcW w:w="6380" w:type="dxa"/>
            <w:vAlign w:val="bottom"/>
          </w:tcPr>
          <w:p>
            <w:pPr>
              <w:spacing w:after="0"/>
              <w:rPr>
                <w:sz w:val="20"/>
                <w:szCs w:val="20"/>
                <w:color w:val="auto"/>
              </w:rPr>
            </w:pPr>
            <w:r>
              <w:rPr>
                <w:rFonts w:ascii="Arial" w:cs="Arial" w:eastAsia="Arial" w:hAnsi="Arial"/>
                <w:sz w:val="17"/>
                <w:szCs w:val="17"/>
                <w:color w:val="auto"/>
              </w:rPr>
              <w:t>TOTAL SHAREHOLDERS’ EQUITY</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1,029,706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(5,848)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1,023,858</w:t>
            </w:r>
          </w:p>
        </w:tc>
        <w:tc>
          <w:tcPr>
            <w:tcW w:w="80" w:type="dxa"/>
            <w:vAlign w:val="bottom"/>
          </w:tcPr>
          <w:p>
            <w:pPr>
              <w:spacing w:after="0"/>
              <w:rPr>
                <w:sz w:val="18"/>
                <w:szCs w:val="18"/>
                <w:color w:val="auto"/>
              </w:rPr>
            </w:pPr>
          </w:p>
        </w:tc>
      </w:tr>
      <w:tr>
        <w:trPr>
          <w:trHeight w:val="246"/>
        </w:trPr>
        <w:tc>
          <w:tcPr>
            <w:tcW w:w="6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liabilities and shareholders' equity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1, 673,639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1, 666,639</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39" w:lineRule="exact"/>
        <w:rPr>
          <w:sz w:val="20"/>
          <w:szCs w:val="20"/>
          <w:color w:val="auto"/>
        </w:rPr>
      </w:pPr>
    </w:p>
    <w:p>
      <w:pPr>
        <w:ind w:left="1780" w:hanging="542"/>
        <w:spacing w:after="0"/>
        <w:tabs>
          <w:tab w:leader="none" w:pos="178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Condensed Statement of Operations in Accordance with IFRS: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00" w:type="dxa"/>
            <w:vAlign w:val="bottom"/>
            <w:gridSpan w:val="8"/>
          </w:tcPr>
          <w:p>
            <w:pPr>
              <w:jc w:val="center"/>
              <w:ind w:right="200"/>
              <w:spacing w:after="0"/>
              <w:rPr>
                <w:sz w:val="20"/>
                <w:szCs w:val="20"/>
                <w:color w:val="auto"/>
              </w:rPr>
            </w:pPr>
            <w:r>
              <w:rPr>
                <w:rFonts w:ascii="Arial" w:cs="Arial" w:eastAsia="Arial" w:hAnsi="Arial"/>
                <w:sz w:val="17"/>
                <w:szCs w:val="17"/>
                <w:color w:val="auto"/>
                <w:w w:val="88"/>
              </w:rPr>
              <w:t>Year ended December 31, 2017</w:t>
            </w:r>
          </w:p>
        </w:tc>
      </w:tr>
      <w:tr>
        <w:trPr>
          <w:trHeight w:val="212"/>
        </w:trPr>
        <w:tc>
          <w:tcPr>
            <w:tcW w:w="16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7"/>
                <w:szCs w:val="17"/>
                <w:color w:val="auto"/>
                <w:w w:val="95"/>
              </w:rPr>
              <w:t>US GAAP</w:t>
            </w:r>
          </w:p>
        </w:tc>
        <w:tc>
          <w:tcPr>
            <w:tcW w:w="118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7"/>
                <w:szCs w:val="17"/>
                <w:color w:val="auto"/>
                <w:w w:val="91"/>
              </w:rPr>
              <w:t>Adjustments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14"/>
              <w:spacing w:after="0"/>
              <w:rPr>
                <w:sz w:val="20"/>
                <w:szCs w:val="20"/>
                <w:color w:val="auto"/>
              </w:rPr>
            </w:pPr>
            <w:r>
              <w:rPr>
                <w:rFonts w:ascii="Arial" w:cs="Arial" w:eastAsia="Arial" w:hAnsi="Arial"/>
                <w:sz w:val="17"/>
                <w:szCs w:val="17"/>
                <w:color w:val="auto"/>
              </w:rPr>
              <w:t>IFRS</w:t>
            </w:r>
          </w:p>
        </w:tc>
        <w:tc>
          <w:tcPr>
            <w:tcW w:w="80" w:type="dxa"/>
            <w:vAlign w:val="bottom"/>
          </w:tcPr>
          <w:p>
            <w:pPr>
              <w:spacing w:after="0"/>
              <w:rPr>
                <w:sz w:val="18"/>
                <w:szCs w:val="18"/>
                <w:color w:val="auto"/>
              </w:rPr>
            </w:pPr>
          </w:p>
        </w:tc>
      </w:tr>
      <w:tr>
        <w:trPr>
          <w:trHeight w:val="206"/>
        </w:trPr>
        <w:tc>
          <w:tcPr>
            <w:tcW w:w="16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2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219,842</w:t>
            </w: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219,311</w:t>
            </w:r>
          </w:p>
        </w:tc>
        <w:tc>
          <w:tcPr>
            <w:tcW w:w="80" w:type="dxa"/>
            <w:vAlign w:val="bottom"/>
            <w:shd w:val="clear" w:color="auto" w:fill="CCEEFF"/>
          </w:tcPr>
          <w:p>
            <w:pPr>
              <w:spacing w:after="0"/>
              <w:rPr>
                <w:sz w:val="17"/>
                <w:szCs w:val="17"/>
                <w:color w:val="auto"/>
              </w:rPr>
            </w:pPr>
          </w:p>
        </w:tc>
      </w:tr>
      <w:tr>
        <w:trPr>
          <w:trHeight w:val="206"/>
        </w:trPr>
        <w:tc>
          <w:tcPr>
            <w:tcW w:w="1620" w:type="dxa"/>
            <w:vAlign w:val="bottom"/>
          </w:tcPr>
          <w:p>
            <w:pPr>
              <w:spacing w:after="0"/>
              <w:rPr>
                <w:sz w:val="17"/>
                <w:szCs w:val="17"/>
                <w:color w:val="auto"/>
              </w:rPr>
            </w:pPr>
          </w:p>
        </w:tc>
        <w:tc>
          <w:tcPr>
            <w:tcW w:w="3840" w:type="dxa"/>
            <w:vAlign w:val="bottom"/>
          </w:tcPr>
          <w:p>
            <w:pPr>
              <w:ind w:left="220"/>
              <w:spacing w:after="0"/>
              <w:rPr>
                <w:sz w:val="20"/>
                <w:szCs w:val="20"/>
                <w:color w:val="auto"/>
              </w:rPr>
            </w:pPr>
            <w:r>
              <w:rPr>
                <w:rFonts w:ascii="Arial" w:cs="Arial" w:eastAsia="Arial" w:hAnsi="Arial"/>
                <w:sz w:val="17"/>
                <w:szCs w:val="17"/>
                <w:color w:val="auto"/>
              </w:rPr>
              <w:t>Interest expenses, net</w:t>
            </w: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(7,840)</w:t>
            </w:r>
          </w:p>
        </w:tc>
        <w:tc>
          <w:tcPr>
            <w:tcW w:w="3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(7,840)</w:t>
            </w:r>
          </w:p>
        </w:tc>
      </w:tr>
      <w:tr>
        <w:trPr>
          <w:trHeight w:val="206"/>
        </w:trPr>
        <w:tc>
          <w:tcPr>
            <w:tcW w:w="1620" w:type="dxa"/>
            <w:vAlign w:val="bottom"/>
          </w:tcPr>
          <w:p>
            <w:pPr>
              <w:spacing w:after="0"/>
              <w:rPr>
                <w:sz w:val="17"/>
                <w:szCs w:val="17"/>
                <w:color w:val="auto"/>
              </w:rPr>
            </w:pPr>
          </w:p>
        </w:tc>
        <w:tc>
          <w:tcPr>
            <w:tcW w:w="3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financing expense, net</w:t>
            </w: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(7,607)</w:t>
            </w: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(7,555)</w:t>
            </w:r>
          </w:p>
        </w:tc>
      </w:tr>
      <w:tr>
        <w:trPr>
          <w:trHeight w:val="212"/>
        </w:trPr>
        <w:tc>
          <w:tcPr>
            <w:tcW w:w="1620" w:type="dxa"/>
            <w:vAlign w:val="bottom"/>
          </w:tcPr>
          <w:p>
            <w:pPr>
              <w:spacing w:after="0"/>
              <w:rPr>
                <w:sz w:val="18"/>
                <w:szCs w:val="18"/>
                <w:color w:val="auto"/>
              </w:rPr>
            </w:pPr>
          </w:p>
        </w:tc>
        <w:tc>
          <w:tcPr>
            <w:tcW w:w="3840" w:type="dxa"/>
            <w:vAlign w:val="bottom"/>
          </w:tcPr>
          <w:p>
            <w:pPr>
              <w:ind w:left="220"/>
              <w:spacing w:after="0"/>
              <w:rPr>
                <w:sz w:val="20"/>
                <w:szCs w:val="20"/>
                <w:color w:val="auto"/>
              </w:rPr>
            </w:pPr>
            <w:r>
              <w:rPr>
                <w:rFonts w:ascii="Arial" w:cs="Arial" w:eastAsia="Arial" w:hAnsi="Arial"/>
                <w:sz w:val="17"/>
                <w:szCs w:val="17"/>
                <w:color w:val="auto"/>
              </w:rPr>
              <w:t>Other expense, net</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(2,627)</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(2,627)</w:t>
            </w:r>
          </w:p>
        </w:tc>
      </w:tr>
      <w:tr>
        <w:trPr>
          <w:trHeight w:val="206"/>
        </w:trPr>
        <w:tc>
          <w:tcPr>
            <w:tcW w:w="1620" w:type="dxa"/>
            <w:vAlign w:val="bottom"/>
          </w:tcPr>
          <w:p>
            <w:pPr>
              <w:spacing w:after="0"/>
              <w:rPr>
                <w:sz w:val="17"/>
                <w:szCs w:val="17"/>
                <w:color w:val="auto"/>
              </w:rPr>
            </w:pPr>
          </w:p>
        </w:tc>
        <w:tc>
          <w:tcPr>
            <w:tcW w:w="3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Profit before income tax</w:t>
            </w:r>
          </w:p>
        </w:tc>
        <w:tc>
          <w:tcPr>
            <w:tcW w:w="2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201,768</w:t>
            </w: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201,289</w:t>
            </w:r>
          </w:p>
        </w:tc>
        <w:tc>
          <w:tcPr>
            <w:tcW w:w="80" w:type="dxa"/>
            <w:vAlign w:val="bottom"/>
            <w:shd w:val="clear" w:color="auto" w:fill="CCEEFF"/>
          </w:tcPr>
          <w:p>
            <w:pPr>
              <w:spacing w:after="0"/>
              <w:rPr>
                <w:sz w:val="17"/>
                <w:szCs w:val="17"/>
                <w:color w:val="auto"/>
              </w:rPr>
            </w:pPr>
          </w:p>
        </w:tc>
      </w:tr>
      <w:tr>
        <w:trPr>
          <w:trHeight w:val="212"/>
        </w:trPr>
        <w:tc>
          <w:tcPr>
            <w:tcW w:w="1620" w:type="dxa"/>
            <w:vAlign w:val="bottom"/>
          </w:tcPr>
          <w:p>
            <w:pPr>
              <w:spacing w:after="0"/>
              <w:rPr>
                <w:sz w:val="18"/>
                <w:szCs w:val="18"/>
                <w:color w:val="auto"/>
              </w:rPr>
            </w:pPr>
          </w:p>
        </w:tc>
        <w:tc>
          <w:tcPr>
            <w:tcW w:w="3840" w:type="dxa"/>
            <w:vAlign w:val="bottom"/>
          </w:tcPr>
          <w:p>
            <w:pPr>
              <w:ind w:left="220"/>
              <w:spacing w:after="0"/>
              <w:rPr>
                <w:sz w:val="20"/>
                <w:szCs w:val="20"/>
                <w:color w:val="auto"/>
              </w:rPr>
            </w:pPr>
            <w:r>
              <w:rPr>
                <w:rFonts w:ascii="Arial" w:cs="Arial" w:eastAsia="Arial" w:hAnsi="Arial"/>
                <w:sz w:val="17"/>
                <w:szCs w:val="17"/>
                <w:color w:val="auto"/>
              </w:rPr>
              <w:t>Income tax benefit</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99,888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99,888</w:t>
            </w:r>
          </w:p>
        </w:tc>
      </w:tr>
      <w:tr>
        <w:trPr>
          <w:trHeight w:val="206"/>
        </w:trPr>
        <w:tc>
          <w:tcPr>
            <w:tcW w:w="16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NET PROFIT</w:t>
            </w:r>
          </w:p>
        </w:tc>
        <w:tc>
          <w:tcPr>
            <w:tcW w:w="2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301,656</w:t>
            </w:r>
          </w:p>
        </w:tc>
        <w:tc>
          <w:tcPr>
            <w:tcW w:w="2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301,177</w:t>
            </w:r>
          </w:p>
        </w:tc>
        <w:tc>
          <w:tcPr>
            <w:tcW w:w="80" w:type="dxa"/>
            <w:vAlign w:val="bottom"/>
            <w:shd w:val="clear" w:color="auto" w:fill="CCEEFF"/>
          </w:tcPr>
          <w:p>
            <w:pPr>
              <w:spacing w:after="0"/>
              <w:rPr>
                <w:sz w:val="17"/>
                <w:szCs w:val="17"/>
                <w:color w:val="auto"/>
              </w:rPr>
            </w:pPr>
          </w:p>
        </w:tc>
      </w:tr>
      <w:tr>
        <w:trPr>
          <w:trHeight w:val="212"/>
        </w:trPr>
        <w:tc>
          <w:tcPr>
            <w:tcW w:w="16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Net income attributable to non-controlling interest</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(3,645)</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(3,645)</w:t>
            </w:r>
          </w:p>
        </w:tc>
      </w:tr>
      <w:tr>
        <w:trPr>
          <w:trHeight w:val="246"/>
        </w:trPr>
        <w:tc>
          <w:tcPr>
            <w:tcW w:w="162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w w:val="97"/>
              </w:rPr>
              <w:t>NET PROFIT ATTRIBUTABLE TO THE COMPANY</w:t>
            </w:r>
          </w:p>
        </w:tc>
        <w:tc>
          <w:tcPr>
            <w:tcW w:w="2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298,011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(479)</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297,532</w:t>
            </w:r>
          </w:p>
        </w:tc>
        <w:tc>
          <w:tcPr>
            <w:tcW w:w="80" w:type="dxa"/>
            <w:vAlign w:val="bottom"/>
            <w:tcBorders>
              <w:bottom w:val="single" w:sz="8" w:color="CCEEFF"/>
            </w:tcBorders>
            <w:shd w:val="clear" w:color="auto" w:fill="CCEEFF"/>
          </w:tcPr>
          <w:p>
            <w:pPr>
              <w:spacing w:after="0"/>
              <w:rPr>
                <w:sz w:val="21"/>
                <w:szCs w:val="21"/>
                <w:color w:val="auto"/>
              </w:rPr>
            </w:pPr>
          </w:p>
        </w:tc>
      </w:tr>
      <w:tr>
        <w:trPr>
          <w:trHeight w:val="878"/>
        </w:trPr>
        <w:tc>
          <w:tcPr>
            <w:tcW w:w="16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540" w:type="dxa"/>
            <w:vAlign w:val="bottom"/>
          </w:tcPr>
          <w:p>
            <w:pPr>
              <w:jc w:val="right"/>
              <w:ind w:right="2014"/>
              <w:spacing w:after="0"/>
              <w:rPr>
                <w:sz w:val="20"/>
                <w:szCs w:val="20"/>
                <w:color w:val="auto"/>
              </w:rPr>
            </w:pPr>
            <w:r>
              <w:rPr>
                <w:rFonts w:ascii="Arial" w:cs="Arial" w:eastAsia="Arial" w:hAnsi="Arial"/>
                <w:sz w:val="17"/>
                <w:szCs w:val="17"/>
                <w:color w:val="auto"/>
              </w:rPr>
              <w:t>- 58 -</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
        </w:trPr>
        <w:tc>
          <w:tcPr>
            <w:tcW w:w="1620" w:type="dxa"/>
            <w:vAlign w:val="bottom"/>
            <w:tcBorders>
              <w:bottom w:val="single" w:sz="8" w:color="auto"/>
            </w:tcBorders>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89"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21</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ADDITIONAL INFORMATION- RECONCILIATION OF US GAAP TO IFRS (cont.)</w:t>
      </w:r>
    </w:p>
    <w:p>
      <w:pPr>
        <w:spacing w:after="0" w:line="280" w:lineRule="exact"/>
        <w:rPr>
          <w:sz w:val="20"/>
          <w:szCs w:val="20"/>
          <w:color w:val="auto"/>
        </w:rPr>
      </w:pPr>
    </w:p>
    <w:p>
      <w:pPr>
        <w:ind w:left="1780" w:hanging="542"/>
        <w:spacing w:after="0"/>
        <w:tabs>
          <w:tab w:leader="none" w:pos="178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Reconciliation of Net Profit (Loss) from US GAAP to IFRS:</w:t>
      </w:r>
    </w:p>
    <w:p>
      <w:pPr>
        <w:spacing w:after="0" w:line="274" w:lineRule="exact"/>
        <w:rPr>
          <w:sz w:val="20"/>
          <w:szCs w:val="20"/>
          <w:color w:val="auto"/>
        </w:rPr>
      </w:pPr>
    </w:p>
    <w:tbl>
      <w:tblPr>
        <w:tblLayout w:type="fixed"/>
        <w:tblInd w:w="1620" w:type="dxa"/>
        <w:tblCellMar>
          <w:top w:w="0" w:type="dxa"/>
          <w:left w:w="0" w:type="dxa"/>
          <w:bottom w:w="0" w:type="dxa"/>
          <w:right w:w="0" w:type="dxa"/>
        </w:tblCellMar>
      </w:tblPr>
      <w:tr>
        <w:trPr>
          <w:trHeight w:val="224"/>
        </w:trPr>
        <w:tc>
          <w:tcPr>
            <w:tcW w:w="6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color w:val="auto"/>
              </w:rPr>
              <w:t>Year ended December 31,</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6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2016</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8"/>
                <w:szCs w:val="18"/>
                <w:color w:val="auto"/>
              </w:rPr>
            </w:pPr>
          </w:p>
        </w:tc>
      </w:tr>
      <w:tr>
        <w:trPr>
          <w:trHeight w:val="206"/>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Net profit (loss) in accordance with US GAAP</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298,011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203,924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(29,647)</w:t>
            </w:r>
          </w:p>
        </w:tc>
        <w:tc>
          <w:tcPr>
            <w:tcW w:w="80" w:type="dxa"/>
            <w:vAlign w:val="bottom"/>
            <w:shd w:val="clear" w:color="auto" w:fill="CCEEFF"/>
          </w:tcPr>
          <w:p>
            <w:pPr>
              <w:spacing w:after="0"/>
              <w:rPr>
                <w:sz w:val="17"/>
                <w:szCs w:val="17"/>
                <w:color w:val="auto"/>
              </w:rPr>
            </w:pPr>
          </w:p>
        </w:tc>
      </w:tr>
      <w:tr>
        <w:trPr>
          <w:trHeight w:val="206"/>
        </w:trPr>
        <w:tc>
          <w:tcPr>
            <w:tcW w:w="6380" w:type="dxa"/>
            <w:vAlign w:val="bottom"/>
          </w:tcPr>
          <w:p>
            <w:pPr>
              <w:spacing w:after="0"/>
              <w:rPr>
                <w:sz w:val="20"/>
                <w:szCs w:val="20"/>
                <w:color w:val="auto"/>
              </w:rPr>
            </w:pPr>
            <w:r>
              <w:rPr>
                <w:rFonts w:ascii="Arial" w:cs="Arial" w:eastAsia="Arial" w:hAnsi="Arial"/>
                <w:sz w:val="17"/>
                <w:szCs w:val="17"/>
                <w:color w:val="auto"/>
              </w:rPr>
              <w:t>Financial instruments</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143</w:t>
            </w:r>
          </w:p>
        </w:tc>
        <w:tc>
          <w:tcPr>
            <w:tcW w:w="2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73,770</w:t>
            </w:r>
          </w:p>
        </w:tc>
      </w:tr>
      <w:tr>
        <w:trPr>
          <w:trHeight w:val="206"/>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Pension plans</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(308)</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(705)</w:t>
            </w:r>
          </w:p>
        </w:tc>
      </w:tr>
      <w:tr>
        <w:trPr>
          <w:trHeight w:val="212"/>
        </w:trPr>
        <w:tc>
          <w:tcPr>
            <w:tcW w:w="6380" w:type="dxa"/>
            <w:vAlign w:val="bottom"/>
          </w:tcPr>
          <w:p>
            <w:pPr>
              <w:spacing w:after="0"/>
              <w:rPr>
                <w:sz w:val="20"/>
                <w:szCs w:val="20"/>
                <w:color w:val="auto"/>
              </w:rPr>
            </w:pPr>
            <w:r>
              <w:rPr>
                <w:rFonts w:ascii="Arial" w:cs="Arial" w:eastAsia="Arial" w:hAnsi="Arial"/>
                <w:sz w:val="17"/>
                <w:szCs w:val="17"/>
                <w:color w:val="auto"/>
              </w:rPr>
              <w:t>Termination benefits</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(223)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(45)</w:t>
            </w:r>
          </w:p>
        </w:tc>
      </w:tr>
      <w:tr>
        <w:trPr>
          <w:trHeight w:val="246"/>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profit in accordance with IFRS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297,532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203,874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43,373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39" w:lineRule="exact"/>
        <w:rPr>
          <w:sz w:val="20"/>
          <w:szCs w:val="20"/>
          <w:color w:val="auto"/>
        </w:rPr>
      </w:pPr>
    </w:p>
    <w:p>
      <w:pPr>
        <w:ind w:left="1780" w:hanging="542"/>
        <w:spacing w:after="0"/>
        <w:tabs>
          <w:tab w:leader="none" w:pos="178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Reconciliation of Shareholders’ Equity from US GAAP to IFRS:</w:t>
      </w:r>
    </w:p>
    <w:p>
      <w:pPr>
        <w:spacing w:after="0" w:line="248" w:lineRule="exact"/>
        <w:rPr>
          <w:sz w:val="20"/>
          <w:szCs w:val="20"/>
          <w:color w:val="auto"/>
        </w:rPr>
      </w:pPr>
    </w:p>
    <w:tbl>
      <w:tblPr>
        <w:tblLayout w:type="fixed"/>
        <w:tblInd w:w="1620" w:type="dxa"/>
        <w:tblCellMar>
          <w:top w:w="0" w:type="dxa"/>
          <w:left w:w="0" w:type="dxa"/>
          <w:bottom w:w="0" w:type="dxa"/>
          <w:right w:w="0" w:type="dxa"/>
        </w:tblCellMar>
      </w:tblPr>
      <w:tr>
        <w:trPr>
          <w:trHeight w:val="224"/>
        </w:trPr>
        <w:tc>
          <w:tcPr>
            <w:tcW w:w="7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5"/>
          </w:tcPr>
          <w:p>
            <w:pPr>
              <w:jc w:val="right"/>
              <w:ind w:right="460"/>
              <w:spacing w:after="0"/>
              <w:rPr>
                <w:sz w:val="20"/>
                <w:szCs w:val="20"/>
                <w:color w:val="auto"/>
              </w:rPr>
            </w:pPr>
            <w:r>
              <w:rPr>
                <w:rFonts w:ascii="Arial" w:cs="Arial" w:eastAsia="Arial" w:hAnsi="Arial"/>
                <w:sz w:val="17"/>
                <w:szCs w:val="17"/>
                <w:color w:val="auto"/>
              </w:rPr>
              <w:t>As of December 31,</w:t>
            </w:r>
          </w:p>
        </w:tc>
      </w:tr>
      <w:tr>
        <w:trPr>
          <w:trHeight w:val="212"/>
        </w:trPr>
        <w:tc>
          <w:tcPr>
            <w:tcW w:w="75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 in accordance with US GAAP</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1,029,706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682,614</w:t>
            </w:r>
          </w:p>
        </w:tc>
        <w:tc>
          <w:tcPr>
            <w:tcW w:w="80" w:type="dxa"/>
            <w:vAlign w:val="bottom"/>
            <w:shd w:val="clear" w:color="auto" w:fill="CCEEFF"/>
          </w:tcPr>
          <w:p>
            <w:pPr>
              <w:spacing w:after="0"/>
              <w:rPr>
                <w:sz w:val="17"/>
                <w:szCs w:val="17"/>
                <w:color w:val="auto"/>
              </w:rPr>
            </w:pPr>
          </w:p>
        </w:tc>
      </w:tr>
      <w:tr>
        <w:trPr>
          <w:trHeight w:val="206"/>
        </w:trPr>
        <w:tc>
          <w:tcPr>
            <w:tcW w:w="7560" w:type="dxa"/>
            <w:vAlign w:val="bottom"/>
          </w:tcPr>
          <w:p>
            <w:pPr>
              <w:spacing w:after="0"/>
              <w:rPr>
                <w:sz w:val="20"/>
                <w:szCs w:val="20"/>
                <w:color w:val="auto"/>
              </w:rPr>
            </w:pPr>
            <w:r>
              <w:rPr>
                <w:rFonts w:ascii="Arial" w:cs="Arial" w:eastAsia="Arial" w:hAnsi="Arial"/>
                <w:sz w:val="17"/>
                <w:szCs w:val="17"/>
                <w:color w:val="auto"/>
              </w:rPr>
              <w:t>Financial instruments</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(185)</w:t>
            </w:r>
          </w:p>
        </w:tc>
        <w:tc>
          <w:tcPr>
            <w:tcW w:w="1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(237)</w:t>
            </w: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Termination benefits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1,560</w:t>
            </w:r>
          </w:p>
        </w:tc>
      </w:tr>
      <w:tr>
        <w:trPr>
          <w:trHeight w:val="212"/>
        </w:trPr>
        <w:tc>
          <w:tcPr>
            <w:tcW w:w="7560" w:type="dxa"/>
            <w:vAlign w:val="bottom"/>
          </w:tcPr>
          <w:p>
            <w:pPr>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(7,000)</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(7,000)</w:t>
            </w:r>
          </w:p>
        </w:tc>
      </w:tr>
      <w:tr>
        <w:trPr>
          <w:trHeight w:val="246"/>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Shareholders’ equity in accordance with IFRS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1,023,858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676,937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39" w:lineRule="exact"/>
        <w:rPr>
          <w:sz w:val="20"/>
          <w:szCs w:val="20"/>
          <w:color w:val="auto"/>
        </w:rPr>
      </w:pPr>
    </w:p>
    <w:p>
      <w:pPr>
        <w:ind w:left="1780" w:hanging="542"/>
        <w:spacing w:after="0"/>
        <w:tabs>
          <w:tab w:leader="none" w:pos="178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Reconciliation of Goodwill from US GAAP to IFRS:</w:t>
      </w:r>
    </w:p>
    <w:p>
      <w:pPr>
        <w:spacing w:after="0" w:line="248" w:lineRule="exact"/>
        <w:rPr>
          <w:sz w:val="20"/>
          <w:szCs w:val="20"/>
          <w:color w:val="auto"/>
        </w:rPr>
      </w:pPr>
    </w:p>
    <w:tbl>
      <w:tblPr>
        <w:tblLayout w:type="fixed"/>
        <w:tblInd w:w="1620" w:type="dxa"/>
        <w:tblCellMar>
          <w:top w:w="0" w:type="dxa"/>
          <w:left w:w="0" w:type="dxa"/>
          <w:bottom w:w="0" w:type="dxa"/>
          <w:right w:w="0" w:type="dxa"/>
        </w:tblCellMar>
      </w:tblPr>
      <w:tr>
        <w:trPr>
          <w:trHeight w:val="224"/>
        </w:trPr>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5"/>
          </w:tcPr>
          <w:p>
            <w:pPr>
              <w:jc w:val="right"/>
              <w:ind w:right="480"/>
              <w:spacing w:after="0"/>
              <w:rPr>
                <w:sz w:val="20"/>
                <w:szCs w:val="20"/>
                <w:color w:val="auto"/>
              </w:rPr>
            </w:pPr>
            <w:r>
              <w:rPr>
                <w:rFonts w:ascii="Arial" w:cs="Arial" w:eastAsia="Arial" w:hAnsi="Arial"/>
                <w:sz w:val="17"/>
                <w:szCs w:val="17"/>
                <w:color w:val="auto"/>
              </w:rPr>
              <w:t>As of December 31,</w:t>
            </w:r>
          </w:p>
        </w:tc>
      </w:tr>
      <w:tr>
        <w:trPr>
          <w:trHeight w:val="212"/>
        </w:trPr>
        <w:tc>
          <w:tcPr>
            <w:tcW w:w="7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Goodwill in accordance with US GAAP</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80" w:type="dxa"/>
            <w:vAlign w:val="bottom"/>
            <w:shd w:val="clear" w:color="auto" w:fill="CCEEFF"/>
          </w:tcPr>
          <w:p>
            <w:pPr>
              <w:spacing w:after="0"/>
              <w:rPr>
                <w:sz w:val="17"/>
                <w:szCs w:val="17"/>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(7,000)</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(7,000)</w:t>
            </w:r>
          </w:p>
        </w:tc>
      </w:tr>
      <w:tr>
        <w:trPr>
          <w:trHeight w:val="246"/>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Goodwill in accordance with IFRS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39" w:lineRule="exact"/>
        <w:rPr>
          <w:sz w:val="20"/>
          <w:szCs w:val="20"/>
          <w:color w:val="auto"/>
        </w:rPr>
      </w:pPr>
    </w:p>
    <w:p>
      <w:pPr>
        <w:ind w:left="1840" w:hanging="594"/>
        <w:spacing w:after="0"/>
        <w:tabs>
          <w:tab w:leader="none" w:pos="184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Reconciliation of Current Maturities of Loans, Leases and Debentures from US GAAP to IFRS: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5"/>
          </w:tcPr>
          <w:p>
            <w:pPr>
              <w:ind w:left="180"/>
              <w:spacing w:after="0"/>
              <w:rPr>
                <w:sz w:val="20"/>
                <w:szCs w:val="20"/>
                <w:color w:val="auto"/>
              </w:rPr>
            </w:pPr>
            <w:r>
              <w:rPr>
                <w:rFonts w:ascii="Arial" w:cs="Arial" w:eastAsia="Arial" w:hAnsi="Arial"/>
                <w:sz w:val="17"/>
                <w:szCs w:val="17"/>
                <w:color w:val="auto"/>
              </w:rPr>
              <w:t>As of December 31,</w:t>
            </w:r>
          </w:p>
        </w:tc>
      </w:tr>
      <w:tr>
        <w:trPr>
          <w:trHeight w:val="212"/>
        </w:trPr>
        <w:tc>
          <w:tcPr>
            <w:tcW w:w="16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206"/>
        </w:trPr>
        <w:tc>
          <w:tcPr>
            <w:tcW w:w="16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Current maturities of loans, leases and debentures in accordance with US GAAP</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105,958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48,084</w:t>
            </w:r>
          </w:p>
        </w:tc>
        <w:tc>
          <w:tcPr>
            <w:tcW w:w="80" w:type="dxa"/>
            <w:vAlign w:val="bottom"/>
            <w:shd w:val="clear" w:color="auto" w:fill="CCEEFF"/>
          </w:tcPr>
          <w:p>
            <w:pPr>
              <w:spacing w:after="0"/>
              <w:rPr>
                <w:sz w:val="17"/>
                <w:szCs w:val="17"/>
                <w:color w:val="auto"/>
              </w:rPr>
            </w:pPr>
          </w:p>
        </w:tc>
      </w:tr>
      <w:tr>
        <w:trPr>
          <w:trHeight w:val="212"/>
        </w:trPr>
        <w:tc>
          <w:tcPr>
            <w:tcW w:w="16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Financial instruments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46"/>
        </w:trPr>
        <w:tc>
          <w:tcPr>
            <w:tcW w:w="16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Current maturities of loans, leases and debentures in accordance with IFRS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106,143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48,084</w:t>
            </w:r>
          </w:p>
        </w:tc>
        <w:tc>
          <w:tcPr>
            <w:tcW w:w="80" w:type="dxa"/>
            <w:vAlign w:val="bottom"/>
            <w:tcBorders>
              <w:bottom w:val="single" w:sz="8" w:color="CCEEFF"/>
            </w:tcBorders>
            <w:shd w:val="clear" w:color="auto" w:fill="CCEEFF"/>
          </w:tcPr>
          <w:p>
            <w:pPr>
              <w:spacing w:after="0"/>
              <w:rPr>
                <w:sz w:val="21"/>
                <w:szCs w:val="21"/>
                <w:color w:val="auto"/>
              </w:rPr>
            </w:pPr>
          </w:p>
        </w:tc>
      </w:tr>
      <w:tr>
        <w:trPr>
          <w:trHeight w:val="878"/>
        </w:trPr>
        <w:tc>
          <w:tcPr>
            <w:tcW w:w="9180" w:type="dxa"/>
            <w:vAlign w:val="bottom"/>
            <w:gridSpan w:val="2"/>
          </w:tcPr>
          <w:p>
            <w:pPr>
              <w:jc w:val="right"/>
              <w:ind w:right="3194"/>
              <w:spacing w:after="0"/>
              <w:rPr>
                <w:sz w:val="20"/>
                <w:szCs w:val="20"/>
                <w:color w:val="auto"/>
              </w:rPr>
            </w:pPr>
            <w:r>
              <w:rPr>
                <w:rFonts w:ascii="Arial" w:cs="Arial" w:eastAsia="Arial" w:hAnsi="Arial"/>
                <w:sz w:val="17"/>
                <w:szCs w:val="17"/>
                <w:color w:val="auto"/>
              </w:rPr>
              <w:t>- 59 -</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9"/>
        </w:trPr>
        <w:tc>
          <w:tcPr>
            <w:tcW w:w="1620" w:type="dxa"/>
            <w:vAlign w:val="bottom"/>
            <w:tcBorders>
              <w:bottom w:val="single" w:sz="8" w:color="auto"/>
            </w:tcBorders>
          </w:tcPr>
          <w:p>
            <w:pPr>
              <w:spacing w:after="0"/>
              <w:rPr>
                <w:sz w:val="5"/>
                <w:szCs w:val="5"/>
                <w:color w:val="auto"/>
              </w:rPr>
            </w:pPr>
          </w:p>
        </w:tc>
        <w:tc>
          <w:tcPr>
            <w:tcW w:w="75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238" w:lineRule="exact"/>
        <w:rPr>
          <w:sz w:val="20"/>
          <w:szCs w:val="20"/>
          <w:color w:val="auto"/>
        </w:rPr>
      </w:pPr>
    </w:p>
    <w:p>
      <w:pPr>
        <w:spacing w:after="0"/>
        <w:tabs>
          <w:tab w:leader="none" w:pos="1040" w:val="left"/>
          <w:tab w:leader="none" w:pos="1400" w:val="left"/>
        </w:tabs>
        <w:rPr>
          <w:sz w:val="20"/>
          <w:szCs w:val="20"/>
          <w:color w:val="auto"/>
        </w:rPr>
      </w:pPr>
      <w:r>
        <w:rPr>
          <w:rFonts w:ascii="Arial" w:cs="Arial" w:eastAsia="Arial" w:hAnsi="Arial"/>
          <w:sz w:val="17"/>
          <w:szCs w:val="17"/>
          <w:b w:val="1"/>
          <w:bCs w:val="1"/>
          <w:color w:val="auto"/>
        </w:rPr>
        <w:t>NOTE 21</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ADDITIONAL INFORMATION- RECONCILIATION OF US GAAP TO IFRS (cont.)</w:t>
      </w:r>
    </w:p>
    <w:p>
      <w:pPr>
        <w:spacing w:after="0" w:line="280" w:lineRule="exact"/>
        <w:rPr>
          <w:sz w:val="20"/>
          <w:szCs w:val="20"/>
          <w:color w:val="auto"/>
        </w:rPr>
      </w:pPr>
    </w:p>
    <w:p>
      <w:pPr>
        <w:ind w:left="1780" w:hanging="542"/>
        <w:spacing w:after="0"/>
        <w:tabs>
          <w:tab w:leader="none" w:pos="178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Reconciliation of Long-Term Debentures from US GAAP to IFRS:</w:t>
      </w:r>
    </w:p>
    <w:p>
      <w:pPr>
        <w:spacing w:after="0" w:line="274" w:lineRule="exact"/>
        <w:rPr>
          <w:sz w:val="20"/>
          <w:szCs w:val="20"/>
          <w:color w:val="auto"/>
        </w:rPr>
      </w:pPr>
    </w:p>
    <w:tbl>
      <w:tblPr>
        <w:tblLayout w:type="fixed"/>
        <w:tblInd w:w="1620" w:type="dxa"/>
        <w:tblCellMar>
          <w:top w:w="0" w:type="dxa"/>
          <w:left w:w="0" w:type="dxa"/>
          <w:bottom w:w="0" w:type="dxa"/>
          <w:right w:w="0" w:type="dxa"/>
        </w:tblCellMar>
      </w:tblPr>
      <w:tr>
        <w:trPr>
          <w:trHeight w:val="224"/>
        </w:trPr>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5"/>
          </w:tcPr>
          <w:p>
            <w:pPr>
              <w:ind w:left="180"/>
              <w:spacing w:after="0"/>
              <w:rPr>
                <w:sz w:val="20"/>
                <w:szCs w:val="20"/>
                <w:color w:val="auto"/>
              </w:rPr>
            </w:pPr>
            <w:r>
              <w:rPr>
                <w:rFonts w:ascii="Arial" w:cs="Arial" w:eastAsia="Arial" w:hAnsi="Arial"/>
                <w:sz w:val="17"/>
                <w:szCs w:val="17"/>
                <w:color w:val="auto"/>
              </w:rPr>
              <w:t>As of December 31,</w:t>
            </w:r>
          </w:p>
        </w:tc>
      </w:tr>
      <w:tr>
        <w:trPr>
          <w:trHeight w:val="212"/>
        </w:trPr>
        <w:tc>
          <w:tcPr>
            <w:tcW w:w="7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206"/>
        </w:trPr>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Long-term debentures in accordance with US GAAP</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128,368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162,981</w:t>
            </w:r>
          </w:p>
        </w:tc>
        <w:tc>
          <w:tcPr>
            <w:tcW w:w="80" w:type="dxa"/>
            <w:vAlign w:val="bottom"/>
            <w:shd w:val="clear" w:color="auto" w:fill="CCEEFF"/>
          </w:tcPr>
          <w:p>
            <w:pPr>
              <w:spacing w:after="0"/>
              <w:rPr>
                <w:sz w:val="17"/>
                <w:szCs w:val="17"/>
                <w:color w:val="auto"/>
              </w:rPr>
            </w:pPr>
          </w:p>
        </w:tc>
      </w:tr>
      <w:tr>
        <w:trPr>
          <w:trHeight w:val="212"/>
        </w:trPr>
        <w:tc>
          <w:tcPr>
            <w:tcW w:w="7560" w:type="dxa"/>
            <w:vAlign w:val="bottom"/>
          </w:tcPr>
          <w:p>
            <w:pPr>
              <w:spacing w:after="0"/>
              <w:rPr>
                <w:sz w:val="20"/>
                <w:szCs w:val="20"/>
                <w:color w:val="auto"/>
              </w:rPr>
            </w:pPr>
            <w:r>
              <w:rPr>
                <w:rFonts w:ascii="Arial" w:cs="Arial" w:eastAsia="Arial" w:hAnsi="Arial"/>
                <w:sz w:val="17"/>
                <w:szCs w:val="17"/>
                <w:color w:val="auto"/>
              </w:rPr>
              <w:t>Financial instruments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237</w:t>
            </w:r>
          </w:p>
        </w:tc>
      </w:tr>
      <w:tr>
        <w:trPr>
          <w:trHeight w:val="246"/>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Long-term debentures in accordance with IFRS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128,368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163,218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39" w:lineRule="exact"/>
        <w:rPr>
          <w:sz w:val="20"/>
          <w:szCs w:val="20"/>
          <w:color w:val="auto"/>
        </w:rPr>
      </w:pPr>
    </w:p>
    <w:p>
      <w:pPr>
        <w:ind w:left="1780" w:hanging="542"/>
        <w:spacing w:after="0"/>
        <w:tabs>
          <w:tab w:leader="none" w:pos="178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Reconciliation of Long-Term Employee Related Liabilities from US GAAP to IFRS: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6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5"/>
          </w:tcPr>
          <w:p>
            <w:pPr>
              <w:jc w:val="right"/>
              <w:ind w:right="480"/>
              <w:spacing w:after="0"/>
              <w:rPr>
                <w:sz w:val="20"/>
                <w:szCs w:val="20"/>
                <w:color w:val="auto"/>
              </w:rPr>
            </w:pPr>
            <w:r>
              <w:rPr>
                <w:rFonts w:ascii="Arial" w:cs="Arial" w:eastAsia="Arial" w:hAnsi="Arial"/>
                <w:sz w:val="17"/>
                <w:szCs w:val="17"/>
                <w:color w:val="auto"/>
              </w:rPr>
              <w:t>As of December 31,</w:t>
            </w:r>
          </w:p>
        </w:tc>
      </w:tr>
      <w:tr>
        <w:trPr>
          <w:trHeight w:val="212"/>
        </w:trPr>
        <w:tc>
          <w:tcPr>
            <w:tcW w:w="16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2016</w:t>
            </w:r>
          </w:p>
        </w:tc>
        <w:tc>
          <w:tcPr>
            <w:tcW w:w="80" w:type="dxa"/>
            <w:vAlign w:val="bottom"/>
          </w:tcPr>
          <w:p>
            <w:pPr>
              <w:spacing w:after="0"/>
              <w:rPr>
                <w:sz w:val="18"/>
                <w:szCs w:val="18"/>
                <w:color w:val="auto"/>
              </w:rPr>
            </w:pPr>
          </w:p>
        </w:tc>
      </w:tr>
      <w:tr>
        <w:trPr>
          <w:trHeight w:val="206"/>
        </w:trPr>
        <w:tc>
          <w:tcPr>
            <w:tcW w:w="1620" w:type="dxa"/>
            <w:vAlign w:val="bottom"/>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7"/>
                <w:szCs w:val="17"/>
                <w:color w:val="auto"/>
              </w:rPr>
              <w:t>Long-term employee related liabilities in accordance with US GAAP</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14,176</w:t>
            </w:r>
          </w:p>
        </w:tc>
        <w:tc>
          <w:tcPr>
            <w:tcW w:w="80" w:type="dxa"/>
            <w:vAlign w:val="bottom"/>
            <w:shd w:val="clear" w:color="auto" w:fill="CCEEFF"/>
          </w:tcPr>
          <w:p>
            <w:pPr>
              <w:spacing w:after="0"/>
              <w:rPr>
                <w:sz w:val="17"/>
                <w:szCs w:val="17"/>
                <w:color w:val="auto"/>
              </w:rPr>
            </w:pPr>
          </w:p>
        </w:tc>
      </w:tr>
      <w:tr>
        <w:trPr>
          <w:trHeight w:val="212"/>
        </w:trPr>
        <w:tc>
          <w:tcPr>
            <w:tcW w:w="16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7"/>
                <w:szCs w:val="17"/>
                <w:color w:val="auto"/>
              </w:rPr>
              <w:t>Termination benefits</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(1,337)</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(1,560)</w:t>
            </w:r>
          </w:p>
        </w:tc>
      </w:tr>
      <w:tr>
        <w:trPr>
          <w:trHeight w:val="246"/>
        </w:trPr>
        <w:tc>
          <w:tcPr>
            <w:tcW w:w="16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Long-term employee related liabilities in accordance with IFRS</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12,616</w:t>
            </w:r>
          </w:p>
        </w:tc>
        <w:tc>
          <w:tcPr>
            <w:tcW w:w="80" w:type="dxa"/>
            <w:vAlign w:val="bottom"/>
            <w:tcBorders>
              <w:bottom w:val="single" w:sz="8" w:color="CCEEFF"/>
            </w:tcBorders>
            <w:shd w:val="clear" w:color="auto" w:fill="CCEEFF"/>
          </w:tcPr>
          <w:p>
            <w:pPr>
              <w:spacing w:after="0"/>
              <w:rPr>
                <w:sz w:val="21"/>
                <w:szCs w:val="21"/>
                <w:color w:val="auto"/>
              </w:rPr>
            </w:pPr>
          </w:p>
        </w:tc>
      </w:tr>
      <w:tr>
        <w:trPr>
          <w:trHeight w:val="710"/>
        </w:trPr>
        <w:tc>
          <w:tcPr>
            <w:tcW w:w="9180" w:type="dxa"/>
            <w:vAlign w:val="bottom"/>
            <w:gridSpan w:val="2"/>
          </w:tcPr>
          <w:p>
            <w:pPr>
              <w:jc w:val="right"/>
              <w:ind w:right="3194"/>
              <w:spacing w:after="0"/>
              <w:rPr>
                <w:sz w:val="20"/>
                <w:szCs w:val="20"/>
                <w:color w:val="auto"/>
              </w:rPr>
            </w:pPr>
            <w:r>
              <w:rPr>
                <w:rFonts w:ascii="Arial" w:cs="Arial" w:eastAsia="Arial" w:hAnsi="Arial"/>
                <w:sz w:val="17"/>
                <w:szCs w:val="17"/>
                <w:color w:val="auto"/>
              </w:rPr>
              <w:t>- 60 -</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4"/>
        </w:trPr>
        <w:tc>
          <w:tcPr>
            <w:tcW w:w="1620" w:type="dxa"/>
            <w:vAlign w:val="bottom"/>
            <w:tcBorders>
              <w:bottom w:val="single" w:sz="8" w:color="auto"/>
            </w:tcBorders>
          </w:tcPr>
          <w:p>
            <w:pPr>
              <w:spacing w:after="0"/>
              <w:rPr>
                <w:sz w:val="9"/>
                <w:szCs w:val="9"/>
                <w:color w:val="auto"/>
              </w:rPr>
            </w:pPr>
          </w:p>
        </w:tc>
        <w:tc>
          <w:tcPr>
            <w:tcW w:w="75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153"/>
        </w:trPr>
        <w:tc>
          <w:tcPr>
            <w:tcW w:w="1620" w:type="dxa"/>
            <w:vAlign w:val="bottom"/>
            <w:tcBorders>
              <w:bottom w:val="single" w:sz="8" w:color="auto"/>
            </w:tcBorders>
          </w:tcPr>
          <w:p>
            <w:pPr>
              <w:spacing w:after="0"/>
              <w:rPr>
                <w:sz w:val="13"/>
                <w:szCs w:val="13"/>
                <w:color w:val="auto"/>
              </w:rPr>
            </w:pPr>
          </w:p>
        </w:tc>
        <w:tc>
          <w:tcPr>
            <w:tcW w:w="7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bl>
    <w:p>
      <w:pPr>
        <w:sectPr>
          <w:pgSz w:w="11900" w:h="16838" w:orient="portrait"/>
          <w:cols w:equalWidth="0" w:num="1">
            <w:col w:w="11420"/>
          </w:cols>
          <w:pgMar w:left="240" w:top="121" w:right="239" w:bottom="1440" w:gutter="0" w:footer="0" w:header="0"/>
        </w:sectPr>
      </w:pPr>
    </w:p>
    <w:bookmarkStart w:id="65" w:name="page66"/>
    <w:bookmarkEnd w:id="65"/>
    <w:p>
      <w:pPr>
        <w:ind w:left="10540"/>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52970"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2970" cy="3238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203200</wp:posOffset>
            </wp:positionV>
            <wp:extent cx="72529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2970" cy="8255"/>
                    </a:xfrm>
                    <a:prstGeom prst="rect">
                      <a:avLst/>
                    </a:prstGeom>
                    <a:noFill/>
                  </pic:spPr>
                </pic:pic>
              </a:graphicData>
            </a:graphic>
          </wp:anchor>
        </w:drawing>
        <w:t>Exhibit 99.2</w:t>
      </w:r>
    </w:p>
    <w:p>
      <w:pPr>
        <w:spacing w:after="0" w:line="265"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MANAGEMENT’S DISCUSSION AND ANALYSIS OF FINANCIAL</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CONDITION AND RESULTS OF OPERATIONS</w:t>
      </w:r>
    </w:p>
    <w:p>
      <w:pPr>
        <w:spacing w:after="0" w:line="27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The information contained in this section should be read in conjunction with our consolidated financial statements as of December 31, 2017 and 2016 and related notes for the years then ended. Our financial statements have been prepared in accordance with generally accepted accounting principles in United States (“US GAAP”).</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certain statement of operations data as a percentage of total revenues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5"/>
          </w:tcPr>
          <w:p>
            <w:pPr>
              <w:jc w:val="right"/>
              <w:ind w:right="460"/>
              <w:spacing w:after="0"/>
              <w:rPr>
                <w:sz w:val="20"/>
                <w:szCs w:val="20"/>
                <w:color w:val="auto"/>
              </w:rPr>
            </w:pPr>
            <w:r>
              <w:rPr>
                <w:rFonts w:ascii="Arial" w:cs="Arial" w:eastAsia="Arial" w:hAnsi="Arial"/>
                <w:sz w:val="17"/>
                <w:szCs w:val="17"/>
                <w:b w:val="1"/>
                <w:bCs w:val="1"/>
                <w:color w:val="auto"/>
                <w:w w:val="94"/>
              </w:rPr>
              <w:t>Year ended December 31,</w:t>
            </w:r>
          </w:p>
        </w:tc>
        <w:tc>
          <w:tcPr>
            <w:tcW w:w="0" w:type="dxa"/>
            <w:vAlign w:val="bottom"/>
          </w:tcPr>
          <w:p>
            <w:pPr>
              <w:spacing w:after="0"/>
              <w:rPr>
                <w:sz w:val="1"/>
                <w:szCs w:val="1"/>
                <w:color w:val="auto"/>
              </w:rPr>
            </w:pPr>
          </w:p>
        </w:tc>
      </w:tr>
      <w:tr>
        <w:trPr>
          <w:trHeight w:val="212"/>
        </w:trPr>
        <w:tc>
          <w:tcPr>
            <w:tcW w:w="88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2017</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2"/>
        </w:trPr>
        <w:tc>
          <w:tcPr>
            <w:tcW w:w="8800" w:type="dxa"/>
            <w:vAlign w:val="bottom"/>
          </w:tcPr>
          <w:p>
            <w:pPr>
              <w:spacing w:after="0"/>
              <w:rPr>
                <w:sz w:val="20"/>
                <w:szCs w:val="20"/>
                <w:color w:val="auto"/>
              </w:rPr>
            </w:pPr>
            <w:r>
              <w:rPr>
                <w:rFonts w:ascii="Arial" w:cs="Arial" w:eastAsia="Arial" w:hAnsi="Arial"/>
                <w:sz w:val="17"/>
                <w:szCs w:val="17"/>
                <w:color w:val="auto"/>
              </w:rPr>
              <w:t>Cost of revenues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74.5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Gross profit</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Marketing, general and administrative expense</w:t>
            </w:r>
          </w:p>
        </w:tc>
        <w:tc>
          <w:tcPr>
            <w:tcW w:w="1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800" w:type="dxa"/>
            <w:vAlign w:val="bottom"/>
          </w:tcPr>
          <w:p>
            <w:pPr>
              <w:spacing w:after="0"/>
              <w:rPr>
                <w:sz w:val="20"/>
                <w:szCs w:val="20"/>
                <w:color w:val="auto"/>
              </w:rPr>
            </w:pPr>
            <w:r>
              <w:rPr>
                <w:rFonts w:ascii="Arial" w:cs="Arial" w:eastAsia="Arial" w:hAnsi="Arial"/>
                <w:sz w:val="17"/>
                <w:szCs w:val="17"/>
                <w:color w:val="auto"/>
              </w:rPr>
              <w:t>Nishiwaki Fab restructuring and impairment cost (income),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6"/>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(0.6)</w:t>
            </w: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06"/>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financing expense, net</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(0.5)</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Gain from acquisition, net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(0.2)</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Profit before tax</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14.5</w:t>
            </w: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benefit (expense), net</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6"/>
        </w:trPr>
        <w:tc>
          <w:tcPr>
            <w:tcW w:w="88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Net profit</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attributable to the non-controlling interest</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(0.3)</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6"/>
        </w:trPr>
        <w:tc>
          <w:tcPr>
            <w:tcW w:w="880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Net profit attributable to the company</w:t>
            </w:r>
          </w:p>
        </w:tc>
        <w:tc>
          <w:tcPr>
            <w:tcW w:w="1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21.4%</w:t>
            </w: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80"/>
              <w:spacing w:after="0"/>
              <w:rPr>
                <w:sz w:val="20"/>
                <w:szCs w:val="20"/>
                <w:color w:val="auto"/>
              </w:rPr>
            </w:pPr>
            <w:r>
              <w:rPr>
                <w:rFonts w:ascii="Arial" w:cs="Arial" w:eastAsia="Arial" w:hAnsi="Arial"/>
                <w:sz w:val="17"/>
                <w:szCs w:val="17"/>
                <w:color w:val="auto"/>
              </w:rPr>
              <w:t>The following table sets forth certain statement of operations data for the periods indicated (in thousands):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8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5"/>
          </w:tcPr>
          <w:p>
            <w:pPr>
              <w:jc w:val="right"/>
              <w:ind w:right="420"/>
              <w:spacing w:after="0"/>
              <w:rPr>
                <w:sz w:val="20"/>
                <w:szCs w:val="20"/>
                <w:color w:val="auto"/>
              </w:rPr>
            </w:pPr>
            <w:r>
              <w:rPr>
                <w:rFonts w:ascii="Arial" w:cs="Arial" w:eastAsia="Arial" w:hAnsi="Arial"/>
                <w:sz w:val="17"/>
                <w:szCs w:val="17"/>
                <w:b w:val="1"/>
                <w:bCs w:val="1"/>
                <w:color w:val="auto"/>
                <w:w w:val="96"/>
              </w:rPr>
              <w:t>Year ended December 31,</w:t>
            </w:r>
          </w:p>
        </w:tc>
        <w:tc>
          <w:tcPr>
            <w:tcW w:w="0" w:type="dxa"/>
            <w:vAlign w:val="bottom"/>
          </w:tcPr>
          <w:p>
            <w:pPr>
              <w:spacing w:after="0"/>
              <w:rPr>
                <w:sz w:val="1"/>
                <w:szCs w:val="1"/>
                <w:color w:val="auto"/>
              </w:rPr>
            </w:pPr>
          </w:p>
        </w:tc>
      </w:tr>
      <w:tr>
        <w:trPr>
          <w:trHeight w:val="212"/>
        </w:trPr>
        <w:tc>
          <w:tcPr>
            <w:tcW w:w="88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2017</w:t>
            </w: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1,387,310</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1,249,634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800" w:type="dxa"/>
            <w:vAlign w:val="bottom"/>
          </w:tcPr>
          <w:p>
            <w:pPr>
              <w:spacing w:after="0"/>
              <w:rPr>
                <w:sz w:val="20"/>
                <w:szCs w:val="20"/>
                <w:color w:val="auto"/>
              </w:rPr>
            </w:pPr>
            <w:r>
              <w:rPr>
                <w:rFonts w:ascii="Arial" w:cs="Arial" w:eastAsia="Arial" w:hAnsi="Arial"/>
                <w:sz w:val="17"/>
                <w:szCs w:val="17"/>
                <w:color w:val="auto"/>
              </w:rPr>
              <w:t>Cost of revenues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1,033,005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946,534</w:t>
            </w:r>
          </w:p>
        </w:tc>
        <w:tc>
          <w:tcPr>
            <w:tcW w:w="0" w:type="dxa"/>
            <w:vAlign w:val="bottom"/>
          </w:tcPr>
          <w:p>
            <w:pPr>
              <w:spacing w:after="0"/>
              <w:rPr>
                <w:sz w:val="1"/>
                <w:szCs w:val="1"/>
                <w:color w:val="auto"/>
              </w:rPr>
            </w:pPr>
          </w:p>
        </w:tc>
      </w:tr>
      <w:tr>
        <w:trPr>
          <w:trHeight w:val="206"/>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Gross profit</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354,305</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303,100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Research and development expense</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67,664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63,134</w:t>
            </w:r>
          </w:p>
        </w:tc>
        <w:tc>
          <w:tcPr>
            <w:tcW w:w="0" w:type="dxa"/>
            <w:vAlign w:val="bottom"/>
          </w:tcPr>
          <w:p>
            <w:pPr>
              <w:spacing w:after="0"/>
              <w:rPr>
                <w:sz w:val="1"/>
                <w:szCs w:val="1"/>
                <w:color w:val="auto"/>
              </w:rPr>
            </w:pPr>
          </w:p>
        </w:tc>
      </w:tr>
      <w:tr>
        <w:trPr>
          <w:trHeight w:val="206"/>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Marketing, general and administrative expense</w:t>
            </w:r>
          </w:p>
        </w:tc>
        <w:tc>
          <w:tcPr>
            <w:tcW w:w="1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66,799</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65,439</w:t>
            </w:r>
          </w:p>
        </w:tc>
        <w:tc>
          <w:tcPr>
            <w:tcW w:w="0" w:type="dxa"/>
            <w:vAlign w:val="bottom"/>
          </w:tcPr>
          <w:p>
            <w:pPr>
              <w:spacing w:after="0"/>
              <w:rPr>
                <w:sz w:val="1"/>
                <w:szCs w:val="1"/>
                <w:color w:val="auto"/>
              </w:rPr>
            </w:pPr>
          </w:p>
        </w:tc>
      </w:tr>
      <w:tr>
        <w:trPr>
          <w:trHeight w:val="212"/>
        </w:trPr>
        <w:tc>
          <w:tcPr>
            <w:tcW w:w="8800" w:type="dxa"/>
            <w:vAlign w:val="bottom"/>
          </w:tcPr>
          <w:p>
            <w:pPr>
              <w:spacing w:after="0"/>
              <w:rPr>
                <w:sz w:val="20"/>
                <w:szCs w:val="20"/>
                <w:color w:val="auto"/>
              </w:rPr>
            </w:pPr>
            <w:r>
              <w:rPr>
                <w:rFonts w:ascii="Arial" w:cs="Arial" w:eastAsia="Arial" w:hAnsi="Arial"/>
                <w:sz w:val="17"/>
                <w:szCs w:val="17"/>
                <w:color w:val="auto"/>
              </w:rPr>
              <w:t>Nishiwaki Fab restructuring and impairment cost (income),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(627)</w:t>
            </w:r>
          </w:p>
        </w:tc>
        <w:tc>
          <w:tcPr>
            <w:tcW w:w="0" w:type="dxa"/>
            <w:vAlign w:val="bottom"/>
          </w:tcPr>
          <w:p>
            <w:pPr>
              <w:spacing w:after="0"/>
              <w:rPr>
                <w:sz w:val="1"/>
                <w:szCs w:val="1"/>
                <w:color w:val="auto"/>
              </w:rPr>
            </w:pPr>
          </w:p>
        </w:tc>
      </w:tr>
      <w:tr>
        <w:trPr>
          <w:trHeight w:val="206"/>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219,842</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175,154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(7,840)</w:t>
            </w:r>
          </w:p>
        </w:tc>
        <w:tc>
          <w:tcPr>
            <w:tcW w:w="2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(11,857)</w:t>
            </w:r>
          </w:p>
        </w:tc>
        <w:tc>
          <w:tcPr>
            <w:tcW w:w="0" w:type="dxa"/>
            <w:vAlign w:val="bottom"/>
          </w:tcPr>
          <w:p>
            <w:pPr>
              <w:spacing w:after="0"/>
              <w:rPr>
                <w:sz w:val="1"/>
                <w:szCs w:val="1"/>
                <w:color w:val="auto"/>
              </w:rPr>
            </w:pPr>
          </w:p>
        </w:tc>
      </w:tr>
      <w:tr>
        <w:trPr>
          <w:trHeight w:val="206"/>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financing expense, net</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(7,607)</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(12,492)</w:t>
            </w:r>
          </w:p>
        </w:tc>
        <w:tc>
          <w:tcPr>
            <w:tcW w:w="0" w:type="dxa"/>
            <w:vAlign w:val="bottom"/>
          </w:tcPr>
          <w:p>
            <w:pPr>
              <w:spacing w:after="0"/>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Gain from acquisition, net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50,471</w:t>
            </w:r>
          </w:p>
        </w:tc>
        <w:tc>
          <w:tcPr>
            <w:tcW w:w="0" w:type="dxa"/>
            <w:vAlign w:val="bottom"/>
          </w:tcPr>
          <w:p>
            <w:pPr>
              <w:spacing w:after="0"/>
              <w:rPr>
                <w:sz w:val="1"/>
                <w:szCs w:val="1"/>
                <w:color w:val="auto"/>
              </w:rPr>
            </w:pPr>
          </w:p>
        </w:tc>
      </w:tr>
      <w:tr>
        <w:trPr>
          <w:trHeight w:val="206"/>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(2,627)</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9,322</w:t>
            </w:r>
          </w:p>
        </w:tc>
        <w:tc>
          <w:tcPr>
            <w:tcW w:w="0" w:type="dxa"/>
            <w:vAlign w:val="bottom"/>
          </w:tcPr>
          <w:p>
            <w:pPr>
              <w:spacing w:after="0"/>
              <w:rPr>
                <w:sz w:val="1"/>
                <w:szCs w:val="1"/>
                <w:color w:val="auto"/>
              </w:rPr>
            </w:pPr>
          </w:p>
        </w:tc>
      </w:tr>
      <w:tr>
        <w:trPr>
          <w:trHeight w:val="26"/>
        </w:trPr>
        <w:tc>
          <w:tcPr>
            <w:tcW w:w="88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Profit before tax</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201,768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210,598</w:t>
            </w:r>
          </w:p>
        </w:tc>
        <w:tc>
          <w:tcPr>
            <w:tcW w:w="0" w:type="dxa"/>
            <w:vAlign w:val="bottom"/>
          </w:tcPr>
          <w:p>
            <w:pPr>
              <w:spacing w:after="0"/>
              <w:rPr>
                <w:sz w:val="1"/>
                <w:szCs w:val="1"/>
                <w:color w:val="auto"/>
              </w:rPr>
            </w:pPr>
          </w:p>
        </w:tc>
      </w:tr>
      <w:tr>
        <w:trPr>
          <w:trHeight w:val="206"/>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benefit (expense), net</w:t>
            </w:r>
          </w:p>
        </w:tc>
        <w:tc>
          <w:tcPr>
            <w:tcW w:w="1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99,888</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(1,432)</w:t>
            </w:r>
          </w:p>
        </w:tc>
        <w:tc>
          <w:tcPr>
            <w:tcW w:w="0" w:type="dxa"/>
            <w:vAlign w:val="bottom"/>
          </w:tcPr>
          <w:p>
            <w:pPr>
              <w:spacing w:after="0"/>
              <w:rPr>
                <w:sz w:val="1"/>
                <w:szCs w:val="1"/>
                <w:color w:val="auto"/>
              </w:rPr>
            </w:pPr>
          </w:p>
        </w:tc>
      </w:tr>
      <w:tr>
        <w:trPr>
          <w:trHeight w:val="26"/>
        </w:trPr>
        <w:tc>
          <w:tcPr>
            <w:tcW w:w="88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Net profit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301,656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209,166</w:t>
            </w:r>
          </w:p>
        </w:tc>
        <w:tc>
          <w:tcPr>
            <w:tcW w:w="0" w:type="dxa"/>
            <w:vAlign w:val="bottom"/>
          </w:tcPr>
          <w:p>
            <w:pPr>
              <w:spacing w:after="0"/>
              <w:rPr>
                <w:sz w:val="1"/>
                <w:szCs w:val="1"/>
                <w:color w:val="auto"/>
              </w:rPr>
            </w:pPr>
          </w:p>
        </w:tc>
      </w:tr>
      <w:tr>
        <w:trPr>
          <w:trHeight w:val="206"/>
        </w:trPr>
        <w:tc>
          <w:tcPr>
            <w:tcW w:w="8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attributable to the non-controlling interest</w:t>
            </w:r>
          </w:p>
        </w:tc>
        <w:tc>
          <w:tcPr>
            <w:tcW w:w="1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(3,645)</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26"/>
        </w:trPr>
        <w:tc>
          <w:tcPr>
            <w:tcW w:w="88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800" w:type="dxa"/>
            <w:vAlign w:val="bottom"/>
          </w:tcPr>
          <w:p>
            <w:pPr>
              <w:spacing w:after="0"/>
              <w:rPr>
                <w:sz w:val="20"/>
                <w:szCs w:val="20"/>
                <w:color w:val="auto"/>
              </w:rPr>
            </w:pPr>
            <w:r>
              <w:rPr>
                <w:rFonts w:ascii="Arial" w:cs="Arial" w:eastAsia="Arial" w:hAnsi="Arial"/>
                <w:sz w:val="17"/>
                <w:szCs w:val="17"/>
                <w:color w:val="auto"/>
              </w:rPr>
              <w:t>Net profit attributable to the company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298,011</w:t>
            </w:r>
          </w:p>
        </w:tc>
        <w:tc>
          <w:tcPr>
            <w:tcW w:w="24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203,924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8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7" w:right="239" w:bottom="1440" w:gutter="0" w:footer="0" w:header="0"/>
        </w:sectPr>
      </w:pPr>
    </w:p>
    <w:bookmarkStart w:id="66" w:name="page67"/>
    <w:bookmarkEnd w:id="66"/>
    <w:p>
      <w:pPr>
        <w:ind w:left="480"/>
        <w:spacing w:after="0"/>
        <w:rPr>
          <w:sz w:val="20"/>
          <w:szCs w:val="20"/>
          <w:color w:val="auto"/>
        </w:rPr>
      </w:pPr>
      <w:r>
        <w:rPr>
          <w:rFonts w:ascii="Arial" w:cs="Arial" w:eastAsia="Arial" w:hAnsi="Arial"/>
          <w:sz w:val="17"/>
          <w:szCs w:val="17"/>
          <w:b w:val="1"/>
          <w:bCs w:val="1"/>
          <w:color w:val="auto"/>
        </w:rPr>
        <w:t>Year ended December 31, 2017 compared to year ended December 31, 2016</w:t>
      </w:r>
    </w:p>
    <w:p>
      <w:pPr>
        <w:spacing w:after="0" w:line="274" w:lineRule="exact"/>
        <w:rPr>
          <w:sz w:val="20"/>
          <w:szCs w:val="20"/>
          <w:color w:val="auto"/>
        </w:rPr>
      </w:pPr>
    </w:p>
    <w:p>
      <w:pPr>
        <w:jc w:val="both"/>
        <w:ind w:firstLine="535"/>
        <w:spacing w:after="0" w:line="265"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for the year ended December 31, 2017 increased to $1,387.3 million, as compared to $1,249.6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2016. The increase in revenues of $137.7 million is mainly due to an increase in the volume of wafers shipments driven by higher customer demand to our products and higher utilization rates in our fabrication plants.</w:t>
      </w:r>
    </w:p>
    <w:p>
      <w:pPr>
        <w:spacing w:after="0" w:line="22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for the year ended December 31, 2017 amounted to $1,033.0 million as compared to $946.5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The $86.5 million increase in manufacturing cost is due to the increased volume of wafers manufactured and shipped, directly resulting in the incremental $137.7 million revenues, as described above.</w:t>
      </w:r>
    </w:p>
    <w:p>
      <w:pPr>
        <w:spacing w:after="0" w:line="227"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Gross profit for the year ended December 31, 2017 increased to $354.3 million as compared to $303.1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2016. The $51.2 million increase in gross profit resulted directly from the increase of $137.7 million in revenues, partially offset by the increase in manufacturing cost of revenues, as described above.</w:t>
      </w:r>
    </w:p>
    <w:p>
      <w:pPr>
        <w:spacing w:after="0" w:line="227"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 for the year ended December 31, 2017, amounted to $67.7 million or 4.9% of revenue,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$63.1 million or 5.1% of revenue recorded in the year ended December 31, 2016.</w:t>
      </w:r>
    </w:p>
    <w:p>
      <w:pPr>
        <w:spacing w:after="0" w:line="216"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7"/>
          <w:szCs w:val="17"/>
          <w:i w:val="1"/>
          <w:iCs w:val="1"/>
          <w:color w:val="auto"/>
        </w:rPr>
        <w:t>Marketing, General and Administrative</w:t>
      </w:r>
      <w:r>
        <w:rPr>
          <w:rFonts w:ascii="Arial" w:cs="Arial" w:eastAsia="Arial" w:hAnsi="Arial"/>
          <w:sz w:val="17"/>
          <w:szCs w:val="17"/>
          <w:color w:val="auto"/>
        </w:rPr>
        <w:t>. Marketing, general and administrative expense for the year ended December 31, 2017 amounted to $66.8 million or</w:t>
      </w:r>
      <w:r>
        <w:rPr>
          <w:rFonts w:ascii="Arial" w:cs="Arial" w:eastAsia="Arial" w:hAnsi="Arial"/>
          <w:sz w:val="17"/>
          <w:szCs w:val="17"/>
          <w:i w:val="1"/>
          <w:iCs w:val="1"/>
          <w:color w:val="auto"/>
        </w:rPr>
        <w:t xml:space="preserve"> </w:t>
      </w:r>
      <w:r>
        <w:rPr>
          <w:rFonts w:ascii="Arial" w:cs="Arial" w:eastAsia="Arial" w:hAnsi="Arial"/>
          <w:sz w:val="17"/>
          <w:szCs w:val="17"/>
          <w:color w:val="auto"/>
        </w:rPr>
        <w:t>4.8% of revenue, as compared to $65.4 million or 5.2% of revenue recorded in the year ended December 31, 2016.</w:t>
      </w:r>
    </w:p>
    <w:p>
      <w:pPr>
        <w:spacing w:after="0" w:line="216"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7"/>
          <w:szCs w:val="17"/>
          <w:i w:val="1"/>
          <w:iCs w:val="1"/>
          <w:color w:val="auto"/>
        </w:rPr>
        <w:t>Nishiwaki Fab Restructuring and Impairment Cost (Income), Net</w:t>
      </w:r>
      <w:r>
        <w:rPr>
          <w:rFonts w:ascii="Arial" w:cs="Arial" w:eastAsia="Arial" w:hAnsi="Arial"/>
          <w:sz w:val="17"/>
          <w:szCs w:val="17"/>
          <w:color w:val="auto"/>
        </w:rPr>
        <w:t>. Nishiwaki Fab restructuring and impairment cost (income), net,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which amounted to net income of $0.6 million is related to the 2014 cessation of operations of the Nishiwaki Fab in Japan.</w:t>
      </w:r>
    </w:p>
    <w:p>
      <w:pPr>
        <w:spacing w:after="0" w:line="216" w:lineRule="exact"/>
        <w:rPr>
          <w:sz w:val="20"/>
          <w:szCs w:val="20"/>
          <w:color w:val="auto"/>
        </w:rPr>
      </w:pPr>
    </w:p>
    <w:p>
      <w:pPr>
        <w:jc w:val="both"/>
        <w:ind w:firstLine="486"/>
        <w:spacing w:after="0" w:line="278" w:lineRule="auto"/>
        <w:rPr>
          <w:sz w:val="20"/>
          <w:szCs w:val="20"/>
          <w:color w:val="auto"/>
        </w:rPr>
      </w:pPr>
      <w:r>
        <w:rPr>
          <w:rFonts w:ascii="Arial" w:cs="Arial" w:eastAsia="Arial" w:hAnsi="Arial"/>
          <w:sz w:val="17"/>
          <w:szCs w:val="17"/>
          <w:i w:val="1"/>
          <w:iCs w:val="1"/>
          <w:color w:val="auto"/>
        </w:rPr>
        <w:t>Operating Profit</w:t>
      </w:r>
      <w:r>
        <w:rPr>
          <w:rFonts w:ascii="Arial" w:cs="Arial" w:eastAsia="Arial" w:hAnsi="Arial"/>
          <w:sz w:val="17"/>
          <w:szCs w:val="17"/>
          <w:color w:val="auto"/>
        </w:rPr>
        <w:t>. Operating profit for the year ended December 31, 2017 increased to $219.8 million as compared to $175.2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The $44.7 million increase in operating profit resulted mainly from the increased gross profit described above.</w:t>
      </w:r>
    </w:p>
    <w:p>
      <w:pPr>
        <w:spacing w:after="0" w:line="216"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of interest income for the year ended December 31, 2017 decreased to $7.8 million as compared to $11.9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31, 2016 mainly due to early repayment of banks’ loans during 2016 and the increased level of cash and cash equivalents and short term deposits.</w:t>
      </w:r>
    </w:p>
    <w:p>
      <w:pPr>
        <w:spacing w:after="0" w:line="227" w:lineRule="exact"/>
        <w:rPr>
          <w:sz w:val="20"/>
          <w:szCs w:val="20"/>
          <w:color w:val="auto"/>
        </w:rPr>
      </w:pPr>
    </w:p>
    <w:p>
      <w:pPr>
        <w:jc w:val="both"/>
        <w:ind w:firstLine="463"/>
        <w:spacing w:after="0" w:line="265" w:lineRule="auto"/>
        <w:rPr>
          <w:sz w:val="20"/>
          <w:szCs w:val="20"/>
          <w:color w:val="auto"/>
        </w:rPr>
      </w:pPr>
      <w:r>
        <w:rPr>
          <w:rFonts w:ascii="Arial" w:cs="Arial" w:eastAsia="Arial" w:hAnsi="Arial"/>
          <w:sz w:val="17"/>
          <w:szCs w:val="17"/>
          <w:i w:val="1"/>
          <w:iCs w:val="1"/>
          <w:color w:val="auto"/>
        </w:rPr>
        <w:t xml:space="preserve">Other Financing Expense, Net. </w:t>
      </w:r>
      <w:r>
        <w:rPr>
          <w:rFonts w:ascii="Arial" w:cs="Arial" w:eastAsia="Arial" w:hAnsi="Arial"/>
          <w:sz w:val="17"/>
          <w:szCs w:val="17"/>
          <w:color w:val="auto"/>
        </w:rPr>
        <w:t>Other financing expense, net for the year ended December 31, 2017 decreased to $7.6 million as compared to other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net of $12.5 million for the year ended December 31, 2016, mainly due to 2016 financing cost related to early repayment of banks’ loans executed during 2016.</w:t>
      </w:r>
    </w:p>
    <w:p>
      <w:pPr>
        <w:spacing w:after="0" w:line="227" w:lineRule="exact"/>
        <w:rPr>
          <w:sz w:val="20"/>
          <w:szCs w:val="20"/>
          <w:color w:val="auto"/>
        </w:rPr>
      </w:pPr>
    </w:p>
    <w:p>
      <w:pPr>
        <w:jc w:val="both"/>
        <w:ind w:firstLine="463"/>
        <w:spacing w:after="0" w:line="311" w:lineRule="auto"/>
        <w:rPr>
          <w:sz w:val="20"/>
          <w:szCs w:val="20"/>
          <w:color w:val="auto"/>
        </w:rPr>
      </w:pPr>
      <w:r>
        <w:rPr>
          <w:rFonts w:ascii="Arial" w:cs="Arial" w:eastAsia="Arial" w:hAnsi="Arial"/>
          <w:sz w:val="16"/>
          <w:szCs w:val="16"/>
          <w:i w:val="1"/>
          <w:iCs w:val="1"/>
          <w:color w:val="auto"/>
        </w:rPr>
        <w:t xml:space="preserve">Gain from Acquisition, Net. </w:t>
      </w:r>
      <w:r>
        <w:rPr>
          <w:rFonts w:ascii="Arial" w:cs="Arial" w:eastAsia="Arial" w:hAnsi="Arial"/>
          <w:sz w:val="16"/>
          <w:szCs w:val="16"/>
          <w:color w:val="auto"/>
        </w:rPr>
        <w:t>Gain from acquisition, net for the year ended December 31, 2016, was recorded following the acquisition of the San Antonio</w:t>
      </w:r>
      <w:r>
        <w:rPr>
          <w:rFonts w:ascii="Arial" w:cs="Arial" w:eastAsia="Arial" w:hAnsi="Arial"/>
          <w:sz w:val="16"/>
          <w:szCs w:val="16"/>
          <w:i w:val="1"/>
          <w:iCs w:val="1"/>
          <w:color w:val="auto"/>
        </w:rPr>
        <w:t xml:space="preserve"> </w:t>
      </w:r>
      <w:r>
        <w:rPr>
          <w:rFonts w:ascii="Arial" w:cs="Arial" w:eastAsia="Arial" w:hAnsi="Arial"/>
          <w:sz w:val="16"/>
          <w:szCs w:val="16"/>
          <w:color w:val="auto"/>
        </w:rPr>
        <w:t>fabrication facility in the amount of $50.5 million, net. For more details, see note 3 to the financial statements for the year ended December 31, 2017.</w:t>
      </w:r>
    </w:p>
    <w:p>
      <w:pPr>
        <w:spacing w:after="0" w:line="192" w:lineRule="exact"/>
        <w:rPr>
          <w:sz w:val="20"/>
          <w:szCs w:val="20"/>
          <w:color w:val="auto"/>
        </w:rPr>
      </w:pPr>
    </w:p>
    <w:p>
      <w:pPr>
        <w:jc w:val="both"/>
        <w:ind w:firstLine="463"/>
        <w:spacing w:after="0" w:line="261"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Other expense, net for the year ended December 31, 2017 was $2.6 million as compared with other income of $9.3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2016, mainly due to $6.0 million gain in 2016 resulted from an earn-out mechanism related to the San Antonio fab acquisition transaction, sales of machinery and equipment with $2.9 million higher capital gain in 2016 and an impairment of non-public equity investments at cost basis of $3.0 million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260350</wp:posOffset>
            </wp:positionV>
            <wp:extent cx="725297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67" w:name="page68"/>
    <w:bookmarkEnd w:id="67"/>
    <w:p>
      <w:pPr>
        <w:jc w:val="both"/>
        <w:ind w:firstLine="463"/>
        <w:spacing w:after="0" w:line="257" w:lineRule="auto"/>
        <w:rPr>
          <w:sz w:val="20"/>
          <w:szCs w:val="20"/>
          <w:color w:val="auto"/>
        </w:rPr>
      </w:pPr>
      <w:r>
        <w:rPr>
          <w:rFonts w:ascii="Arial" w:cs="Arial" w:eastAsia="Arial" w:hAnsi="Arial"/>
          <w:sz w:val="17"/>
          <w:szCs w:val="17"/>
          <w:i w:val="1"/>
          <w:iCs w:val="1"/>
          <w:color w:val="auto"/>
        </w:rPr>
        <w:t xml:space="preserve">Income Tax Benefit (Expense), Net. </w:t>
      </w:r>
      <w:r>
        <w:rPr>
          <w:rFonts w:ascii="Arial" w:cs="Arial" w:eastAsia="Arial" w:hAnsi="Arial"/>
          <w:sz w:val="17"/>
          <w:szCs w:val="17"/>
          <w:color w:val="auto"/>
        </w:rPr>
        <w:t>Income tax benefit, net for the year ended December 31, 2017 amounted to $99.9 million as compared to $1.4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expense, net in the year ended December 31, 2016. Income tax benefit, net for the year ended December 31, 2017 derived mainly from (i) $82 million income tax benefit resulted from the release of valuation allowance with regards to the net operating loss carryforward in the Israeli parent company (Tower Semiconductor Ltd), since we have concluded that it is more-likely-than-not that such deferred tax assets will be realized, (see note 19F to our annual consolidated financial statements for greater details) and (ii) $13 million income tax benefit resulted from the US Tax Cut and Jobs Act which has been signed into law in December 2017, following which, among others, we will have reduction in federal income tax rates from 35% to 21% (see Note 19E to our annual consolidated financial statements for greater details).</w:t>
      </w:r>
    </w:p>
    <w:p>
      <w:pPr>
        <w:spacing w:after="0" w:line="233" w:lineRule="exact"/>
        <w:rPr>
          <w:sz w:val="20"/>
          <w:szCs w:val="20"/>
          <w:color w:val="auto"/>
        </w:rPr>
      </w:pPr>
    </w:p>
    <w:p>
      <w:pPr>
        <w:jc w:val="both"/>
        <w:ind w:firstLine="519"/>
        <w:spacing w:after="0" w:line="261" w:lineRule="auto"/>
        <w:rPr>
          <w:sz w:val="20"/>
          <w:szCs w:val="20"/>
          <w:color w:val="auto"/>
        </w:rPr>
      </w:pPr>
      <w:r>
        <w:rPr>
          <w:rFonts w:ascii="Arial" w:cs="Arial" w:eastAsia="Arial" w:hAnsi="Arial"/>
          <w:sz w:val="17"/>
          <w:szCs w:val="17"/>
          <w:i w:val="1"/>
          <w:iCs w:val="1"/>
          <w:color w:val="auto"/>
        </w:rPr>
        <w:t>Net Profit</w:t>
      </w:r>
      <w:r>
        <w:rPr>
          <w:rFonts w:ascii="Arial" w:cs="Arial" w:eastAsia="Arial" w:hAnsi="Arial"/>
          <w:sz w:val="17"/>
          <w:szCs w:val="17"/>
          <w:color w:val="auto"/>
        </w:rPr>
        <w:t>. Net profit for the year ended December 31, 2017 amounted to $298.0 million as compared to a net profit of $203.9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The increase in net profit in the amount of $94.1 million was mainly due to the increase of $44.7 million in operating profit described above and an increase of $101.3 million in income tax benefit, net, partially offset by $50.5 million net gain from the acquisition of the San Antonio facility during the year ended December 31, 2016, as described above.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Currency Fluctuations</w:t>
      </w:r>
    </w:p>
    <w:p>
      <w:pPr>
        <w:spacing w:after="0" w:line="274" w:lineRule="exact"/>
        <w:rPr>
          <w:sz w:val="20"/>
          <w:szCs w:val="20"/>
          <w:color w:val="auto"/>
        </w:rPr>
      </w:pPr>
    </w:p>
    <w:p>
      <w:pPr>
        <w:jc w:val="both"/>
        <w:ind w:firstLine="463"/>
        <w:spacing w:after="0" w:line="306" w:lineRule="auto"/>
        <w:rPr>
          <w:sz w:val="20"/>
          <w:szCs w:val="20"/>
          <w:color w:val="auto"/>
        </w:rPr>
      </w:pPr>
      <w:r>
        <w:rPr>
          <w:rFonts w:ascii="Arial" w:cs="Arial" w:eastAsia="Arial" w:hAnsi="Arial"/>
          <w:sz w:val="15"/>
          <w:szCs w:val="15"/>
          <w:color w:val="auto"/>
        </w:rPr>
        <w:t>The company currently operates in three different regions: Japan, the United States and Israel. The functional currency of the United States and Israel entities is the US dollar (“USD”). The functional currency of our subsidiary in Japan is the Japanese Yen (“JPY”). Our expenses and costs are denominated mainly in New Israeli Shekels (“NIS”), USD, and JPY, revenues are denominated mainly in USD and JPY and our cash from operations, investing and financing activities are denominated mainly in NIS, USD, and JPY. Therefore, the company is exposed to the risk of currency exchange rate fluctuations in Israel and Japan.</w:t>
      </w:r>
    </w:p>
    <w:p>
      <w:pPr>
        <w:spacing w:after="0" w:line="149" w:lineRule="exact"/>
        <w:rPr>
          <w:sz w:val="20"/>
          <w:szCs w:val="20"/>
          <w:color w:val="auto"/>
        </w:rPr>
      </w:pPr>
    </w:p>
    <w:p>
      <w:pPr>
        <w:jc w:val="both"/>
        <w:ind w:firstLine="463"/>
        <w:spacing w:after="0" w:line="265" w:lineRule="auto"/>
        <w:rPr>
          <w:sz w:val="20"/>
          <w:szCs w:val="20"/>
          <w:color w:val="auto"/>
        </w:rPr>
      </w:pPr>
      <w:r>
        <w:rPr>
          <w:rFonts w:ascii="Arial" w:cs="Arial" w:eastAsia="Arial" w:hAnsi="Arial"/>
          <w:sz w:val="17"/>
          <w:szCs w:val="17"/>
          <w:color w:val="auto"/>
        </w:rPr>
        <w:t>The USD costs of our operations in Israel are influenced by changes in the USD to NIS exchange rate with respect to costs that are denominated in NIS. During the year ended December 31, 2017, the USD depreciated against the NIS by 9.8%, as compared to 1.5% depreciation during the year ended December 31, 2016.</w:t>
      </w:r>
    </w:p>
    <w:p>
      <w:pPr>
        <w:spacing w:after="0" w:line="176" w:lineRule="exact"/>
        <w:rPr>
          <w:sz w:val="20"/>
          <w:szCs w:val="20"/>
          <w:color w:val="auto"/>
        </w:rPr>
      </w:pPr>
    </w:p>
    <w:p>
      <w:pPr>
        <w:jc w:val="both"/>
        <w:ind w:firstLine="463"/>
        <w:spacing w:after="0" w:line="259" w:lineRule="auto"/>
        <w:rPr>
          <w:sz w:val="20"/>
          <w:szCs w:val="20"/>
          <w:color w:val="auto"/>
        </w:rPr>
      </w:pPr>
      <w:r>
        <w:rPr>
          <w:rFonts w:ascii="Arial" w:cs="Arial" w:eastAsia="Arial" w:hAnsi="Arial"/>
          <w:sz w:val="17"/>
          <w:szCs w:val="17"/>
          <w:color w:val="auto"/>
        </w:rPr>
        <w:t>The fluctuation of USD against the NIS can affect our results of operations. Appreciation of the NIS has the effect of increasing the cost, in USD terms, of some of the company’s Israeli purchases and labor NIS denominated costs, which may lead to erosion in the profit margins. The company uses foreign currency cylinder transactions to hedge a portion of this currency exposure to be contained within a pre-defined fixed range. In addition, the company executed swap hedging transactions to fully hedge the exposure to the fluctuation of USD against the NIS to the extent it relates to non-convertible Series G debentures which are denominated in NIS.</w:t>
      </w:r>
    </w:p>
    <w:p>
      <w:pPr>
        <w:spacing w:after="0" w:line="180" w:lineRule="exact"/>
        <w:rPr>
          <w:sz w:val="20"/>
          <w:szCs w:val="20"/>
          <w:color w:val="auto"/>
        </w:rPr>
      </w:pPr>
    </w:p>
    <w:p>
      <w:pPr>
        <w:jc w:val="both"/>
        <w:ind w:firstLine="463"/>
        <w:spacing w:after="0" w:line="277" w:lineRule="auto"/>
        <w:rPr>
          <w:sz w:val="20"/>
          <w:szCs w:val="20"/>
          <w:color w:val="auto"/>
        </w:rPr>
      </w:pPr>
      <w:r>
        <w:rPr>
          <w:rFonts w:ascii="Arial" w:cs="Arial" w:eastAsia="Arial" w:hAnsi="Arial"/>
          <w:sz w:val="16"/>
          <w:szCs w:val="16"/>
          <w:color w:val="auto"/>
        </w:rPr>
        <w:t>The majority of TPSCo revenues are denominated in JPY and the majority of the expenses of TPSCo are in JPY, which limits the exposure to fluctuations of the USD / JPY exchange rate on TPSCo’s results of operations, as the impact on the revenues will be mostly offset by the impact on the expenses. In order to mitigate a portion of the net exposure to the USD / JPY exchange rate over the net profit margins, the company has engaged in cylinder hedging transactions to contain the currency’s fluctuation within a pre-defined fixed range. During the year ended December 31, 2017, the USD depreciated against the JPY by 3.8%, as compared to 2.8% depreciation during the year ended December 31, 2016. The effect of USD depreciation on TPSCo’s assets and liabilities is presented in the Cumulative Translation Adjustment (“CTA”) as part of Other Comprehensive Income (“OCI”) in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252730</wp:posOffset>
            </wp:positionV>
            <wp:extent cx="725297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74" w:lineRule="exact"/>
        <w:rPr>
          <w:sz w:val="20"/>
          <w:szCs w:val="20"/>
          <w:color w:val="auto"/>
        </w:rPr>
      </w:pPr>
    </w:p>
    <w:p>
      <w:pPr>
        <w:jc w:val="both"/>
        <w:ind w:firstLine="463"/>
        <w:spacing w:after="0" w:line="257" w:lineRule="auto"/>
        <w:rPr>
          <w:sz w:val="20"/>
          <w:szCs w:val="20"/>
          <w:color w:val="auto"/>
        </w:rPr>
      </w:pPr>
      <w:r>
        <w:rPr>
          <w:rFonts w:ascii="Arial" w:cs="Arial" w:eastAsia="Arial" w:hAnsi="Arial"/>
          <w:sz w:val="17"/>
          <w:szCs w:val="17"/>
          <w:color w:val="auto"/>
        </w:rPr>
        <w:t>As of December 31, 2017, we had an aggregate amount of $446.0 million in cash, cash equivalents and short term deposits, as compared to $389.4 million as of December 31, 2016. The main cash activities during the year ended December 31, 2017 included: $355.6 million positive cash flow generated from operating activities; $31.3 million proceeds received from exercise of warrants and options, net; $164.7 million invested in property and equipment, net of proceeds received from sales of equipment and investment grant received; $114.7 million invested in marketable securities, net; $50.3 million debt repaid; $4.4 million dividend paid to Panasonic by TPSCo and an impact of the JPY foreign exchange rate fluctuation in the amount of $3.7 million (which was mostly offset by a similar impact on the Japanese loans’ balance).</w:t>
      </w:r>
    </w:p>
    <w:p>
      <w:pPr>
        <w:spacing w:after="0" w:line="185" w:lineRule="exact"/>
        <w:rPr>
          <w:sz w:val="20"/>
          <w:szCs w:val="20"/>
          <w:color w:val="auto"/>
        </w:rPr>
      </w:pPr>
    </w:p>
    <w:p>
      <w:pPr>
        <w:jc w:val="both"/>
        <w:ind w:firstLine="463"/>
        <w:spacing w:after="0" w:line="289" w:lineRule="auto"/>
        <w:rPr>
          <w:sz w:val="20"/>
          <w:szCs w:val="20"/>
          <w:color w:val="auto"/>
        </w:rPr>
      </w:pPr>
      <w:r>
        <w:rPr>
          <w:rFonts w:ascii="Arial" w:cs="Arial" w:eastAsia="Arial" w:hAnsi="Arial"/>
          <w:sz w:val="16"/>
          <w:szCs w:val="16"/>
          <w:color w:val="auto"/>
        </w:rPr>
        <w:t>As of December 31, 2017, the outstanding principal amount of bank loans was $138.2 million, of which $49.6 million was presented as short term. As of such date, we had an aggregate principal amount of $193.3 million in debentures on our balance sheet, of which $58.3 million were presented as a current maturity. As of December 31, 2017, we had a carrying amount of $137.2 million of bank loans and $181.7 million of debentures in our balance sheet.</w:t>
      </w:r>
    </w:p>
    <w:p>
      <w:pPr>
        <w:spacing w:after="0" w:line="159" w:lineRule="exact"/>
        <w:rPr>
          <w:sz w:val="20"/>
          <w:szCs w:val="20"/>
          <w:color w:val="auto"/>
        </w:rPr>
      </w:pPr>
    </w:p>
    <w:p>
      <w:pPr>
        <w:jc w:val="both"/>
        <w:ind w:firstLine="463"/>
        <w:spacing w:after="0" w:line="317" w:lineRule="auto"/>
        <w:rPr>
          <w:sz w:val="20"/>
          <w:szCs w:val="20"/>
          <w:color w:val="auto"/>
        </w:rPr>
      </w:pPr>
      <w:r>
        <w:rPr>
          <w:rFonts w:ascii="Arial" w:cs="Arial" w:eastAsia="Arial" w:hAnsi="Arial"/>
          <w:sz w:val="15"/>
          <w:szCs w:val="15"/>
          <w:color w:val="auto"/>
        </w:rPr>
        <w:t>In February 2018, Well Fargo bank and Jazz Semiconductor, our U.S fully owned subsidiary, signed a 5-year extension of the existing credit line agreement, which has been originally set to mature in December 2018, under which Jazz will be able to drawdown up to $70 million through 2023. Any such drawdown will bear an interest rate ranging from Libor + 1.25% to Libor + 1.75%. As of December 31, 2017 and the date hereof, there were no loans drawn-down under this credit line.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w:t>
      </w:r>
    </w:p>
    <w:p>
      <w:pPr>
        <w:spacing w:after="0" w:line="274" w:lineRule="exact"/>
        <w:rPr>
          <w:sz w:val="20"/>
          <w:szCs w:val="20"/>
          <w:color w:val="auto"/>
        </w:rPr>
      </w:pPr>
    </w:p>
    <w:p>
      <w:pPr>
        <w:jc w:val="both"/>
        <w:ind w:firstLine="463"/>
        <w:spacing w:after="0" w:line="277" w:lineRule="auto"/>
        <w:rPr>
          <w:sz w:val="20"/>
          <w:szCs w:val="20"/>
          <w:color w:val="auto"/>
        </w:rPr>
      </w:pPr>
      <w:r>
        <w:rPr>
          <w:rFonts w:ascii="Arial" w:cs="Arial" w:eastAsia="Arial" w:hAnsi="Arial"/>
          <w:sz w:val="16"/>
          <w:szCs w:val="16"/>
          <w:color w:val="auto"/>
        </w:rPr>
        <w:t>The analysis in this Management’s Discussion and Analysis of Financial Condition and Results of Operations is derived from our consolidated financial statements as of December 31, 2017 and December 31, 2016 and related notes for the years then ended which were prepared in accordance with US GAAP. Our consolidated financial statements include TJT’s balance sheet as of December 31, 2017 and the results of operations from February 1, 2016 to December 31, 2017. For additional information regarding the acquisition, see Note 3 to our consolidated financial statements as of December 31, 2017. Information on our results of operations and financial condition for the periods under International Financial Reporting Standards (“IFRS”) is provided on a voluntary basis, including reconciliation from US GAAP to IFRS and provided in Note 21 to our consolidated financial statements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195580</wp:posOffset>
            </wp:positionV>
            <wp:extent cx="72529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285115</wp:posOffset>
            </wp:positionV>
            <wp:extent cx="725297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970" cy="3238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52970"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2970" cy="3238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203200</wp:posOffset>
            </wp:positionV>
            <wp:extent cx="72529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970" cy="8255"/>
                    </a:xfrm>
                    <a:prstGeom prst="rect">
                      <a:avLst/>
                    </a:prstGeom>
                    <a:noFill/>
                  </pic:spPr>
                </pic:pic>
              </a:graphicData>
            </a:graphic>
          </wp:anchor>
        </w:drawing>
        <w:t>Exhibit 99.3</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consent to the incorporation by reference in Registration Statements Nos. 333-85090, 333-171912 and 333-187858 on Form F-3, and Nos. 33-80947, 333-06482, 333-11720, 333-83204, 333-138837, 333-147071, 333-153710, 333-166428, 333-174276, 333-178167, and 333-204173 on Form S-8, of our report dated March 6, 2018, relating to the consolidated financial statements of Tower Semiconductor Ltd., appearing in this Report on Form 6-K of Tower Semiconductor Ltd.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Brightman Almagor Zohar &amp;Co.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Certified Public Accountants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 member of Deloitte Touche Tohmatsu Limited</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Tel Aviv, Israel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72529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2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325755</wp:posOffset>
            </wp:positionV>
            <wp:extent cx="7252970" cy="32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970" cy="32385"/>
                    </a:xfrm>
                    <a:prstGeom prst="rect">
                      <a:avLst/>
                    </a:prstGeom>
                    <a:noFill/>
                  </pic:spPr>
                </pic:pic>
              </a:graphicData>
            </a:graphic>
          </wp:anchor>
        </w:drawing>
      </w:r>
    </w:p>
    <w:sectPr>
      <w:pgSz w:w="11900" w:h="16838" w:orient="portrait"/>
      <w:cols w:equalWidth="0" w:num="1">
        <w:col w:w="11420"/>
      </w:cols>
      <w:pgMar w:left="240" w:top="4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lowerLetter"/>
      <w:start w:val="1"/>
    </w:lvl>
  </w:abstractNum>
  <w:abstractNum w:abstractNumId="1">
    <w:nsid w:val="5E884ADC"/>
    <w:multiLevelType w:val="hybridMultilevel"/>
    <w:lvl w:ilvl="0">
      <w:lvlJc w:val="left"/>
      <w:lvlText w:val="%1."/>
      <w:numFmt w:val="upperLetter"/>
      <w:start w:val="1"/>
    </w:lvl>
  </w:abstractNum>
  <w:abstractNum w:abstractNumId="2">
    <w:nsid w:val="51EAD36B"/>
    <w:multiLevelType w:val="hybridMultilevel"/>
    <w:lvl w:ilvl="0">
      <w:lvlJc w:val="left"/>
      <w:lvlText w:val="%1."/>
      <w:numFmt w:val="upperLetter"/>
      <w:start w:val="4"/>
    </w:lvl>
  </w:abstractNum>
  <w:abstractNum w:abstractNumId="3">
    <w:nsid w:val="2D517796"/>
    <w:multiLevelType w:val="hybridMultilevel"/>
    <w:lvl w:ilvl="0">
      <w:lvlJc w:val="left"/>
      <w:lvlText w:val="%1."/>
      <w:numFmt w:val="upperLetter"/>
      <w:start w:val="5"/>
    </w:lvl>
  </w:abstractNum>
  <w:abstractNum w:abstractNumId="4">
    <w:nsid w:val="580BD78F"/>
    <w:multiLevelType w:val="hybridMultilevel"/>
    <w:lvl w:ilvl="0">
      <w:lvlJc w:val="left"/>
      <w:lvlText w:val="%1."/>
      <w:numFmt w:val="upperLetter"/>
      <w:start w:val="8"/>
    </w:lvl>
    <w:lvl w:ilvl="1">
      <w:lvlJc w:val="left"/>
      <w:lvlText w:val="-"/>
      <w:numFmt w:val="bullet"/>
      <w:start w:val="1"/>
    </w:lvl>
  </w:abstractNum>
  <w:abstractNum w:abstractNumId="5">
    <w:nsid w:val="153EA438"/>
    <w:multiLevelType w:val="hybridMultilevel"/>
    <w:lvl w:ilvl="0">
      <w:lvlJc w:val="left"/>
      <w:lvlText w:val="%1."/>
      <w:numFmt w:val="upperLetter"/>
      <w:start w:val="12"/>
    </w:lvl>
    <w:lvl w:ilvl="1">
      <w:lvlJc w:val="left"/>
      <w:lvlText w:val="(%2)"/>
      <w:numFmt w:val="lowerRoman"/>
      <w:start w:val="3"/>
    </w:lvl>
  </w:abstractNum>
  <w:abstractNum w:abstractNumId="6">
    <w:nsid w:val="3855585C"/>
    <w:multiLevelType w:val="hybridMultilevel"/>
    <w:lvl w:ilvl="0">
      <w:lvlJc w:val="left"/>
      <w:lvlText w:val="%1."/>
      <w:numFmt w:val="upperLetter"/>
      <w:start w:val="13"/>
    </w:lvl>
    <w:lvl w:ilvl="1">
      <w:lvlJc w:val="left"/>
      <w:lvlText w:val="-"/>
      <w:numFmt w:val="bullet"/>
      <w:start w:val="1"/>
    </w:lvl>
  </w:abstractNum>
  <w:abstractNum w:abstractNumId="7">
    <w:nsid w:val="70A64E2A"/>
    <w:multiLevelType w:val="hybridMultilevel"/>
    <w:lvl w:ilvl="0">
      <w:lvlJc w:val="left"/>
      <w:lvlText w:val="%1."/>
      <w:numFmt w:val="upperLetter"/>
      <w:start w:val="14"/>
    </w:lvl>
    <w:lvl w:ilvl="1">
      <w:lvlJc w:val="left"/>
      <w:lvlText w:val="-"/>
      <w:numFmt w:val="bullet"/>
      <w:start w:val="1"/>
    </w:lvl>
  </w:abstractNum>
  <w:abstractNum w:abstractNumId="8">
    <w:nsid w:val="6A2342EC"/>
    <w:multiLevelType w:val="hybridMultilevel"/>
    <w:lvl w:ilvl="0">
      <w:lvlJc w:val="left"/>
      <w:lvlText w:val="%1."/>
      <w:numFmt w:val="upperLetter"/>
      <w:start w:val="17"/>
    </w:lvl>
    <w:lvl w:ilvl="1">
      <w:lvlJc w:val="left"/>
      <w:lvlText w:val="-"/>
      <w:numFmt w:val="bullet"/>
      <w:start w:val="1"/>
    </w:lvl>
  </w:abstractNum>
  <w:abstractNum w:abstractNumId="9">
    <w:nsid w:val="2A487CB0"/>
    <w:multiLevelType w:val="hybridMultilevel"/>
    <w:lvl w:ilvl="0">
      <w:lvlJc w:val="left"/>
      <w:lvlText w:val="%1."/>
      <w:numFmt w:val="upperLetter"/>
      <w:start w:val="19"/>
    </w:lvl>
    <w:lvl w:ilvl="1">
      <w:lvlJc w:val="left"/>
      <w:lvlText w:val="-"/>
      <w:numFmt w:val="bullet"/>
      <w:start w:val="1"/>
    </w:lvl>
  </w:abstractNum>
  <w:abstractNum w:abstractNumId="10">
    <w:nsid w:val="1D4ED43B"/>
    <w:multiLevelType w:val="hybridMultilevel"/>
    <w:lvl w:ilvl="0">
      <w:lvlJc w:val="left"/>
      <w:lvlText w:val="%1."/>
      <w:numFmt w:val="upperLetter"/>
      <w:start w:val="21"/>
    </w:lvl>
  </w:abstractNum>
  <w:abstractNum w:abstractNumId="11">
    <w:nsid w:val="725A06FB"/>
    <w:multiLevelType w:val="hybridMultilevel"/>
    <w:lvl w:ilvl="0">
      <w:lvlJc w:val="left"/>
      <w:lvlText w:val="%1."/>
      <w:numFmt w:val="upperLetter"/>
      <w:start w:val="22"/>
    </w:lvl>
    <w:lvl w:ilvl="1">
      <w:lvlJc w:val="left"/>
      <w:lvlText w:val="-"/>
      <w:numFmt w:val="bullet"/>
      <w:start w:val="1"/>
    </w:lvl>
  </w:abstractNum>
  <w:abstractNum w:abstractNumId="12">
    <w:nsid w:val="2CD89A32"/>
    <w:multiLevelType w:val="hybridMultilevel"/>
    <w:lvl w:ilvl="0">
      <w:lvlJc w:val="left"/>
      <w:lvlText w:val="%1."/>
      <w:numFmt w:val="upperLetter"/>
      <w:start w:val="23"/>
    </w:lvl>
    <w:lvl w:ilvl="1">
      <w:lvlJc w:val="left"/>
      <w:lvlText w:val="-"/>
      <w:numFmt w:val="bullet"/>
      <w:start w:val="1"/>
    </w:lvl>
  </w:abstractNum>
  <w:abstractNum w:abstractNumId="13">
    <w:nsid w:val="57E4CCAF"/>
    <w:multiLevelType w:val="hybridMultilevel"/>
    <w:lvl w:ilvl="0">
      <w:lvlJc w:val="left"/>
      <w:lvlText w:val="%1."/>
      <w:numFmt w:val="upperLetter"/>
      <w:start w:val="23"/>
    </w:lvl>
  </w:abstractNum>
  <w:abstractNum w:abstractNumId="14">
    <w:nsid w:val="7A6D8D3C"/>
    <w:multiLevelType w:val="hybridMultilevel"/>
    <w:lvl w:ilvl="0">
      <w:lvlJc w:val="left"/>
      <w:lvlText w:val="%1."/>
      <w:numFmt w:val="upperLetter"/>
      <w:start w:val="2"/>
    </w:lvl>
    <w:lvl w:ilvl="1">
      <w:lvlJc w:val="left"/>
      <w:lvlText w:val="-"/>
      <w:numFmt w:val="bullet"/>
      <w:start w:val="1"/>
    </w:lvl>
  </w:abstractNum>
  <w:abstractNum w:abstractNumId="15">
    <w:nsid w:val="4B588F54"/>
    <w:multiLevelType w:val="hybridMultilevel"/>
    <w:lvl w:ilvl="0">
      <w:lvlJc w:val="left"/>
      <w:lvlText w:val="%1."/>
      <w:numFmt w:val="upperLetter"/>
      <w:start w:val="2"/>
    </w:lvl>
    <w:lvl w:ilvl="1">
      <w:lvlJc w:val="left"/>
      <w:lvlText w:val="-"/>
      <w:numFmt w:val="bullet"/>
      <w:start w:val="1"/>
    </w:lvl>
  </w:abstractNum>
  <w:abstractNum w:abstractNumId="16">
    <w:nsid w:val="542289EC"/>
    <w:multiLevelType w:val="hybridMultilevel"/>
    <w:lvl w:ilvl="0">
      <w:lvlJc w:val="left"/>
      <w:lvlText w:val="%1."/>
      <w:numFmt w:val="upperLetter"/>
      <w:start w:val="2"/>
    </w:lvl>
    <w:lvl w:ilvl="1">
      <w:lvlJc w:val="left"/>
      <w:lvlText w:val="-"/>
      <w:numFmt w:val="bullet"/>
      <w:start w:val="1"/>
    </w:lvl>
  </w:abstractNum>
  <w:abstractNum w:abstractNumId="17">
    <w:nsid w:val="6DE91B18"/>
    <w:multiLevelType w:val="hybridMultilevel"/>
    <w:lvl w:ilvl="0">
      <w:lvlJc w:val="left"/>
      <w:lvlText w:val="%1."/>
      <w:numFmt w:val="upperLetter"/>
      <w:start w:val="3"/>
    </w:lvl>
  </w:abstractNum>
  <w:abstractNum w:abstractNumId="18">
    <w:nsid w:val="38437FDB"/>
    <w:multiLevelType w:val="hybridMultilevel"/>
    <w:lvl w:ilvl="0">
      <w:lvlJc w:val="left"/>
      <w:lvlText w:val="%1."/>
      <w:numFmt w:val="upperLetter"/>
      <w:start w:val="2"/>
    </w:lvl>
  </w:abstractNum>
  <w:abstractNum w:abstractNumId="19">
    <w:nsid w:val="7644A45C"/>
    <w:multiLevelType w:val="hybridMultilevel"/>
    <w:lvl w:ilvl="0">
      <w:lvlJc w:val="left"/>
      <w:lvlText w:val="%1."/>
      <w:numFmt w:val="upperLetter"/>
      <w:start w:val="3"/>
    </w:lvl>
    <w:lvl w:ilvl="1">
      <w:lvlJc w:val="left"/>
      <w:lvlText w:val="-"/>
      <w:numFmt w:val="bullet"/>
      <w:start w:val="1"/>
    </w:lvl>
  </w:abstractNum>
  <w:abstractNum w:abstractNumId="20">
    <w:nsid w:val="32FFF902"/>
    <w:multiLevelType w:val="hybridMultilevel"/>
    <w:lvl w:ilvl="0">
      <w:lvlJc w:val="left"/>
      <w:lvlText w:val="%1."/>
      <w:numFmt w:val="upperLetter"/>
      <w:start w:val="4"/>
    </w:lvl>
    <w:lvl w:ilvl="1">
      <w:lvlJc w:val="left"/>
      <w:lvlText w:val="%2."/>
      <w:numFmt w:val="upperLetter"/>
      <w:start w:val="5"/>
    </w:lvl>
  </w:abstractNum>
  <w:abstractNum w:abstractNumId="21">
    <w:nsid w:val="684A481A"/>
    <w:multiLevelType w:val="hybridMultilevel"/>
    <w:lvl w:ilvl="0">
      <w:lvlJc w:val="left"/>
      <w:lvlText w:val="%1."/>
      <w:numFmt w:val="upperLetter"/>
      <w:start w:val="6"/>
    </w:lvl>
  </w:abstractNum>
  <w:abstractNum w:abstractNumId="22">
    <w:nsid w:val="579478FE"/>
    <w:multiLevelType w:val="hybridMultilevel"/>
    <w:lvl w:ilvl="0">
      <w:lvlJc w:val="left"/>
      <w:lvlText w:val="%1."/>
      <w:numFmt w:val="upperLetter"/>
      <w:start w:val="1"/>
    </w:lvl>
    <w:lvl w:ilvl="1">
      <w:lvlJc w:val="left"/>
      <w:lvlText w:val="-"/>
      <w:numFmt w:val="bullet"/>
      <w:start w:val="1"/>
    </w:lvl>
  </w:abstractNum>
  <w:abstractNum w:abstractNumId="23">
    <w:nsid w:val="749ABB43"/>
    <w:multiLevelType w:val="hybridMultilevel"/>
    <w:lvl w:ilvl="0">
      <w:lvlJc w:val="left"/>
      <w:lvlText w:val="%1."/>
      <w:numFmt w:val="upperLetter"/>
      <w:start w:val="3"/>
    </w:lvl>
    <w:lvl w:ilvl="1">
      <w:lvlJc w:val="left"/>
      <w:lvlText w:val="-"/>
      <w:numFmt w:val="bullet"/>
      <w:start w:val="1"/>
    </w:lvl>
  </w:abstractNum>
  <w:abstractNum w:abstractNumId="24">
    <w:nsid w:val="3DC240FB"/>
    <w:multiLevelType w:val="hybridMultilevel"/>
    <w:lvl w:ilvl="0">
      <w:lvlJc w:val="left"/>
      <w:lvlText w:val="%1."/>
      <w:numFmt w:val="upperLetter"/>
      <w:start w:val="5"/>
    </w:lvl>
  </w:abstractNum>
  <w:abstractNum w:abstractNumId="25">
    <w:nsid w:val="1BA026FA"/>
    <w:multiLevelType w:val="hybridMultilevel"/>
    <w:lvl w:ilvl="0">
      <w:lvlJc w:val="left"/>
      <w:lvlText w:val="%1."/>
      <w:numFmt w:val="upperLetter"/>
      <w:start w:val="6"/>
    </w:lvl>
  </w:abstractNum>
  <w:abstractNum w:abstractNumId="26">
    <w:nsid w:val="79A1DEAA"/>
    <w:multiLevelType w:val="hybridMultilevel"/>
    <w:lvl w:ilvl="0">
      <w:lvlJc w:val="left"/>
      <w:lvlText w:val="%1."/>
      <w:numFmt w:val="upperLetter"/>
      <w:start w:val="6"/>
    </w:lvl>
  </w:abstractNum>
  <w:abstractNum w:abstractNumId="27">
    <w:nsid w:val="75C6C33A"/>
    <w:multiLevelType w:val="hybridMultilevel"/>
    <w:lvl w:ilvl="0">
      <w:lvlJc w:val="left"/>
      <w:lvlText w:val="%1."/>
      <w:numFmt w:val="upperLetter"/>
      <w:start w:val="1"/>
    </w:lvl>
    <w:lvl w:ilvl="1">
      <w:lvlJc w:val="left"/>
      <w:lvlText w:val="-"/>
      <w:numFmt w:val="bullet"/>
      <w:start w:val="1"/>
    </w:lvl>
  </w:abstractNum>
  <w:abstractNum w:abstractNumId="28">
    <w:nsid w:val="12E685FB"/>
    <w:multiLevelType w:val="hybridMultilevel"/>
    <w:lvl w:ilvl="0">
      <w:lvlJc w:val="left"/>
      <w:lvlText w:val="%1."/>
      <w:numFmt w:val="upperLetter"/>
      <w:start w:val="2"/>
    </w:lvl>
  </w:abstractNum>
  <w:abstractNum w:abstractNumId="29">
    <w:nsid w:val="70C6A529"/>
    <w:multiLevelType w:val="hybridMultilevel"/>
    <w:lvl w:ilvl="0">
      <w:lvlJc w:val="left"/>
      <w:lvlText w:val="%1."/>
      <w:numFmt w:val="upperLetter"/>
      <w:start w:val="2"/>
    </w:lvl>
  </w:abstractNum>
  <w:abstractNum w:abstractNumId="30">
    <w:nsid w:val="520EEDD1"/>
    <w:multiLevelType w:val="hybridMultilevel"/>
    <w:lvl w:ilvl="0">
      <w:lvlJc w:val="left"/>
      <w:lvlText w:val="%1."/>
      <w:numFmt w:val="upperLetter"/>
      <w:start w:val="2"/>
    </w:lvl>
  </w:abstractNum>
  <w:abstractNum w:abstractNumId="31">
    <w:nsid w:val="374A3FE6"/>
    <w:multiLevelType w:val="hybridMultilevel"/>
    <w:lvl w:ilvl="0">
      <w:lvlJc w:val="left"/>
      <w:lvlText w:val="%1."/>
      <w:numFmt w:val="upperLetter"/>
      <w:start w:val="2"/>
    </w:lvl>
  </w:abstractNum>
  <w:abstractNum w:abstractNumId="32">
    <w:nsid w:val="4F4EF005"/>
    <w:multiLevelType w:val="hybridMultilevel"/>
    <w:lvl w:ilvl="0">
      <w:lvlJc w:val="left"/>
      <w:lvlText w:val="%1."/>
      <w:numFmt w:val="upperLetter"/>
      <w:start w:val="2"/>
    </w:lvl>
  </w:abstractNum>
  <w:abstractNum w:abstractNumId="33">
    <w:nsid w:val="23F9C13C"/>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34">
    <w:nsid w:val="649BB77C"/>
    <w:multiLevelType w:val="hybridMultilevel"/>
    <w:lvl w:ilvl="0">
      <w:lvlJc w:val="left"/>
      <w:lvlText w:val="%1."/>
      <w:numFmt w:val="upperLetter"/>
      <w:start w:val="3"/>
    </w:lvl>
    <w:lvl w:ilvl="1">
      <w:lvlJc w:val="left"/>
      <w:lvlText w:val="-"/>
      <w:numFmt w:val="bullet"/>
      <w:start w:val="1"/>
    </w:lvl>
  </w:abstractNum>
  <w:abstractNum w:abstractNumId="35">
    <w:nsid w:val="275AC794"/>
    <w:multiLevelType w:val="hybridMultilevel"/>
    <w:lvl w:ilvl="0">
      <w:lvlJc w:val="left"/>
      <w:lvlText w:val="%1."/>
      <w:numFmt w:val="upperLetter"/>
      <w:start w:val="4"/>
    </w:lvl>
  </w:abstractNum>
  <w:abstractNum w:abstractNumId="36">
    <w:nsid w:val="39386575"/>
    <w:multiLevelType w:val="hybridMultilevel"/>
    <w:lvl w:ilvl="0">
      <w:lvlJc w:val="left"/>
      <w:lvlText w:val="%1."/>
      <w:numFmt w:val="upperLetter"/>
      <w:start w:val="7"/>
    </w:lvl>
    <w:lvl w:ilvl="1">
      <w:lvlJc w:val="left"/>
      <w:lvlText w:val="-"/>
      <w:numFmt w:val="bullet"/>
      <w:start w:val="1"/>
    </w:lvl>
  </w:abstractNum>
  <w:abstractNum w:abstractNumId="37">
    <w:nsid w:val="1CF10FD8"/>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38">
    <w:nsid w:val="180115BE"/>
    <w:multiLevelType w:val="hybridMultilevel"/>
    <w:lvl w:ilvl="0">
      <w:lvlJc w:val="left"/>
      <w:lvlText w:val="%1."/>
      <w:numFmt w:val="upperLetter"/>
      <w:start w:val="2"/>
    </w:lvl>
    <w:lvl w:ilvl="1">
      <w:lvlJc w:val="left"/>
      <w:lvlText w:val="(%2)"/>
      <w:numFmt w:val="decimal"/>
      <w:start w:val="2"/>
    </w:lvl>
    <w:lvl w:ilvl="2">
      <w:lvlJc w:val="left"/>
      <w:lvlText w:val="%3."/>
      <w:numFmt w:val="lowerRoman"/>
      <w:start w:val="1"/>
    </w:lvl>
  </w:abstractNum>
  <w:abstractNum w:abstractNumId="39">
    <w:nsid w:val="235BA861"/>
    <w:multiLevelType w:val="hybridMultilevel"/>
    <w:lvl w:ilvl="0">
      <w:lvlJc w:val="left"/>
      <w:lvlText w:val="%1."/>
      <w:numFmt w:val="upperLetter"/>
      <w:start w:val="2"/>
    </w:lvl>
    <w:lvl w:ilvl="1">
      <w:lvlJc w:val="left"/>
      <w:lvlText w:val="(%2)"/>
      <w:numFmt w:val="decimal"/>
      <w:start w:val="3"/>
    </w:lvl>
  </w:abstractNum>
  <w:abstractNum w:abstractNumId="40">
    <w:nsid w:val="47398C89"/>
    <w:multiLevelType w:val="hybridMultilevel"/>
    <w:lvl w:ilvl="0">
      <w:lvlJc w:val="left"/>
      <w:lvlText w:val="(%1)"/>
      <w:numFmt w:val="decimal"/>
      <w:start w:val="4"/>
    </w:lvl>
  </w:abstractNum>
  <w:abstractNum w:abstractNumId="41">
    <w:nsid w:val="354FE9F9"/>
    <w:multiLevelType w:val="hybridMultilevel"/>
    <w:lvl w:ilvl="0">
      <w:lvlJc w:val="left"/>
      <w:lvlText w:val="%1."/>
      <w:numFmt w:val="upperLetter"/>
      <w:start w:val="2"/>
    </w:lvl>
    <w:lvl w:ilvl="1">
      <w:lvlJc w:val="left"/>
      <w:lvlText w:val="(%2)"/>
      <w:numFmt w:val="decimal"/>
      <w:start w:val="4"/>
    </w:lvl>
  </w:abstractNum>
  <w:abstractNum w:abstractNumId="42">
    <w:nsid w:val="15B5AF5C"/>
    <w:multiLevelType w:val="hybridMultilevel"/>
    <w:lvl w:ilvl="0">
      <w:lvlJc w:val="left"/>
      <w:lvlText w:val="(%1)"/>
      <w:numFmt w:val="decimal"/>
      <w:start w:val="5"/>
    </w:lvl>
  </w:abstractNum>
  <w:abstractNum w:abstractNumId="43">
    <w:nsid w:val="741226BB"/>
    <w:multiLevelType w:val="hybridMultilevel"/>
    <w:lvl w:ilvl="0">
      <w:lvlJc w:val="left"/>
      <w:lvlText w:val="%1."/>
      <w:numFmt w:val="upperLetter"/>
      <w:start w:val="3"/>
    </w:lvl>
    <w:lvl w:ilvl="1">
      <w:lvlJc w:val="left"/>
      <w:lvlText w:val="-"/>
      <w:numFmt w:val="bullet"/>
      <w:start w:val="1"/>
    </w:lvl>
  </w:abstractNum>
  <w:abstractNum w:abstractNumId="44">
    <w:nsid w:val="D34B6A8"/>
    <w:multiLevelType w:val="hybridMultilevel"/>
    <w:lvl w:ilvl="0">
      <w:lvlJc w:val="left"/>
      <w:lvlText w:val="%1."/>
      <w:numFmt w:val="upperLetter"/>
      <w:start w:val="3"/>
    </w:lvl>
    <w:lvl w:ilvl="1">
      <w:lvlJc w:val="left"/>
      <w:lvlText w:val="%2."/>
      <w:numFmt w:val="upperLetter"/>
      <w:start w:val="7"/>
    </w:lvl>
    <w:lvl w:ilvl="2">
      <w:lvlJc w:val="left"/>
      <w:lvlText w:val="-"/>
      <w:numFmt w:val="bullet"/>
      <w:start w:val="1"/>
    </w:lvl>
  </w:abstractNum>
  <w:abstractNum w:abstractNumId="45">
    <w:nsid w:val="10233C99"/>
    <w:multiLevelType w:val="hybridMultilevel"/>
    <w:lvl w:ilvl="0">
      <w:lvlJc w:val="left"/>
      <w:lvlText w:val="%1."/>
      <w:numFmt w:val="upperLetter"/>
      <w:start w:val="1"/>
    </w:lvl>
  </w:abstractNum>
  <w:abstractNum w:abstractNumId="46">
    <w:nsid w:val="3F6AB60F"/>
    <w:multiLevelType w:val="hybridMultilevel"/>
    <w:lvl w:ilvl="0">
      <w:lvlJc w:val="left"/>
      <w:lvlText w:val="%1."/>
      <w:numFmt w:val="upperLetter"/>
      <w:start w:val="2"/>
    </w:lvl>
  </w:abstractNum>
  <w:abstractNum w:abstractNumId="47">
    <w:nsid w:val="61574095"/>
    <w:multiLevelType w:val="hybridMultilevel"/>
    <w:lvl w:ilvl="0">
      <w:lvlJc w:val="left"/>
      <w:lvlText w:val="%1."/>
      <w:numFmt w:val="upperLetter"/>
      <w:start w:val="3"/>
    </w:lvl>
  </w:abstractNum>
  <w:abstractNum w:abstractNumId="48">
    <w:nsid w:val="7E0C57B1"/>
    <w:multiLevelType w:val="hybridMultilevel"/>
    <w:lvl w:ilvl="0">
      <w:lvlJc w:val="left"/>
      <w:lvlText w:val="%1."/>
      <w:numFmt w:val="upperLetter"/>
      <w:start w:val="4"/>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1."/>
      <w:numFmt w:val="upperLetter"/>
      <w:start w:val="1"/>
    </w:lvl>
  </w:abstractNum>
  <w:abstractNum w:abstractNumId="51">
    <w:nsid w:val="310C50B3"/>
    <w:multiLevelType w:val="hybridMultilevel"/>
    <w:lvl w:ilvl="0">
      <w:lvlJc w:val="left"/>
      <w:lvlText w:val="%1."/>
      <w:numFmt w:val="upperLetter"/>
      <w:start w:val="1"/>
    </w:lvl>
  </w:abstractNum>
  <w:abstractNum w:abstractNumId="52">
    <w:nsid w:val="5FF87E05"/>
    <w:multiLevelType w:val="hybridMultilevel"/>
    <w:lvl w:ilvl="0">
      <w:lvlJc w:val="left"/>
      <w:lvlText w:val="(*)"/>
      <w:numFmt w:val="bullet"/>
      <w:start w:val="1"/>
    </w:lvl>
    <w:lvl w:ilvl="1">
      <w:lvlJc w:val="left"/>
      <w:lvlText w:val="-"/>
      <w:numFmt w:val="bullet"/>
      <w:start w:val="1"/>
    </w:lvl>
  </w:abstractNum>
  <w:abstractNum w:abstractNumId="53">
    <w:nsid w:val="2F305DEF"/>
    <w:multiLevelType w:val="hybridMultilevel"/>
    <w:lvl w:ilvl="0">
      <w:lvlJc w:val="left"/>
      <w:lvlText w:val="%1."/>
      <w:numFmt w:val="upperLetter"/>
      <w:start w:val="3"/>
    </w:lvl>
  </w:abstractNum>
  <w:abstractNum w:abstractNumId="54">
    <w:nsid w:val="25A70BF7"/>
    <w:multiLevelType w:val="hybridMultilevel"/>
    <w:lvl w:ilvl="0">
      <w:lvlJc w:val="left"/>
      <w:lvlText w:val="(**)"/>
      <w:numFmt w:val="bullet"/>
      <w:start w:val="1"/>
    </w:lvl>
    <w:lvl w:ilvl="1">
      <w:lvlJc w:val="left"/>
      <w:lvlText w:val="-"/>
      <w:numFmt w:val="bullet"/>
      <w:start w:val="1"/>
    </w:lvl>
  </w:abstractNum>
  <w:abstractNum w:abstractNumId="55">
    <w:nsid w:val="1DBABF00"/>
    <w:multiLevelType w:val="hybridMultilevel"/>
    <w:lvl w:ilvl="0">
      <w:lvlJc w:val="left"/>
      <w:lvlText w:val="%1."/>
      <w:numFmt w:val="upperLetter"/>
      <w:start w:val="4"/>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
      <w:numFmt w:val="bullet"/>
      <w:start w:val="1"/>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
      <w:numFmt w:val="bullet"/>
      <w:start w:val="1"/>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1."/>
      <w:numFmt w:val="upperLetter"/>
      <w:start w:val="5"/>
    </w:lvl>
  </w:abstractNum>
  <w:abstractNum w:abstractNumId="63">
    <w:nsid w:val="5F5E7FD0"/>
    <w:multiLevelType w:val="hybridMultilevel"/>
    <w:lvl w:ilvl="0">
      <w:lvlJc w:val="left"/>
      <w:lvlText w:val="(*)"/>
      <w:numFmt w:val="bullet"/>
      <w:start w:val="1"/>
    </w:lvl>
    <w:lvl w:ilvl="1">
      <w:lvlJc w:val="left"/>
      <w:lvlText w:val="-"/>
      <w:numFmt w:val="bullet"/>
      <w:start w:val="1"/>
    </w:lvl>
  </w:abstractNum>
  <w:abstractNum w:abstractNumId="64">
    <w:nsid w:val="98A3148"/>
    <w:multiLevelType w:val="hybridMultilevel"/>
    <w:lvl w:ilvl="0">
      <w:lvlJc w:val="left"/>
      <w:lvlText w:val="%1."/>
      <w:numFmt w:val="upperLetter"/>
      <w:start w:val="6"/>
    </w:lvl>
    <w:lvl w:ilvl="1">
      <w:lvlJc w:val="left"/>
      <w:lvlText w:val="-"/>
      <w:numFmt w:val="bullet"/>
      <w:start w:val="1"/>
    </w:lvl>
  </w:abstractNum>
  <w:abstractNum w:abstractNumId="65">
    <w:nsid w:val="799D0247"/>
    <w:multiLevelType w:val="hybridMultilevel"/>
    <w:lvl w:ilvl="0">
      <w:lvlJc w:val="left"/>
      <w:lvlText w:val="%1."/>
      <w:numFmt w:val="upperLetter"/>
      <w:start w:val="7"/>
    </w:lvl>
    <w:lvl w:ilvl="1">
      <w:lvlJc w:val="left"/>
      <w:lvlText w:val="-"/>
      <w:numFmt w:val="bullet"/>
      <w:start w:val="1"/>
    </w:lvl>
  </w:abstractNum>
  <w:abstractNum w:abstractNumId="66">
    <w:nsid w:val="6B94764"/>
    <w:multiLevelType w:val="hybridMultilevel"/>
    <w:lvl w:ilvl="0">
      <w:lvlJc w:val="left"/>
      <w:lvlText w:val="%1."/>
      <w:numFmt w:val="upperLetter"/>
      <w:start w:val="2"/>
    </w:lvl>
  </w:abstractNum>
  <w:abstractNum w:abstractNumId="67">
    <w:nsid w:val="42C296BD"/>
    <w:multiLevelType w:val="hybridMultilevel"/>
    <w:lvl w:ilvl="0">
      <w:lvlJc w:val="left"/>
      <w:lvlText w:val="%1."/>
      <w:numFmt w:val="upperLetter"/>
      <w:start w:val="1"/>
    </w:lvl>
    <w:lvl w:ilvl="1">
      <w:lvlJc w:val="left"/>
      <w:lvlText w:val="-"/>
      <w:numFmt w:val="bullet"/>
      <w:start w:val="1"/>
    </w:lvl>
  </w:abstractNum>
  <w:abstractNum w:abstractNumId="68">
    <w:nsid w:val="168E121F"/>
    <w:multiLevelType w:val="hybridMultilevel"/>
    <w:lvl w:ilvl="0">
      <w:lvlJc w:val="left"/>
      <w:lvlText w:val="%1."/>
      <w:numFmt w:val="upperLetter"/>
      <w:start w:val="5"/>
    </w:lvl>
  </w:abstractNum>
  <w:abstractNum w:abstractNumId="69">
    <w:nsid w:val="1EBA5D23"/>
    <w:multiLevelType w:val="hybridMultilevel"/>
    <w:lvl w:ilvl="0">
      <w:lvlJc w:val="left"/>
      <w:lvlText w:val="%1."/>
      <w:numFmt w:val="upperLetter"/>
      <w:start w:val="6"/>
    </w:lvl>
  </w:abstractNum>
  <w:abstractNum w:abstractNumId="70">
    <w:nsid w:val="661E3F1E"/>
    <w:multiLevelType w:val="hybridMultilevel"/>
    <w:lvl w:ilvl="0">
      <w:lvlJc w:val="left"/>
      <w:lvlText w:val="%1."/>
      <w:numFmt w:val="upperLetter"/>
      <w:start w:val="7"/>
    </w:lvl>
  </w:abstractNum>
  <w:abstractNum w:abstractNumId="71">
    <w:nsid w:val="5DC79EA8"/>
    <w:multiLevelType w:val="hybridMultilevel"/>
    <w:lvl w:ilvl="0">
      <w:lvlJc w:val="left"/>
      <w:lvlText w:val="%1."/>
      <w:numFmt w:val="upperLetter"/>
      <w:start w:val="8"/>
    </w:lvl>
  </w:abstractNum>
  <w:abstractNum w:abstractNumId="72">
    <w:nsid w:val="540A471C"/>
    <w:multiLevelType w:val="hybridMultilevel"/>
    <w:lvl w:ilvl="0">
      <w:lvlJc w:val="left"/>
      <w:lvlText w:val="%1."/>
      <w:numFmt w:val="upperLetter"/>
      <w:start w:val="9"/>
    </w:lvl>
  </w:abstractNum>
  <w:abstractNum w:abstractNumId="73">
    <w:nsid w:val="7BD3EE7B"/>
    <w:multiLevelType w:val="hybridMultilevel"/>
    <w:lvl w:ilvl="0">
      <w:lvlJc w:val="left"/>
      <w:lvlText w:val="%1."/>
      <w:numFmt w:val="upperLetter"/>
      <w:start w:val="10"/>
    </w:lvl>
  </w:abstractNum>
  <w:abstractNum w:abstractNumId="74">
    <w:nsid w:val="51D9C564"/>
    <w:multiLevelType w:val="hybridMultilevel"/>
    <w:lvl w:ilvl="0">
      <w:lvlJc w:val="left"/>
      <w:lvlText w:val="%1."/>
      <w:numFmt w:val="upperLetter"/>
      <w:start w:val="11"/>
    </w:lvl>
  </w:abstractNum>
  <w:abstractNum w:abstractNumId="75">
    <w:nsid w:val="613EFDC5"/>
    <w:multiLevelType w:val="hybridMultilevel"/>
    <w:lvl w:ilvl="0">
      <w:lvlJc w:val="left"/>
      <w:lvlText w:val="%1."/>
      <w:numFmt w:val="upp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2019-12-06T03:00:44Z</dcterms:created>
  <dcterms:modified xsi:type="dcterms:W3CDTF">2019-12-06T03:00:44Z</dcterms:modified>
</cp:coreProperties>
</file>