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[TOWER SEMICONDUCTOR LOGO]</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month of August 2003</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139"/>
        <w:spacing w:after="0" w:line="237" w:lineRule="auto"/>
        <w:rPr>
          <w:sz w:val="20"/>
          <w:szCs w:val="20"/>
          <w:color w:val="auto"/>
        </w:rPr>
      </w:pPr>
      <w:r>
        <w:rPr>
          <w:rFonts w:ascii="Courier New" w:cs="Courier New" w:eastAsia="Courier New" w:hAnsi="Courier New"/>
          <w:sz w:val="15"/>
          <w:szCs w:val="15"/>
          <w:color w:val="auto"/>
        </w:rPr>
        <w:t>(Translation of registrant's name into English)</w:t>
      </w:r>
    </w:p>
    <w:p>
      <w:pPr>
        <w:spacing w:after="0" w:line="33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10556</w:t>
      </w:r>
    </w:p>
    <w:p>
      <w:pPr>
        <w:ind w:left="1760"/>
        <w:spacing w:after="0" w:line="237"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342" w:lineRule="exact"/>
        <w:rPr>
          <w:sz w:val="24"/>
          <w:szCs w:val="24"/>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67" w:lineRule="exact"/>
        <w:rPr>
          <w:sz w:val="24"/>
          <w:szCs w:val="24"/>
          <w:color w:val="auto"/>
        </w:rPr>
      </w:pPr>
    </w:p>
    <w:p>
      <w:pPr>
        <w:ind w:left="2460"/>
        <w:spacing w:after="0"/>
        <w:tabs>
          <w:tab w:leader="none" w:pos="358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w:t>
      </w:r>
    </w:p>
    <w:p>
      <w:pPr>
        <w:ind w:left="3240"/>
        <w:spacing w:after="0" w:line="237" w:lineRule="auto"/>
        <w:tabs>
          <w:tab w:leader="none" w:pos="4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2" w:lineRule="exact"/>
        <w:rPr>
          <w:sz w:val="24"/>
          <w:szCs w:val="24"/>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39"/>
          </w:cols>
          <w:pgMar w:left="220" w:top="393" w:right="1440" w:bottom="1440" w:gutter="0" w:footer="0" w:header="0"/>
        </w:sectPr>
      </w:pPr>
    </w:p>
    <w:p>
      <w:pPr>
        <w:spacing w:after="0" w:line="344" w:lineRule="exact"/>
        <w:rPr>
          <w:sz w:val="24"/>
          <w:szCs w:val="24"/>
          <w:color w:val="auto"/>
        </w:rPr>
      </w:pPr>
    </w:p>
    <w:p>
      <w:pPr>
        <w:ind w:left="29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No x</w:t>
      </w:r>
    </w:p>
    <w:p>
      <w:pPr>
        <w:spacing w:after="0" w:line="5" w:lineRule="exact"/>
        <w:rPr>
          <w:sz w:val="24"/>
          <w:szCs w:val="24"/>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3160" w:space="0"/>
            <w:col w:w="7079"/>
          </w:cols>
          <w:pgMar w:left="220" w:top="393"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On August 11, 2003, the Registrant announced its financial results for the three months and six months ended June 30, 2003. Attached hereto are (1) the press release announcing the results and (2) the Registrant's unaudited condensed interim consolidated financial statements as of June 30, 2003 and for the three month and six month periods then ended.</w:t>
      </w:r>
    </w:p>
    <w:p>
      <w:pPr>
        <w:spacing w:after="0" w:line="174" w:lineRule="exact"/>
        <w:rPr>
          <w:sz w:val="24"/>
          <w:szCs w:val="24"/>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This Form 6-K is being incorporated by reference in all effective registration statements filed by us under the Securities Act of 1933.</w:t>
      </w:r>
    </w:p>
    <w:p>
      <w:pPr>
        <w:sectPr>
          <w:pgSz w:w="11900" w:h="16838" w:orient="portrait"/>
          <w:cols w:equalWidth="0" w:num="1">
            <w:col w:w="10239"/>
          </w:cols>
          <w:pgMar w:left="220" w:top="393" w:right="1440" w:bottom="1440" w:gutter="0" w:footer="0" w:header="0"/>
          <w:type w:val="continuous"/>
        </w:sectPr>
      </w:pPr>
    </w:p>
    <w:bookmarkStart w:id="1" w:name="page2"/>
    <w:bookmarkEnd w:id="1"/>
    <w:p>
      <w:pPr>
        <w:spacing w:after="0" w:line="18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39"/>
          </w:cols>
          <w:pgMar w:left="220" w:top="144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11,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 Tamar Cohen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Tamar Cohen</w:t>
      </w:r>
    </w:p>
    <w:p>
      <w:pPr>
        <w:ind w:left="340"/>
        <w:spacing w:after="0" w:line="237" w:lineRule="auto"/>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4">
            <w:col w:w="440" w:space="180"/>
            <w:col w:w="2700" w:space="720"/>
            <w:col w:w="260" w:space="180"/>
            <w:col w:w="5759"/>
          </w:cols>
          <w:pgMar w:left="220" w:top="1440"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NEWS RELEASE</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 ANNOUNCES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SECOND QUARTER AND FIRST HALF 2003 RESULTS</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FAB 2 PRODUCTION RAMP UNDERWAY</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MIGDAL HAEMEK, ISRAEL-- AUGUST 8, 2003-- Tower Semiconductor Ltd. (NASDAQ: TSEM; TASE: TSEM) today announced results for the second quarter and first half ended June 30, 2003.</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Sales for the second quarter of 2003 were $12.9 million, compared to $12.6 million in the preceding quarter and compared with $11.6 million in the second quarter of 2002. Second quarter loss was $16.8 million, or $0.37 per share, compared to a loss of $14.4 million, or $0.33 per share, for the first quarter of 2003 and compared with a loss of $11.3 million, or $0.39 per share, for the second quarter of 2002.</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Sales for the six months ended June 30, 2003 were $25.5 million, versus $20.0 million for the six months ended June 30, 2002. The company reported a loss of $31.2 million, or $0.70 per share, compared with a loss of $23.3 million, or $0.86 per share, in the six months ended June 30, 2002.</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Fab 1 drove the company's increase in sales in second quarter 2003, which marked the fifth consecutive quarter of positive cash flow from Fab 1 operations. The company's increase in loss in the second quarter was mainly due to the high level of start up and production ramp activities in Fab 2. The company expects a decrease in Fab 1 sales, along with first time Fab 2 sales, in the third quarter. This would result in modest quarter-to-quarter growth on a consolidated basis.</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Volume production in Fab 2 for wafer partners Alliance Semiconductor (NASDAQ: ALSC) and SanDisk Corporation (NASDAQ: SNDK) began this past quarter. First-time production order for Fab 2 was also received from wafer partner QuickLogic Corporation (NASDAQ: QUIK). Additionally, Fab 2 enhanced its IP portfolio in the second quarter by licensing design tools from Cadence (NYSE: CDN), Mentor (NASDAQ: MENT) and ChipIdea.</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Carmel Vernia, chairman of the board and CEO of Tower, commented, "I am pleased with the progress we made on many fronts this past quarter. We received first-time orders for Fab 2 from several customers, including Zoran. We enhanced our focus on customer service with the hire of Rafi Nave, a longtime industry executive. Concurrently, we expanded our sales force and pursued our technology developments in key areas."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has reached an arrangement with its banks and with its equity and wafer partners to extend the original financing agreement and provide additional funding to the company, if needed, for further ramp-up of production capacity in Fab 2.</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39"/>
          </w:cols>
          <w:pgMar w:left="220" w:top="953" w:right="1440" w:bottom="1440" w:gutter="0" w:footer="0" w:header="0"/>
        </w:sectPr>
      </w:pPr>
    </w:p>
    <w:bookmarkStart w:id="3" w:name="page4"/>
    <w:bookmarkEnd w:id="3"/>
    <w:p>
      <w:pPr>
        <w:ind w:right="3499"/>
        <w:spacing w:after="0" w:line="234" w:lineRule="auto"/>
        <w:rPr>
          <w:sz w:val="20"/>
          <w:szCs w:val="20"/>
          <w:color w:val="auto"/>
        </w:rPr>
      </w:pPr>
      <w:r>
        <w:rPr>
          <w:rFonts w:ascii="Courier New" w:cs="Courier New" w:eastAsia="Courier New" w:hAnsi="Courier New"/>
          <w:sz w:val="15"/>
          <w:szCs w:val="15"/>
          <w:color w:val="auto"/>
        </w:rPr>
        <w:t>TOWER SEMICONDUCTOR LTD. ANNOUNCES SECOND QUARTER AND FIRST HALF 2003 RESULTS PAGE 2 OF 3</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Tower will host a conference call to discuss these results on Friday, August 8, 2003 at 11:00 a.m. Eastern time / 18:00 Israel time. To participate, call 1-800-915-4836 (U.S. toll-free number) or 1-973-317-5319 (international) and mention ID code: TOWER. Callers in Israel are invited to call local 03-925-5910. The conference call also will be webcast live at www.companyboardroom.com and at www.towersemi.com and will be available thereafter on both Web sites for replay for 90 days, starting at 2:00 p.m. Eastern time on the day of the call.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when complete is expected to offer production capacity of 33,000 200mm wafers per month. The Tower Web site is located at www.towersemi.com.</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Our actual results may vary from those projected or implied by such forward-looking statements. Potential risks and uncertainties include, without limitation, risks and uncertainties associated with (i) our need to conclude the comprehensive contract for our 2003 financing package with our banks, including the detailed terms and conditions (which, if completed, will include an extension of the deadlines for the fifth and sixth milestones), as well as satisfy all of the conditions to such contract, including the receipt of the shareholders approval, all of which is a condition to receipt of the remainder of the first installment of our fifth milestone payment from our wafer and equity investors in the amount of $11.2 million and which, in the absence of</w:t>
      </w:r>
    </w:p>
    <w:p>
      <w:pPr>
        <w:spacing w:after="0" w:line="4" w:lineRule="exact"/>
        <w:rPr>
          <w:sz w:val="20"/>
          <w:szCs w:val="20"/>
          <w:color w:val="auto"/>
        </w:rPr>
      </w:pPr>
    </w:p>
    <w:p>
      <w:pPr>
        <w:jc w:val="both"/>
        <w:ind w:right="3239" w:firstLine="10"/>
        <w:spacing w:after="0" w:line="255" w:lineRule="auto"/>
        <w:tabs>
          <w:tab w:leader="none" w:pos="26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completed contract, would result in an event of default under the credit facility in which event our banks would have the right to call our loans and exercise their liens against our assets, (ii) raising at least $26 million of additional funding for Fab 2 before the end of 2003, which is a condition to completion of the fifth milestone investment by our major wafer and equity partners in the amount of $16.4 million, (iii) obtaining the approval of our shareholders to the terms of the support to be provided by The Israel Corporation for our additional equity needs, (iv) obtaining the approval of the Israeli Investment Center to extend the five-year investment period under our Fab 2 approved enterprise program and of amendments to our modified business plan, (v) the lawsuit filed against us in the southern district of New York, (vi) market acceptance and competitiveness of the products to be manufactured by us for customers using these technologies, as well as obtaining additional business from new and existing customers, (vii) a declaration of default by Tower's WPs, financial investors and the IC should Tower's banks call the loans, (viii) our ability to obtain additional financing for the Fab 2 project from</w:t>
      </w:r>
    </w:p>
    <w:p>
      <w:pPr>
        <w:sectPr>
          <w:pgSz w:w="11900" w:h="16838" w:orient="portrait"/>
          <w:cols w:equalWidth="0" w:num="1">
            <w:col w:w="10239"/>
          </w:cols>
          <w:pgMar w:left="220" w:top="792" w:right="1440" w:bottom="1440" w:gutter="0" w:footer="0" w:header="0"/>
        </w:sectPr>
      </w:pPr>
    </w:p>
    <w:bookmarkStart w:id="4" w:name="page5"/>
    <w:bookmarkEnd w:id="4"/>
    <w:p>
      <w:pPr>
        <w:ind w:right="3499"/>
        <w:spacing w:after="0" w:line="234" w:lineRule="auto"/>
        <w:rPr>
          <w:sz w:val="20"/>
          <w:szCs w:val="20"/>
          <w:color w:val="auto"/>
        </w:rPr>
      </w:pPr>
      <w:r>
        <w:rPr>
          <w:rFonts w:ascii="Courier New" w:cs="Courier New" w:eastAsia="Courier New" w:hAnsi="Courier New"/>
          <w:sz w:val="15"/>
          <w:szCs w:val="15"/>
          <w:color w:val="auto"/>
        </w:rPr>
        <w:t>TOWER SEMICONDUCTOR LTD. ANNOUNCES SECOND QUARTER AND FIRST HALF 2003 RESULTS PAGE 3 OF 3</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equity and/or wafer partners, the Israeli Investment Center, our banks, and/or other sources, as required under the Fab 2 business plan and pursuant to our agreements with our wafer and equity partners, banks and the Israeli Investment Center, (ix) ramp-up of production at Fab 2, (x) completion of the development and/or transfer of advanced process technologies to be utilized in Fab 1 and Fab 2, (xi) conditions in the market for foundry manufacturing services and for semiconductor products generally and (xii) possible loss of our exclusive foundry license with Saifun if we fail to meet certain sales levels and other conditions. Results in future quarters will also be affected by depreciation and amortization for Fab 2 property and equipment and 0.18 technology beginning in the third quarter of 2003. A more complete discussion of risks and uncertainties that may affect the accuracy of forward-looking statements included in this press release or which may otherwise affect our business is included at "Risk Factors" in our most recent Annual Report on Form 20-F, as filed with the Securities and Exchange Commission and the Israel Securities Authority.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720" w:type="dxa"/>
            <w:vAlign w:val="bottom"/>
          </w:tcPr>
          <w:p>
            <w:pPr>
              <w:ind w:left="1320"/>
              <w:spacing w:after="0"/>
              <w:rPr>
                <w:sz w:val="20"/>
                <w:szCs w:val="20"/>
                <w:color w:val="auto"/>
              </w:rPr>
            </w:pPr>
            <w:r>
              <w:rPr>
                <w:rFonts w:ascii="Courier New" w:cs="Courier New" w:eastAsia="Courier New" w:hAnsi="Courier New"/>
                <w:sz w:val="15"/>
                <w:szCs w:val="15"/>
                <w:color w:val="auto"/>
              </w:rPr>
              <w:t># # #</w:t>
            </w:r>
          </w:p>
        </w:tc>
        <w:tc>
          <w:tcPr>
            <w:tcW w:w="226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PR Agency Contact</w:t>
            </w:r>
          </w:p>
        </w:tc>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Investor Relations Contact</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Corporate Contact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JULIE LASS</w:t>
            </w:r>
          </w:p>
        </w:tc>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SHELDON LUTCH</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L.T. GUTTADAURO</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Loomis Group</w:t>
            </w:r>
          </w:p>
        </w:tc>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Fusion IR &amp; Communications</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Tower Semiconductor USA</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+1 (713) 526 3737</w:t>
            </w:r>
          </w:p>
        </w:tc>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 (212) 268 1816</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 (408) 557-2690</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lassj@loomisgroup.com</w:t>
            </w:r>
          </w:p>
        </w:tc>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sheldon@fusionir.com</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pr@towersemi.com</w:t>
            </w:r>
          </w:p>
        </w:tc>
      </w:tr>
    </w:tbl>
    <w:p>
      <w:pPr>
        <w:sectPr>
          <w:pgSz w:w="11900" w:h="16838" w:orient="portrait"/>
          <w:cols w:equalWidth="0" w:num="1">
            <w:col w:w="10239"/>
          </w:cols>
          <w:pgMar w:left="220" w:top="624" w:right="1440" w:bottom="1440" w:gutter="0" w:footer="0" w:header="0"/>
        </w:sectPr>
      </w:pPr>
    </w:p>
    <w:bookmarkStart w:id="5" w:name="page6"/>
    <w:bookmarkEnd w:id="5"/>
    <w:p>
      <w:pPr>
        <w:jc w:val="center"/>
        <w:ind w:right="428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280"/>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666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3"/>
        </w:trPr>
        <w:tc>
          <w:tcPr>
            <w:tcW w:w="6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3"/>
          </w:tcPr>
          <w:p>
            <w:pPr>
              <w:jc w:val="right"/>
              <w:ind w:right="1067"/>
              <w:spacing w:after="0"/>
              <w:rPr>
                <w:sz w:val="20"/>
                <w:szCs w:val="20"/>
                <w:color w:val="auto"/>
              </w:rPr>
            </w:pPr>
            <w:r>
              <w:rPr>
                <w:rFonts w:ascii="Courier New" w:cs="Courier New" w:eastAsia="Courier New" w:hAnsi="Courier New"/>
                <w:sz w:val="15"/>
                <w:szCs w:val="15"/>
                <w:color w:val="auto"/>
              </w:rPr>
              <w:t>AS OF JUNE 30,</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w:t>
            </w:r>
          </w:p>
        </w:tc>
      </w:tr>
      <w:tr>
        <w:trPr>
          <w:trHeight w:val="168"/>
        </w:trPr>
        <w:tc>
          <w:tcPr>
            <w:tcW w:w="6660" w:type="dxa"/>
            <w:vAlign w:val="bottom"/>
          </w:tcPr>
          <w:p>
            <w:pPr>
              <w:spacing w:after="0"/>
              <w:rPr>
                <w:sz w:val="14"/>
                <w:szCs w:val="14"/>
                <w:color w:val="auto"/>
              </w:rPr>
            </w:pPr>
          </w:p>
        </w:tc>
        <w:tc>
          <w:tcPr>
            <w:tcW w:w="31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1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660" w:type="dxa"/>
            <w:vAlign w:val="bottom"/>
          </w:tcPr>
          <w:p>
            <w:pPr>
              <w:spacing w:after="0"/>
              <w:rPr>
                <w:sz w:val="14"/>
                <w:szCs w:val="14"/>
                <w:color w:val="auto"/>
              </w:rPr>
            </w:pPr>
          </w:p>
        </w:tc>
        <w:tc>
          <w:tcPr>
            <w:tcW w:w="14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3"/>
          </w:tcPr>
          <w:p>
            <w:pPr>
              <w:jc w:val="right"/>
              <w:ind w:right="1227"/>
              <w:spacing w:after="0" w:line="168" w:lineRule="exact"/>
              <w:rPr>
                <w:sz w:val="20"/>
                <w:szCs w:val="20"/>
                <w:color w:val="auto"/>
              </w:rPr>
            </w:pPr>
            <w:r>
              <w:rPr>
                <w:rFonts w:ascii="Courier New" w:cs="Courier New" w:eastAsia="Courier New" w:hAnsi="Courier New"/>
                <w:sz w:val="15"/>
                <w:szCs w:val="15"/>
                <w:color w:val="auto"/>
              </w:rPr>
              <w:t>(unaudited)</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660" w:type="dxa"/>
            <w:vAlign w:val="bottom"/>
          </w:tcPr>
          <w:p>
            <w:pPr>
              <w:spacing w:after="0"/>
              <w:rPr>
                <w:sz w:val="14"/>
                <w:szCs w:val="14"/>
                <w:color w:val="auto"/>
              </w:rPr>
            </w:pPr>
          </w:p>
        </w:tc>
        <w:tc>
          <w:tcPr>
            <w:tcW w:w="31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12,277</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8,885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7,857</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5,000</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7,000</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10,500</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short-term interest-bearing deposits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6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2,021</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26,700</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51,338</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 (net of allowance for</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6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Doubtful accounts of $71, $215 and $155, respectively)</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5,441</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5,313</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7,456</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20,717</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26,441</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21,322</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13,275</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9,530</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10,201</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2,455</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2,465</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1,407</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61,186</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86,334</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110,081</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LONG-TERM INVESTMENTS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6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12,437</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11,606</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11,893</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6,000</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18,437</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17,606</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17,893</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24"/>
                <w:szCs w:val="2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574,196</w:t>
            </w:r>
          </w:p>
        </w:tc>
        <w:tc>
          <w:tcPr>
            <w:tcW w:w="22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406,881</w:t>
            </w:r>
          </w:p>
        </w:tc>
        <w:tc>
          <w:tcPr>
            <w:tcW w:w="48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493,074</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24"/>
                <w:szCs w:val="2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107,823</w:t>
            </w:r>
          </w:p>
        </w:tc>
        <w:tc>
          <w:tcPr>
            <w:tcW w:w="22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76,719</w:t>
            </w:r>
          </w:p>
        </w:tc>
        <w:tc>
          <w:tcPr>
            <w:tcW w:w="48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95,213</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1060"/>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761,642</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587,540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716,261</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debt</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4,000</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79,810</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56,127</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76,083</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9,322</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7,572</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8,071</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93,132</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67,699</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88,154</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24"/>
                <w:szCs w:val="2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308,000</w:t>
            </w:r>
          </w:p>
        </w:tc>
        <w:tc>
          <w:tcPr>
            <w:tcW w:w="22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195,000</w:t>
            </w:r>
          </w:p>
        </w:tc>
        <w:tc>
          <w:tcPr>
            <w:tcW w:w="48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253,000</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220" w:type="dxa"/>
            <w:vAlign w:val="bottom"/>
          </w:tcPr>
          <w:p>
            <w:pPr>
              <w:spacing w:after="0"/>
              <w:rPr>
                <w:sz w:val="24"/>
                <w:szCs w:val="2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26,549</w:t>
            </w:r>
          </w:p>
        </w:tc>
        <w:tc>
          <w:tcPr>
            <w:tcW w:w="22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23,448</w:t>
            </w:r>
          </w:p>
        </w:tc>
        <w:tc>
          <w:tcPr>
            <w:tcW w:w="48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24,121</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LONG-TERM LIABILITY IN RESPECT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47,246</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32,578</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47,246</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220" w:type="dxa"/>
            <w:vAlign w:val="bottom"/>
          </w:tcPr>
          <w:p>
            <w:pPr>
              <w:spacing w:after="0"/>
              <w:rPr>
                <w:sz w:val="24"/>
                <w:szCs w:val="2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6,011</w:t>
            </w:r>
          </w:p>
        </w:tc>
        <w:tc>
          <w:tcPr>
            <w:tcW w:w="22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7,242</w:t>
            </w:r>
          </w:p>
        </w:tc>
        <w:tc>
          <w:tcPr>
            <w:tcW w:w="48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5,406</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480,938</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325,967</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417,927</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Ordinary shares, NIS 1 par value - authorized 100,000,000 shares;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66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8"/>
              </w:rPr>
              <w:t>Issued 49,241,064, 31,511,228 and 44,735,532 shares, respectively</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12,291</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8,537</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11,294</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413,334</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338,753</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400,808</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Shareholder receivables and unearned compensation</w:t>
            </w:r>
          </w:p>
        </w:tc>
        <w:tc>
          <w:tcPr>
            <w:tcW w:w="2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w:t>
            </w:r>
          </w:p>
        </w:tc>
        <w:tc>
          <w:tcPr>
            <w:tcW w:w="4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(135,823)</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(76,546)</w:t>
            </w:r>
          </w:p>
        </w:tc>
        <w:tc>
          <w:tcPr>
            <w:tcW w:w="4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(104,643)</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289,776</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270,645</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307,406</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2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(9,072)</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(9,072)</w:t>
            </w:r>
          </w:p>
        </w:tc>
        <w:tc>
          <w:tcPr>
            <w:tcW w:w="4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280,704</w:t>
            </w:r>
          </w:p>
        </w:tc>
        <w:tc>
          <w:tcPr>
            <w:tcW w:w="22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261,573</w:t>
            </w:r>
          </w:p>
        </w:tc>
        <w:tc>
          <w:tcPr>
            <w:tcW w:w="4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298,334</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761,642</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587,540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716,261</w:t>
            </w:r>
          </w:p>
        </w:tc>
      </w:tr>
      <w:tr>
        <w:trPr>
          <w:trHeight w:val="168"/>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80" w:type="dxa"/>
            <w:vAlign w:val="bottom"/>
          </w:tcPr>
          <w:p>
            <w:pPr>
              <w:spacing w:after="0"/>
              <w:rPr>
                <w:sz w:val="14"/>
                <w:szCs w:val="14"/>
                <w:color w:val="auto"/>
              </w:rPr>
            </w:pPr>
          </w:p>
        </w:tc>
        <w:tc>
          <w:tcPr>
            <w:tcW w:w="110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r>
    </w:tbl>
    <w:p>
      <w:pPr>
        <w:sectPr>
          <w:pgSz w:w="11900" w:h="16838" w:orient="portrait"/>
          <w:cols w:equalWidth="0" w:num="1">
            <w:col w:w="11380"/>
          </w:cols>
          <w:pgMar w:left="220" w:top="617" w:right="299" w:bottom="1440" w:gutter="0" w:footer="0" w:header="0"/>
        </w:sectPr>
      </w:pPr>
    </w:p>
    <w:bookmarkStart w:id="6" w:name="page7"/>
    <w:bookmarkEnd w:id="6"/>
    <w:p>
      <w:pPr>
        <w:jc w:val="center"/>
        <w:ind w:right="420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200"/>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tbl>
      <w:tblPr>
        <w:tblLayout w:type="fixed"/>
        <w:tblInd w:w="0" w:type="dxa"/>
        <w:tblCellMar>
          <w:top w:w="0" w:type="dxa"/>
          <w:left w:w="0" w:type="dxa"/>
          <w:bottom w:w="0" w:type="dxa"/>
          <w:right w:w="0" w:type="dxa"/>
        </w:tblCellMar>
      </w:tblPr>
      <w:tr>
        <w:trPr>
          <w:trHeight w:val="169"/>
        </w:trPr>
        <w:tc>
          <w:tcPr>
            <w:tcW w:w="6220" w:type="dxa"/>
            <w:vAlign w:val="bottom"/>
            <w:gridSpan w:val="3"/>
          </w:tcPr>
          <w:p>
            <w:pPr>
              <w:jc w:val="right"/>
              <w:ind w:right="8"/>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73"/>
        </w:trPr>
        <w:tc>
          <w:tcPr>
            <w:tcW w:w="4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c>
          <w:tcPr>
            <w:tcW w:w="220" w:type="dxa"/>
            <w:vAlign w:val="bottom"/>
          </w:tcPr>
          <w:p>
            <w:pPr>
              <w:spacing w:after="0"/>
              <w:rPr>
                <w:sz w:val="24"/>
                <w:szCs w:val="24"/>
                <w:color w:val="auto"/>
              </w:rPr>
            </w:pPr>
          </w:p>
        </w:tc>
        <w:tc>
          <w:tcPr>
            <w:tcW w:w="22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4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14"/>
                <w:szCs w:val="14"/>
                <w:color w:val="auto"/>
              </w:rPr>
            </w:pPr>
          </w:p>
        </w:tc>
        <w:tc>
          <w:tcPr>
            <w:tcW w:w="222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2003</w:t>
            </w:r>
          </w:p>
        </w:tc>
        <w:tc>
          <w:tcPr>
            <w:tcW w:w="14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220" w:type="dxa"/>
            <w:vAlign w:val="bottom"/>
          </w:tcPr>
          <w:p>
            <w:pPr>
              <w:spacing w:after="0"/>
              <w:rPr>
                <w:sz w:val="14"/>
                <w:szCs w:val="14"/>
                <w:color w:val="auto"/>
              </w:rPr>
            </w:pPr>
          </w:p>
        </w:tc>
        <w:tc>
          <w:tcPr>
            <w:tcW w:w="222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505"/>
        </w:trPr>
        <w:tc>
          <w:tcPr>
            <w:tcW w:w="44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25,471</w:t>
            </w:r>
          </w:p>
        </w:tc>
        <w:tc>
          <w:tcPr>
            <w:tcW w:w="1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11,622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51,801</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8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37,268</w:t>
            </w:r>
          </w:p>
        </w:tc>
        <w:tc>
          <w:tcPr>
            <w:tcW w:w="14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28,878</w:t>
            </w:r>
          </w:p>
        </w:tc>
        <w:tc>
          <w:tcPr>
            <w:tcW w:w="22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19,334</w:t>
            </w:r>
          </w:p>
        </w:tc>
        <w:tc>
          <w:tcPr>
            <w:tcW w:w="220" w:type="dxa"/>
            <w:vAlign w:val="bottom"/>
          </w:tcPr>
          <w:p>
            <w:pPr>
              <w:spacing w:after="0"/>
              <w:rPr>
                <w:sz w:val="24"/>
                <w:szCs w:val="2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15,484</w:t>
            </w:r>
          </w:p>
        </w:tc>
        <w:tc>
          <w:tcPr>
            <w:tcW w:w="22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67,022</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420" w:type="dxa"/>
            <w:vAlign w:val="bottom"/>
          </w:tcPr>
          <w:p>
            <w:pPr>
              <w:ind w:left="700"/>
              <w:spacing w:after="0"/>
              <w:rPr>
                <w:sz w:val="20"/>
                <w:szCs w:val="20"/>
                <w:color w:val="auto"/>
              </w:rPr>
            </w:pPr>
            <w:r>
              <w:rPr>
                <w:rFonts w:ascii="Courier New" w:cs="Courier New" w:eastAsia="Courier New" w:hAnsi="Courier New"/>
                <w:sz w:val="15"/>
                <w:szCs w:val="15"/>
                <w:color w:val="auto"/>
              </w:rPr>
              <w:t>GROSS LOSS</w:t>
            </w:r>
          </w:p>
        </w:tc>
        <w:tc>
          <w:tcPr>
            <w:tcW w:w="8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5"/>
                <w:szCs w:val="15"/>
                <w:color w:val="auto"/>
              </w:rPr>
              <w:t>(11,797)</w:t>
            </w:r>
          </w:p>
        </w:tc>
        <w:tc>
          <w:tcPr>
            <w:tcW w:w="14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(8,836)</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(6,455)</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(3,862)</w:t>
            </w:r>
          </w:p>
        </w:tc>
        <w:tc>
          <w:tcPr>
            <w:tcW w:w="22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(15,221)</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4420" w:type="dxa"/>
            <w:vAlign w:val="bottom"/>
          </w:tcPr>
          <w:p>
            <w:pPr>
              <w:ind w:left="540"/>
              <w:spacing w:after="0"/>
              <w:rPr>
                <w:sz w:val="20"/>
                <w:szCs w:val="20"/>
                <w:color w:val="auto"/>
              </w:rPr>
            </w:pPr>
            <w:r>
              <w:rPr>
                <w:rFonts w:ascii="Courier New" w:cs="Courier New" w:eastAsia="Courier New" w:hAnsi="Courier New"/>
                <w:sz w:val="15"/>
                <w:szCs w:val="15"/>
                <w:color w:val="auto"/>
              </w:rPr>
              <w:t>Research and development</w:t>
            </w:r>
          </w:p>
        </w:tc>
        <w:tc>
          <w:tcPr>
            <w:tcW w:w="8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8,656</w:t>
            </w:r>
          </w:p>
        </w:tc>
        <w:tc>
          <w:tcPr>
            <w:tcW w:w="14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6,542</w:t>
            </w:r>
          </w:p>
        </w:tc>
        <w:tc>
          <w:tcPr>
            <w:tcW w:w="22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4,799</w:t>
            </w:r>
          </w:p>
        </w:tc>
        <w:tc>
          <w:tcPr>
            <w:tcW w:w="220" w:type="dxa"/>
            <w:vAlign w:val="bottom"/>
          </w:tcPr>
          <w:p>
            <w:pPr>
              <w:spacing w:after="0"/>
              <w:rPr>
                <w:sz w:val="24"/>
                <w:szCs w:val="2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3,570</w:t>
            </w:r>
          </w:p>
        </w:tc>
        <w:tc>
          <w:tcPr>
            <w:tcW w:w="22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17,031</w:t>
            </w: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800" w:type="dxa"/>
            <w:vAlign w:val="bottom"/>
          </w:tcPr>
          <w:p>
            <w:pPr>
              <w:spacing w:after="0"/>
              <w:rPr>
                <w:sz w:val="14"/>
                <w:szCs w:val="14"/>
                <w:color w:val="auto"/>
              </w:rPr>
            </w:pPr>
          </w:p>
        </w:tc>
        <w:tc>
          <w:tcPr>
            <w:tcW w:w="10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10,764</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7,127</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5,120</w:t>
            </w:r>
          </w:p>
        </w:tc>
        <w:tc>
          <w:tcPr>
            <w:tcW w:w="2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3,708</w:t>
            </w:r>
          </w:p>
        </w:tc>
        <w:tc>
          <w:tcPr>
            <w:tcW w:w="2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17,091</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19,420</w:t>
            </w:r>
          </w:p>
        </w:tc>
        <w:tc>
          <w:tcPr>
            <w:tcW w:w="14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13,669</w:t>
            </w:r>
          </w:p>
        </w:tc>
        <w:tc>
          <w:tcPr>
            <w:tcW w:w="22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9,919</w:t>
            </w:r>
          </w:p>
        </w:tc>
        <w:tc>
          <w:tcPr>
            <w:tcW w:w="220" w:type="dxa"/>
            <w:vAlign w:val="bottom"/>
          </w:tcPr>
          <w:p>
            <w:pPr>
              <w:spacing w:after="0"/>
              <w:rPr>
                <w:sz w:val="24"/>
                <w:szCs w:val="2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7,278</w:t>
            </w:r>
          </w:p>
        </w:tc>
        <w:tc>
          <w:tcPr>
            <w:tcW w:w="22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34,122</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OPERATING LOSS</w:t>
            </w:r>
          </w:p>
        </w:tc>
        <w:tc>
          <w:tcPr>
            <w:tcW w:w="800" w:type="dxa"/>
            <w:vAlign w:val="bottom"/>
          </w:tcPr>
          <w:p>
            <w:pPr>
              <w:spacing w:after="0"/>
              <w:rPr>
                <w:sz w:val="14"/>
                <w:szCs w:val="14"/>
                <w:color w:val="auto"/>
              </w:rPr>
            </w:pPr>
          </w:p>
        </w:tc>
        <w:tc>
          <w:tcPr>
            <w:tcW w:w="10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(31,217)</w:t>
            </w:r>
          </w:p>
        </w:tc>
        <w:tc>
          <w:tcPr>
            <w:tcW w:w="14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(22,505)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(16,374)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(11,140)</w:t>
            </w:r>
          </w:p>
        </w:tc>
        <w:tc>
          <w:tcPr>
            <w:tcW w:w="2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(49,343)</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8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(800)</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(515)</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w:t>
            </w:r>
          </w:p>
        </w:tc>
        <w:tc>
          <w:tcPr>
            <w:tcW w:w="22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(2,104)</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CAPITAL GAIN FROM SALE OF EQUIPMENT</w:t>
            </w:r>
          </w:p>
        </w:tc>
        <w:tc>
          <w:tcPr>
            <w:tcW w:w="8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66</w:t>
            </w:r>
          </w:p>
        </w:tc>
        <w:tc>
          <w:tcPr>
            <w:tcW w:w="14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w:t>
            </w:r>
          </w:p>
        </w:tc>
        <w:tc>
          <w:tcPr>
            <w:tcW w:w="220" w:type="dxa"/>
            <w:vAlign w:val="bottom"/>
          </w:tcPr>
          <w:p>
            <w:pPr>
              <w:spacing w:after="0"/>
              <w:rPr>
                <w:sz w:val="24"/>
                <w:szCs w:val="24"/>
                <w:color w:val="auto"/>
              </w:rPr>
            </w:pP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420" w:type="dxa"/>
            <w:vAlign w:val="bottom"/>
          </w:tcPr>
          <w:p>
            <w:pPr>
              <w:ind w:left="1140"/>
              <w:spacing w:after="0"/>
              <w:rPr>
                <w:sz w:val="20"/>
                <w:szCs w:val="20"/>
                <w:color w:val="auto"/>
              </w:rPr>
            </w:pPr>
            <w:r>
              <w:rPr>
                <w:rFonts w:ascii="Courier New" w:cs="Courier New" w:eastAsia="Courier New" w:hAnsi="Courier New"/>
                <w:sz w:val="15"/>
                <w:szCs w:val="15"/>
                <w:color w:val="auto"/>
              </w:rPr>
              <w:t>LOSS FOR THE PERIOD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5"/>
                <w:szCs w:val="15"/>
                <w:color w:val="auto"/>
              </w:rPr>
              <w:t>(31,180)</w:t>
            </w:r>
          </w:p>
        </w:tc>
        <w:tc>
          <w:tcPr>
            <w:tcW w:w="1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(51,402)</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4420" w:type="dxa"/>
            <w:vAlign w:val="bottom"/>
          </w:tcPr>
          <w:p>
            <w:pPr>
              <w:ind w:left="620"/>
              <w:spacing w:after="0"/>
              <w:rPr>
                <w:sz w:val="20"/>
                <w:szCs w:val="20"/>
                <w:color w:val="auto"/>
              </w:rPr>
            </w:pPr>
            <w:r>
              <w:rPr>
                <w:rFonts w:ascii="Courier New" w:cs="Courier New" w:eastAsia="Courier New" w:hAnsi="Courier New"/>
                <w:sz w:val="15"/>
                <w:szCs w:val="15"/>
                <w:color w:val="auto"/>
              </w:rPr>
              <w:t>(**) Loss per share (1.63)</w:t>
            </w:r>
          </w:p>
        </w:tc>
        <w:tc>
          <w:tcPr>
            <w:tcW w:w="8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5"/>
                <w:szCs w:val="15"/>
                <w:color w:val="auto"/>
              </w:rPr>
              <w:t>(0.70)</w:t>
            </w:r>
          </w:p>
        </w:tc>
        <w:tc>
          <w:tcPr>
            <w:tcW w:w="140" w:type="dxa"/>
            <w:vAlign w:val="bottom"/>
          </w:tcPr>
          <w:p>
            <w:pPr>
              <w:spacing w:after="0"/>
              <w:rPr>
                <w:sz w:val="24"/>
                <w:szCs w:val="2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(0.86)</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(0.37)</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(0.39)</w:t>
            </w:r>
          </w:p>
        </w:tc>
        <w:tc>
          <w:tcPr>
            <w:tcW w:w="22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Weighted average number of ordinary</w:t>
            </w: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800" w:type="dxa"/>
            <w:vAlign w:val="bottom"/>
          </w:tcPr>
          <w:p>
            <w:pPr>
              <w:spacing w:after="0"/>
              <w:rPr>
                <w:sz w:val="14"/>
                <w:szCs w:val="14"/>
                <w:color w:val="auto"/>
              </w:rPr>
            </w:pPr>
          </w:p>
        </w:tc>
        <w:tc>
          <w:tcPr>
            <w:tcW w:w="100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44,481</w:t>
            </w:r>
          </w:p>
        </w:tc>
        <w:tc>
          <w:tcPr>
            <w:tcW w:w="1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27,070</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45,515</w:t>
            </w:r>
          </w:p>
        </w:tc>
        <w:tc>
          <w:tcPr>
            <w:tcW w:w="22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28,828</w:t>
            </w:r>
          </w:p>
        </w:tc>
        <w:tc>
          <w:tcPr>
            <w:tcW w:w="2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31,523</w:t>
            </w:r>
          </w:p>
        </w:tc>
      </w:tr>
      <w:tr>
        <w:trPr>
          <w:trHeight w:val="168"/>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loss per share in accordance with U.S. GAAP would be</w:t>
      </w:r>
    </w:p>
    <w:p>
      <w:pPr>
        <w:spacing w:after="0" w:line="4" w:lineRule="exact"/>
        <w:rPr>
          <w:rFonts w:ascii="Courier New" w:cs="Courier New" w:eastAsia="Courier New" w:hAnsi="Courier New"/>
          <w:sz w:val="15"/>
          <w:szCs w:val="15"/>
          <w:color w:val="auto"/>
        </w:rPr>
      </w:pPr>
    </w:p>
    <w:p>
      <w:pPr>
        <w:ind w:left="440" w:right="430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$0.70 and $0.37 for the six and three months ended June 30, 2003 [$0.86 and $0.39 in the six and three months ended June 30, 2002, respectively and $1.63 for the year ended December 31, 2002].</w:t>
      </w:r>
    </w:p>
    <w:p>
      <w:pPr>
        <w:sectPr>
          <w:pgSz w:w="11900" w:h="16838" w:orient="portrait"/>
          <w:cols w:equalWidth="0" w:num="1">
            <w:col w:w="11300"/>
          </w:cols>
          <w:pgMar w:left="220" w:top="617" w:right="379" w:bottom="1440" w:gutter="0" w:footer="0" w:header="0"/>
        </w:sectPr>
      </w:pPr>
    </w:p>
    <w:bookmarkStart w:id="7" w:name="page8"/>
    <w:bookmarkEnd w:id="7"/>
    <w:p>
      <w:pPr>
        <w:spacing w:after="0" w:line="25"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4"/>
          <w:szCs w:val="14"/>
          <w:color w:val="auto"/>
        </w:rPr>
        <w:t>TOWER SEMICONDUCTOR LTD. AND SUBSIDIARY</w:t>
      </w:r>
    </w:p>
    <w:p>
      <w:pPr>
        <w:spacing w:after="0" w:line="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UNAUDITED CONDENSED INTERIM</w:t>
      </w:r>
    </w:p>
    <w:p>
      <w:pPr>
        <w:jc w:val="center"/>
        <w:ind w:right="435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jc w:val="center"/>
        <w:ind w:right="4359"/>
        <w:spacing w:after="0" w:line="238" w:lineRule="auto"/>
        <w:rPr>
          <w:sz w:val="20"/>
          <w:szCs w:val="20"/>
          <w:color w:val="auto"/>
        </w:rPr>
      </w:pPr>
      <w:r>
        <w:rPr>
          <w:rFonts w:ascii="Courier New" w:cs="Courier New" w:eastAsia="Courier New" w:hAnsi="Courier New"/>
          <w:sz w:val="15"/>
          <w:szCs w:val="15"/>
          <w:color w:val="auto"/>
        </w:rPr>
        <w:t>AS OF JUNE 30, 2003</w:t>
      </w:r>
    </w:p>
    <w:p>
      <w:pPr>
        <w:sectPr>
          <w:pgSz w:w="11900" w:h="16838" w:orient="portrait"/>
          <w:cols w:equalWidth="0" w:num="1">
            <w:col w:w="9019"/>
          </w:cols>
          <w:pgMar w:left="1440" w:top="1440" w:right="1440" w:bottom="1440" w:gutter="0" w:footer="0" w:header="0"/>
        </w:sectPr>
      </w:pPr>
    </w:p>
    <w:bookmarkStart w:id="8" w:name="page9"/>
    <w:bookmarkEnd w:id="8"/>
    <w:p>
      <w:pPr>
        <w:spacing w:after="0" w:line="18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6"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INDEX TO UNAUDITED CONDENSED INTERIM</w:t>
      </w:r>
    </w:p>
    <w:p>
      <w:pPr>
        <w:jc w:val="center"/>
        <w:ind w:right="435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jc w:val="center"/>
        <w:ind w:right="4359"/>
        <w:spacing w:after="0" w:line="238" w:lineRule="auto"/>
        <w:rPr>
          <w:sz w:val="20"/>
          <w:szCs w:val="20"/>
          <w:color w:val="auto"/>
        </w:rPr>
      </w:pPr>
      <w:r>
        <w:rPr>
          <w:rFonts w:ascii="Courier New" w:cs="Courier New" w:eastAsia="Courier New" w:hAnsi="Courier New"/>
          <w:sz w:val="15"/>
          <w:szCs w:val="15"/>
          <w:color w:val="auto"/>
        </w:rPr>
        <w:t>AS OF JUNE 30,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4540" w:type="dxa"/>
            <w:vAlign w:val="bottom"/>
          </w:tcPr>
          <w:p>
            <w:pPr>
              <w:spacing w:after="0"/>
              <w:rPr>
                <w:sz w:val="20"/>
                <w:szCs w:val="20"/>
                <w:color w:val="auto"/>
              </w:rPr>
            </w:pPr>
            <w:r>
              <w:rPr>
                <w:rFonts w:ascii="Courier New" w:cs="Courier New" w:eastAsia="Courier New" w:hAnsi="Courier New"/>
                <w:sz w:val="15"/>
                <w:szCs w:val="15"/>
                <w:color w:val="auto"/>
              </w:rPr>
              <w:t>ACCOUNTANTS' REVIEW REPORT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336"/>
        </w:trPr>
        <w:tc>
          <w:tcPr>
            <w:tcW w:w="454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r>
        <w:trPr>
          <w:trHeight w:val="336"/>
        </w:trPr>
        <w:tc>
          <w:tcPr>
            <w:tcW w:w="454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336"/>
        </w:trPr>
        <w:tc>
          <w:tcPr>
            <w:tcW w:w="4540" w:type="dxa"/>
            <w:vAlign w:val="bottom"/>
          </w:tcPr>
          <w:p>
            <w:pPr>
              <w:spacing w:after="0"/>
              <w:rPr>
                <w:sz w:val="20"/>
                <w:szCs w:val="20"/>
                <w:color w:val="auto"/>
              </w:rPr>
            </w:pPr>
            <w:r>
              <w:rPr>
                <w:rFonts w:ascii="Courier New" w:cs="Courier New" w:eastAsia="Courier New" w:hAnsi="Courier New"/>
                <w:sz w:val="15"/>
                <w:szCs w:val="15"/>
                <w:color w:val="auto"/>
              </w:rPr>
              <w:t>STATEMENT OF CHANGES IN SHAREHOLDERS' EQUITY</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454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336"/>
        </w:trPr>
        <w:tc>
          <w:tcPr>
            <w:tcW w:w="454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6-16</w:t>
            </w:r>
          </w:p>
        </w:tc>
      </w:tr>
    </w:tbl>
    <w:p>
      <w:pPr>
        <w:sectPr>
          <w:pgSz w:w="11900" w:h="16838" w:orient="portrait"/>
          <w:cols w:equalWidth="0" w:num="1">
            <w:col w:w="9019"/>
          </w:cols>
          <w:pgMar w:left="1440" w:top="1440" w:right="1440" w:bottom="1440" w:gutter="0" w:footer="0" w:header="0"/>
        </w:sectPr>
      </w:pPr>
    </w:p>
    <w:bookmarkStart w:id="9" w:name="page10"/>
    <w:bookmarkEnd w:id="9"/>
    <w:p>
      <w:pPr>
        <w:ind w:left="180"/>
        <w:spacing w:after="0"/>
        <w:rPr>
          <w:sz w:val="20"/>
          <w:szCs w:val="20"/>
          <w:color w:val="auto"/>
        </w:rPr>
      </w:pPr>
      <w:r>
        <w:rPr>
          <w:rFonts w:ascii="Courier New" w:cs="Courier New" w:eastAsia="Courier New" w:hAnsi="Courier New"/>
          <w:sz w:val="15"/>
          <w:szCs w:val="15"/>
          <w:color w:val="auto"/>
        </w:rPr>
        <w:t>The Board of Directors</w:t>
      </w:r>
    </w:p>
    <w:p>
      <w:pPr>
        <w:ind w:left="180"/>
        <w:spacing w:after="0" w:line="237" w:lineRule="auto"/>
        <w:rPr>
          <w:sz w:val="20"/>
          <w:szCs w:val="20"/>
          <w:color w:val="auto"/>
        </w:rPr>
      </w:pPr>
      <w:r>
        <w:rPr>
          <w:rFonts w:ascii="Courier New" w:cs="Courier New" w:eastAsia="Courier New" w:hAnsi="Courier New"/>
          <w:sz w:val="15"/>
          <w:szCs w:val="15"/>
          <w:color w:val="auto"/>
        </w:rPr>
        <w:t>Tower Semiconductor Ltd.</w:t>
      </w:r>
    </w:p>
    <w:p>
      <w:pPr>
        <w:ind w:left="180"/>
        <w:spacing w:after="0" w:line="238" w:lineRule="auto"/>
        <w:rPr>
          <w:sz w:val="20"/>
          <w:szCs w:val="20"/>
          <w:color w:val="auto"/>
        </w:rPr>
      </w:pPr>
      <w:r>
        <w:rPr>
          <w:rFonts w:ascii="Courier New" w:cs="Courier New" w:eastAsia="Courier New" w:hAnsi="Courier New"/>
          <w:sz w:val="15"/>
          <w:szCs w:val="15"/>
          <w:color w:val="auto"/>
        </w:rPr>
        <w:t>Migdal Ha'emek</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Gentlemen:</w:t>
      </w:r>
    </w:p>
    <w:p>
      <w:pPr>
        <w:ind w:left="1680"/>
        <w:spacing w:after="0" w:line="237" w:lineRule="auto"/>
        <w:tabs>
          <w:tab w:leader="none" w:pos="2180" w:val="left"/>
        </w:tabs>
        <w:rPr>
          <w:sz w:val="20"/>
          <w:szCs w:val="20"/>
          <w:color w:val="auto"/>
        </w:rPr>
      </w:pPr>
      <w:r>
        <w:rPr>
          <w:rFonts w:ascii="Courier New" w:cs="Courier New" w:eastAsia="Courier New" w:hAnsi="Courier New"/>
          <w:sz w:val="15"/>
          <w:szCs w:val="15"/>
          <w:color w:val="auto"/>
        </w:rPr>
        <w:t>Re:</w:t>
        <w:tab/>
        <w:t>REVIEW OF UNAUDITED CONDENSED INTERIM</w:t>
      </w:r>
    </w:p>
    <w:p>
      <w:pPr>
        <w:ind w:left="2200"/>
        <w:spacing w:after="0" w:line="238" w:lineRule="auto"/>
        <w:rPr>
          <w:sz w:val="20"/>
          <w:szCs w:val="20"/>
          <w:color w:val="auto"/>
        </w:rPr>
      </w:pPr>
      <w:r>
        <w:rPr>
          <w:rFonts w:ascii="Courier New" w:cs="Courier New" w:eastAsia="Courier New" w:hAnsi="Courier New"/>
          <w:sz w:val="15"/>
          <w:szCs w:val="15"/>
          <w:color w:val="auto"/>
        </w:rPr>
        <w:t>CONSOLIDATED FINANCIAL STATEMENTS AS OF JUNE 30, 2003</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At your request, we have reviewed the condensed interim consolidated financial statements ("interim financial statements") of Tower Semiconductor Ltd. ("the Company") and its subsidiary, as follows:</w:t>
      </w:r>
    </w:p>
    <w:p>
      <w:pPr>
        <w:spacing w:after="0" w:line="167"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Balance sheet as of June 30, 2003.</w:t>
      </w:r>
    </w:p>
    <w:p>
      <w:pPr>
        <w:spacing w:after="0" w:line="172" w:lineRule="exact"/>
        <w:rPr>
          <w:rFonts w:ascii="Courier New" w:cs="Courier New" w:eastAsia="Courier New" w:hAnsi="Courier New"/>
          <w:sz w:val="15"/>
          <w:szCs w:val="15"/>
          <w:color w:val="auto"/>
        </w:rPr>
      </w:pPr>
    </w:p>
    <w:p>
      <w:pPr>
        <w:ind w:left="440" w:right="3059" w:hanging="430"/>
        <w:spacing w:after="0" w:line="234" w:lineRule="auto"/>
        <w:tabs>
          <w:tab w:leader="none" w:pos="1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for the six months and three months ended June 30, 2003.</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1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changes in shareholders' equity for the six months and three months ended June 30, 2003.</w:t>
      </w:r>
    </w:p>
    <w:p>
      <w:pPr>
        <w:spacing w:after="0" w:line="173" w:lineRule="exact"/>
        <w:rPr>
          <w:rFonts w:ascii="Courier New" w:cs="Courier New" w:eastAsia="Courier New" w:hAnsi="Courier New"/>
          <w:sz w:val="15"/>
          <w:szCs w:val="15"/>
          <w:color w:val="auto"/>
        </w:rPr>
      </w:pPr>
    </w:p>
    <w:p>
      <w:pPr>
        <w:ind w:left="440" w:right="3139" w:hanging="430"/>
        <w:spacing w:after="0" w:line="234" w:lineRule="auto"/>
        <w:tabs>
          <w:tab w:leader="none" w:pos="1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for the six months and three months ended June 30, 2003.</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review was conducted in accordance with procedures prescribed by the Institute of Certified Public Accountants in Israel. The procedures included, inter alia, reading the aforementioned interim financial statements, reading the minutes of the shareholders' meetings and meetings of the board of directors and its committees, and making inquiries with the persons responsible for financial and accounting affairs.</w:t>
      </w:r>
    </w:p>
    <w:p>
      <w:pPr>
        <w:spacing w:after="0" w:line="17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Since the review that was performed is limited in scope and does not constitute an audit in accordance with generally accepted auditing standards, we do not express an opinion on the aforementioned interim financial statements.</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performing our review, nothing came to our attention which indicates that material adjustments are required to the interim financial statements for them to be deemed financial statements prepared in conformity with accounting principles generally accepted in Israel.</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 and for the periods presented is summarized in Note 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Respectfully submitted,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238" w:lineRule="auto"/>
        <w:rPr>
          <w:sz w:val="20"/>
          <w:szCs w:val="20"/>
          <w:color w:val="auto"/>
        </w:rPr>
      </w:pPr>
      <w:r>
        <w:rPr>
          <w:rFonts w:ascii="Courier New" w:cs="Courier New" w:eastAsia="Courier New" w:hAnsi="Courier New"/>
          <w:sz w:val="15"/>
          <w:szCs w:val="15"/>
          <w:color w:val="auto"/>
        </w:rPr>
        <w:t>A member of Deloitte Touche Tohmatsu</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37" w:lineRule="auto"/>
        <w:rPr>
          <w:sz w:val="20"/>
          <w:szCs w:val="20"/>
          <w:color w:val="auto"/>
        </w:rPr>
      </w:pPr>
      <w:r>
        <w:rPr>
          <w:rFonts w:ascii="Courier New" w:cs="Courier New" w:eastAsia="Courier New" w:hAnsi="Courier New"/>
          <w:sz w:val="15"/>
          <w:szCs w:val="15"/>
          <w:color w:val="auto"/>
        </w:rPr>
        <w:t>August 8, 2003</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39"/>
          </w:cols>
          <w:pgMar w:left="220" w:top="1122" w:right="1440" w:bottom="1440" w:gutter="0" w:footer="0" w:header="0"/>
        </w:sectPr>
      </w:pPr>
    </w:p>
    <w:bookmarkStart w:id="10" w:name="page11"/>
    <w:bookmarkEnd w:id="10"/>
    <w:p>
      <w:pPr>
        <w:jc w:val="center"/>
        <w:ind w:right="428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280"/>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666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jc w:val="right"/>
              <w:ind w:right="1067"/>
              <w:spacing w:after="0"/>
              <w:rPr>
                <w:sz w:val="20"/>
                <w:szCs w:val="20"/>
                <w:color w:val="auto"/>
              </w:rPr>
            </w:pPr>
            <w:r>
              <w:rPr>
                <w:rFonts w:ascii="Courier New" w:cs="Courier New" w:eastAsia="Courier New" w:hAnsi="Courier New"/>
                <w:sz w:val="15"/>
                <w:szCs w:val="15"/>
                <w:color w:val="auto"/>
              </w:rPr>
              <w:t>AS OF JUNE 30,</w:t>
            </w:r>
          </w:p>
        </w:tc>
        <w:tc>
          <w:tcPr>
            <w:tcW w:w="4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6660" w:type="dxa"/>
            <w:vAlign w:val="bottom"/>
          </w:tcPr>
          <w:p>
            <w:pPr>
              <w:spacing w:after="0"/>
              <w:rPr>
                <w:sz w:val="14"/>
                <w:szCs w:val="14"/>
                <w:color w:val="auto"/>
              </w:rPr>
            </w:pPr>
          </w:p>
        </w:tc>
        <w:tc>
          <w:tcPr>
            <w:tcW w:w="1400" w:type="dxa"/>
            <w:vAlign w:val="bottom"/>
            <w:gridSpan w:val="2"/>
          </w:tcPr>
          <w:p>
            <w:pPr>
              <w:jc w:val="center"/>
              <w:ind w:left="10"/>
              <w:spacing w:after="0"/>
              <w:rPr>
                <w:sz w:val="20"/>
                <w:szCs w:val="20"/>
                <w:color w:val="auto"/>
              </w:rPr>
            </w:pPr>
            <w:r>
              <w:rPr>
                <w:rFonts w:ascii="Courier New" w:cs="Courier New" w:eastAsia="Courier New" w:hAnsi="Courier New"/>
                <w:sz w:val="10"/>
                <w:szCs w:val="10"/>
                <w:color w:val="auto"/>
                <w:w w:val="70"/>
              </w:rPr>
              <w:t>-------------------------------</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gridSpan w:val="2"/>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660" w:type="dxa"/>
            <w:vAlign w:val="bottom"/>
          </w:tcPr>
          <w:p>
            <w:pPr>
              <w:spacing w:after="0"/>
              <w:rPr>
                <w:sz w:val="14"/>
                <w:szCs w:val="14"/>
                <w:color w:val="auto"/>
              </w:rPr>
            </w:pPr>
          </w:p>
        </w:tc>
        <w:tc>
          <w:tcPr>
            <w:tcW w:w="1400" w:type="dxa"/>
            <w:vAlign w:val="bottom"/>
            <w:gridSpan w:val="2"/>
          </w:tcPr>
          <w:p>
            <w:pPr>
              <w:jc w:val="center"/>
              <w:ind w:left="10"/>
              <w:spacing w:after="0" w:line="168" w:lineRule="exact"/>
              <w:rPr>
                <w:sz w:val="20"/>
                <w:szCs w:val="20"/>
                <w:color w:val="auto"/>
              </w:rPr>
            </w:pPr>
            <w:r>
              <w:rPr>
                <w:rFonts w:ascii="Courier New" w:cs="Courier New" w:eastAsia="Courier New" w:hAnsi="Courier New"/>
                <w:sz w:val="15"/>
                <w:szCs w:val="15"/>
                <w:color w:val="auto"/>
                <w:w w:val="97"/>
              </w:rPr>
              <w:t>---------------</w:t>
            </w:r>
          </w:p>
        </w:tc>
        <w:tc>
          <w:tcPr>
            <w:tcW w:w="1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3"/>
          </w:tcPr>
          <w:p>
            <w:pPr>
              <w:jc w:val="right"/>
              <w:ind w:right="1227"/>
              <w:spacing w:after="0" w:line="168" w:lineRule="exact"/>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660" w:type="dxa"/>
            <w:vAlign w:val="bottom"/>
          </w:tcPr>
          <w:p>
            <w:pPr>
              <w:spacing w:after="0"/>
              <w:rPr>
                <w:sz w:val="14"/>
                <w:szCs w:val="14"/>
                <w:color w:val="auto"/>
              </w:rPr>
            </w:pPr>
          </w:p>
        </w:tc>
        <w:tc>
          <w:tcPr>
            <w:tcW w:w="31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12,277</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8,885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7,857</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7,000</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10,500</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short-term interest-bearing deposits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6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2,021</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26,700</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51,338</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 (net of allowance for</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6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doubtful accounts of $71, $215 and $155, respectively)</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5,441</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5,313</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7,456</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20,717</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26,441</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21,322</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13,275</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9,530</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10,201</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2,455</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2,465</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1,407</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61,186</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86,334</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110,081</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LONG-TERM INVESTMENTS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6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12,437</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11,606</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11,893</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6,000</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18,437</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17,606</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17,893</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574,196</w:t>
            </w:r>
          </w:p>
        </w:tc>
        <w:tc>
          <w:tcPr>
            <w:tcW w:w="30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406,881</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493,074</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107,823</w:t>
            </w:r>
          </w:p>
        </w:tc>
        <w:tc>
          <w:tcPr>
            <w:tcW w:w="30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76,719</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95,213</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1060"/>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761,642</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587,540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716,261</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debt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79,810</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56,127</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76,083</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9,322</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7,572</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8,071</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93,132</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67,699</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88,154</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308,000</w:t>
            </w:r>
          </w:p>
        </w:tc>
        <w:tc>
          <w:tcPr>
            <w:tcW w:w="30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195,000</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253,000</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2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26,549</w:t>
            </w:r>
          </w:p>
        </w:tc>
        <w:tc>
          <w:tcPr>
            <w:tcW w:w="30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23,448</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24,121</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LONG-TERM LIABILITY IN RESPECT</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47,246</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32,578</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47,246</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2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6,011</w:t>
            </w:r>
          </w:p>
        </w:tc>
        <w:tc>
          <w:tcPr>
            <w:tcW w:w="300" w:type="dxa"/>
            <w:vAlign w:val="bottom"/>
          </w:tcPr>
          <w:p>
            <w:pPr>
              <w:spacing w:after="0"/>
              <w:rPr>
                <w:sz w:val="24"/>
                <w:szCs w:val="2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7,242</w:t>
            </w:r>
          </w:p>
        </w:tc>
        <w:tc>
          <w:tcPr>
            <w:tcW w:w="44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5,406</w:t>
            </w:r>
          </w:p>
        </w:tc>
      </w:tr>
      <w:tr>
        <w:trPr>
          <w:trHeight w:val="336"/>
        </w:trPr>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24"/>
                <w:szCs w:val="24"/>
                <w:color w:val="auto"/>
              </w:rPr>
            </w:pP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24"/>
                <w:szCs w:val="24"/>
                <w:color w:val="auto"/>
              </w:rPr>
            </w:pP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480,938</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325,967</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417,927</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360"/>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Ordinary shares, NIS 1 par value - authorized 100,000,000 shares;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6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8"/>
              </w:rPr>
              <w:t>issued 49,241,064, 31,511,228 and 44,735,532 shares, respectively</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12,291</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8,537</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11,294</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413,334</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338,753</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400,808</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Shareholder receivables and unearned compensation</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w:t>
            </w:r>
          </w:p>
        </w:tc>
        <w:tc>
          <w:tcPr>
            <w:tcW w:w="4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(135,823)</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(76,546)</w:t>
            </w:r>
          </w:p>
        </w:tc>
        <w:tc>
          <w:tcPr>
            <w:tcW w:w="4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(104,643)</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289,776</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270,645</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307,406</w:t>
            </w:r>
          </w:p>
        </w:tc>
      </w:tr>
      <w:tr>
        <w:trPr>
          <w:trHeight w:val="168"/>
        </w:trPr>
        <w:tc>
          <w:tcPr>
            <w:tcW w:w="6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(9,072)</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(9,072)</w:t>
            </w:r>
          </w:p>
        </w:tc>
        <w:tc>
          <w:tcPr>
            <w:tcW w:w="4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66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280,704</w:t>
            </w:r>
          </w:p>
        </w:tc>
        <w:tc>
          <w:tcPr>
            <w:tcW w:w="3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261,573</w:t>
            </w:r>
          </w:p>
        </w:tc>
        <w:tc>
          <w:tcPr>
            <w:tcW w:w="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298,334</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6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761,642</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587,540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716,261</w:t>
            </w: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440" w:type="dxa"/>
            <w:vAlign w:val="bottom"/>
          </w:tcPr>
          <w:p>
            <w:pPr>
              <w:spacing w:after="0"/>
              <w:rPr>
                <w:sz w:val="14"/>
                <w:szCs w:val="14"/>
                <w:color w:val="auto"/>
              </w:rPr>
            </w:pP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1380"/>
          </w:cols>
          <w:pgMar w:left="220" w:top="617" w:right="299" w:bottom="853" w:gutter="0" w:footer="0" w:header="0"/>
        </w:sectPr>
      </w:pPr>
    </w:p>
    <w:bookmarkStart w:id="11" w:name="page12"/>
    <w:bookmarkEnd w:id="11"/>
    <w:p>
      <w:pPr>
        <w:jc w:val="center"/>
        <w:ind w:right="420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200"/>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tbl>
      <w:tblPr>
        <w:tblLayout w:type="fixed"/>
        <w:tblInd w:w="0" w:type="dxa"/>
        <w:tblCellMar>
          <w:top w:w="0" w:type="dxa"/>
          <w:left w:w="0" w:type="dxa"/>
          <w:bottom w:w="0" w:type="dxa"/>
          <w:right w:w="0" w:type="dxa"/>
        </w:tblCellMar>
      </w:tblPr>
      <w:tr>
        <w:trPr>
          <w:trHeight w:val="169"/>
        </w:trPr>
        <w:tc>
          <w:tcPr>
            <w:tcW w:w="7100" w:type="dxa"/>
            <w:vAlign w:val="bottom"/>
            <w:gridSpan w:val="5"/>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841"/>
        </w:trPr>
        <w:tc>
          <w:tcPr>
            <w:tcW w:w="4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4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SIX MONTHS ENDED</w:t>
            </w:r>
          </w:p>
        </w:tc>
        <w:tc>
          <w:tcPr>
            <w:tcW w:w="380" w:type="dxa"/>
            <w:vAlign w:val="bottom"/>
          </w:tcPr>
          <w:p>
            <w:pPr>
              <w:spacing w:after="0"/>
              <w:rPr>
                <w:sz w:val="24"/>
                <w:szCs w:val="24"/>
                <w:color w:val="auto"/>
              </w:rPr>
            </w:pPr>
          </w:p>
        </w:tc>
        <w:tc>
          <w:tcPr>
            <w:tcW w:w="22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THREE MONTHS ENDED</w:t>
            </w:r>
          </w:p>
        </w:tc>
        <w:tc>
          <w:tcPr>
            <w:tcW w:w="34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40" w:type="dxa"/>
            <w:vAlign w:val="bottom"/>
            <w:gridSpan w:val="3"/>
          </w:tcPr>
          <w:p>
            <w:pPr>
              <w:jc w:val="right"/>
              <w:ind w:right="807"/>
              <w:spacing w:after="0" w:line="168" w:lineRule="exact"/>
              <w:rPr>
                <w:sz w:val="20"/>
                <w:szCs w:val="20"/>
                <w:color w:val="auto"/>
              </w:rPr>
            </w:pPr>
            <w:r>
              <w:rPr>
                <w:rFonts w:ascii="Courier New" w:cs="Courier New" w:eastAsia="Courier New" w:hAnsi="Courier New"/>
                <w:sz w:val="15"/>
                <w:szCs w:val="15"/>
                <w:color w:val="auto"/>
              </w:rPr>
              <w:t>JUNE 30,</w:t>
            </w:r>
          </w:p>
        </w:tc>
        <w:tc>
          <w:tcPr>
            <w:tcW w:w="380" w:type="dxa"/>
            <w:vAlign w:val="bottom"/>
          </w:tcPr>
          <w:p>
            <w:pPr>
              <w:spacing w:after="0"/>
              <w:rPr>
                <w:sz w:val="14"/>
                <w:szCs w:val="14"/>
                <w:color w:val="auto"/>
              </w:rPr>
            </w:pPr>
          </w:p>
        </w:tc>
        <w:tc>
          <w:tcPr>
            <w:tcW w:w="22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JUNE 30,</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380" w:type="dxa"/>
            <w:vAlign w:val="bottom"/>
          </w:tcPr>
          <w:p>
            <w:pPr>
              <w:spacing w:after="0"/>
              <w:rPr>
                <w:sz w:val="14"/>
                <w:szCs w:val="14"/>
                <w:color w:val="auto"/>
              </w:rPr>
            </w:pPr>
          </w:p>
        </w:tc>
        <w:tc>
          <w:tcPr>
            <w:tcW w:w="220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14"/>
                <w:szCs w:val="14"/>
                <w:color w:val="auto"/>
              </w:rPr>
            </w:pP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4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40" w:type="dxa"/>
            <w:vAlign w:val="bottom"/>
            <w:gridSpan w:val="3"/>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380" w:type="dxa"/>
            <w:vAlign w:val="bottom"/>
          </w:tcPr>
          <w:p>
            <w:pPr>
              <w:spacing w:after="0"/>
              <w:rPr>
                <w:sz w:val="14"/>
                <w:szCs w:val="14"/>
                <w:color w:val="auto"/>
              </w:rPr>
            </w:pPr>
          </w:p>
        </w:tc>
        <w:tc>
          <w:tcPr>
            <w:tcW w:w="220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(unaudited)</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380" w:type="dxa"/>
            <w:vAlign w:val="bottom"/>
          </w:tcPr>
          <w:p>
            <w:pPr>
              <w:spacing w:after="0"/>
              <w:rPr>
                <w:sz w:val="14"/>
                <w:szCs w:val="14"/>
                <w:color w:val="auto"/>
              </w:rPr>
            </w:pPr>
          </w:p>
        </w:tc>
        <w:tc>
          <w:tcPr>
            <w:tcW w:w="220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505"/>
        </w:trPr>
        <w:tc>
          <w:tcPr>
            <w:tcW w:w="41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25,471</w:t>
            </w:r>
          </w:p>
        </w:tc>
        <w:tc>
          <w:tcPr>
            <w:tcW w:w="1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12,879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11,622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51,801</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70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37,268</w:t>
            </w:r>
          </w:p>
        </w:tc>
        <w:tc>
          <w:tcPr>
            <w:tcW w:w="18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28,878</w:t>
            </w:r>
          </w:p>
        </w:tc>
        <w:tc>
          <w:tcPr>
            <w:tcW w:w="38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19,334</w:t>
            </w:r>
          </w:p>
        </w:tc>
        <w:tc>
          <w:tcPr>
            <w:tcW w:w="260" w:type="dxa"/>
            <w:vAlign w:val="bottom"/>
          </w:tcPr>
          <w:p>
            <w:pPr>
              <w:spacing w:after="0"/>
              <w:rPr>
                <w:sz w:val="24"/>
                <w:szCs w:val="2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15,484</w:t>
            </w:r>
          </w:p>
        </w:tc>
        <w:tc>
          <w:tcPr>
            <w:tcW w:w="34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67,022</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GROSS LOSS</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(11,797)</w:t>
            </w:r>
          </w:p>
        </w:tc>
        <w:tc>
          <w:tcPr>
            <w:tcW w:w="1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(8,836)</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(6,455)</w:t>
            </w:r>
          </w:p>
        </w:tc>
        <w:tc>
          <w:tcPr>
            <w:tcW w:w="26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(3,862)</w:t>
            </w:r>
          </w:p>
        </w:tc>
        <w:tc>
          <w:tcPr>
            <w:tcW w:w="34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(15,221)</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Research and development</w:t>
            </w:r>
          </w:p>
        </w:tc>
        <w:tc>
          <w:tcPr>
            <w:tcW w:w="70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8,656</w:t>
            </w:r>
          </w:p>
        </w:tc>
        <w:tc>
          <w:tcPr>
            <w:tcW w:w="18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6,542</w:t>
            </w:r>
          </w:p>
        </w:tc>
        <w:tc>
          <w:tcPr>
            <w:tcW w:w="38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4,799</w:t>
            </w:r>
          </w:p>
        </w:tc>
        <w:tc>
          <w:tcPr>
            <w:tcW w:w="260" w:type="dxa"/>
            <w:vAlign w:val="bottom"/>
          </w:tcPr>
          <w:p>
            <w:pPr>
              <w:spacing w:after="0"/>
              <w:rPr>
                <w:sz w:val="24"/>
                <w:szCs w:val="2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3,570</w:t>
            </w:r>
          </w:p>
        </w:tc>
        <w:tc>
          <w:tcPr>
            <w:tcW w:w="34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17,031</w:t>
            </w:r>
          </w:p>
        </w:tc>
      </w:tr>
      <w:tr>
        <w:trPr>
          <w:trHeight w:val="168"/>
        </w:trPr>
        <w:tc>
          <w:tcPr>
            <w:tcW w:w="4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7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10,764</w:t>
            </w:r>
          </w:p>
        </w:tc>
        <w:tc>
          <w:tcPr>
            <w:tcW w:w="1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7,127</w:t>
            </w:r>
          </w:p>
        </w:tc>
        <w:tc>
          <w:tcPr>
            <w:tcW w:w="38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5,120</w:t>
            </w:r>
          </w:p>
        </w:tc>
        <w:tc>
          <w:tcPr>
            <w:tcW w:w="2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3,708</w:t>
            </w:r>
          </w:p>
        </w:tc>
        <w:tc>
          <w:tcPr>
            <w:tcW w:w="3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17,091</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19,420</w:t>
            </w:r>
          </w:p>
        </w:tc>
        <w:tc>
          <w:tcPr>
            <w:tcW w:w="18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13,669</w:t>
            </w:r>
          </w:p>
        </w:tc>
        <w:tc>
          <w:tcPr>
            <w:tcW w:w="38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9,919</w:t>
            </w:r>
          </w:p>
        </w:tc>
        <w:tc>
          <w:tcPr>
            <w:tcW w:w="260" w:type="dxa"/>
            <w:vAlign w:val="bottom"/>
          </w:tcPr>
          <w:p>
            <w:pPr>
              <w:spacing w:after="0"/>
              <w:rPr>
                <w:sz w:val="24"/>
                <w:szCs w:val="2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7,278</w:t>
            </w:r>
          </w:p>
        </w:tc>
        <w:tc>
          <w:tcPr>
            <w:tcW w:w="34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34,122</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160" w:type="dxa"/>
            <w:vAlign w:val="bottom"/>
          </w:tcPr>
          <w:p>
            <w:pPr>
              <w:ind w:left="540"/>
              <w:spacing w:after="0"/>
              <w:rPr>
                <w:sz w:val="20"/>
                <w:szCs w:val="20"/>
                <w:color w:val="auto"/>
              </w:rPr>
            </w:pPr>
            <w:r>
              <w:rPr>
                <w:rFonts w:ascii="Courier New" w:cs="Courier New" w:eastAsia="Courier New" w:hAnsi="Courier New"/>
                <w:sz w:val="15"/>
                <w:szCs w:val="15"/>
                <w:color w:val="auto"/>
              </w:rPr>
              <w:t>OPERATING LOSS</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(31,217)</w:t>
            </w:r>
          </w:p>
        </w:tc>
        <w:tc>
          <w:tcPr>
            <w:tcW w:w="1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(22,505)</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(16,374)</w:t>
            </w:r>
          </w:p>
        </w:tc>
        <w:tc>
          <w:tcPr>
            <w:tcW w:w="26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(11,140)</w:t>
            </w:r>
          </w:p>
        </w:tc>
        <w:tc>
          <w:tcPr>
            <w:tcW w:w="34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(49,343)</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(515)</w:t>
            </w:r>
          </w:p>
        </w:tc>
        <w:tc>
          <w:tcPr>
            <w:tcW w:w="26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w:t>
            </w:r>
          </w:p>
        </w:tc>
        <w:tc>
          <w:tcPr>
            <w:tcW w:w="34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(2,104)</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CAPITAL GAIN FROM SALE OF EQUIPMENT</w:t>
            </w:r>
          </w:p>
        </w:tc>
        <w:tc>
          <w:tcPr>
            <w:tcW w:w="70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w:t>
            </w:r>
          </w:p>
        </w:tc>
        <w:tc>
          <w:tcPr>
            <w:tcW w:w="18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24"/>
                <w:szCs w:val="24"/>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160" w:type="dxa"/>
            <w:vAlign w:val="bottom"/>
          </w:tcPr>
          <w:p>
            <w:pPr>
              <w:ind w:left="880"/>
              <w:spacing w:after="0"/>
              <w:rPr>
                <w:sz w:val="20"/>
                <w:szCs w:val="20"/>
                <w:color w:val="auto"/>
              </w:rPr>
            </w:pPr>
            <w:r>
              <w:rPr>
                <w:rFonts w:ascii="Courier New" w:cs="Courier New" w:eastAsia="Courier New" w:hAnsi="Courier New"/>
                <w:sz w:val="15"/>
                <w:szCs w:val="15"/>
                <w:color w:val="auto"/>
              </w:rPr>
              <w:t>LOSS FOR THE PERIOD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(31,180)</w:t>
            </w:r>
          </w:p>
        </w:tc>
        <w:tc>
          <w:tcPr>
            <w:tcW w:w="1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(23,305)</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(16,830)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(11,291)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(51,402)</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8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6"/>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Loss per share</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(0.70)</w:t>
            </w:r>
          </w:p>
        </w:tc>
        <w:tc>
          <w:tcPr>
            <w:tcW w:w="1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(0.86)</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(0.37)</w:t>
            </w:r>
          </w:p>
        </w:tc>
        <w:tc>
          <w:tcPr>
            <w:tcW w:w="26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(0.39)</w:t>
            </w:r>
          </w:p>
        </w:tc>
        <w:tc>
          <w:tcPr>
            <w:tcW w:w="34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Loss used to compute</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1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(31,180)</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(23,305)</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(16,830)</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(11,291)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(51,402)</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ordinary</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7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44,481</w:t>
            </w:r>
          </w:p>
        </w:tc>
        <w:tc>
          <w:tcPr>
            <w:tcW w:w="1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27,070</w:t>
            </w:r>
          </w:p>
        </w:tc>
        <w:tc>
          <w:tcPr>
            <w:tcW w:w="38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45,515</w:t>
            </w:r>
          </w:p>
        </w:tc>
        <w:tc>
          <w:tcPr>
            <w:tcW w:w="26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28,828</w:t>
            </w:r>
          </w:p>
        </w:tc>
        <w:tc>
          <w:tcPr>
            <w:tcW w:w="3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31,523</w:t>
            </w:r>
          </w:p>
        </w:tc>
      </w:tr>
      <w:tr>
        <w:trPr>
          <w:trHeight w:val="168"/>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1300"/>
          </w:cols>
          <w:pgMar w:left="220" w:top="617" w:right="379" w:bottom="1440" w:gutter="0" w:footer="0" w:header="0"/>
        </w:sectPr>
      </w:pPr>
    </w:p>
    <w:bookmarkStart w:id="12" w:name="page13"/>
    <w:bookmarkEnd w:id="12"/>
    <w:p>
      <w:pPr>
        <w:jc w:val="center"/>
        <w:ind w:right="4520"/>
        <w:spacing w:after="0"/>
        <w:rPr>
          <w:sz w:val="20"/>
          <w:szCs w:val="20"/>
          <w:color w:val="auto"/>
        </w:rPr>
      </w:pPr>
      <w:r>
        <w:rPr>
          <w:rFonts w:ascii="Courier New" w:cs="Courier New" w:eastAsia="Courier New" w:hAnsi="Courier New"/>
          <w:sz w:val="15"/>
          <w:szCs w:val="15"/>
          <w:color w:val="auto"/>
        </w:rPr>
        <w:t>TOWER SEMICONDUCTOR LTD.</w:t>
      </w:r>
    </w:p>
    <w:p>
      <w:pPr>
        <w:jc w:val="center"/>
        <w:ind w:right="4520"/>
        <w:spacing w:after="0" w:line="237" w:lineRule="auto"/>
        <w:rPr>
          <w:sz w:val="20"/>
          <w:szCs w:val="20"/>
          <w:color w:val="auto"/>
        </w:rPr>
      </w:pPr>
      <w:r>
        <w:rPr>
          <w:rFonts w:ascii="Courier New" w:cs="Courier New" w:eastAsia="Courier New" w:hAnsi="Courier New"/>
          <w:sz w:val="15"/>
          <w:szCs w:val="15"/>
          <w:color w:val="auto"/>
        </w:rPr>
        <w:t>STATEMENT OF CHANGES IN SHAREHOLDERS' EQUITY</w:t>
      </w:r>
    </w:p>
    <w:p>
      <w:pPr>
        <w:jc w:val="center"/>
        <w:ind w:right="452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SHAREHOLDER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RECEIVABLES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ORDINARY SHARES</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ADDITIONAL</w:t>
            </w:r>
          </w:p>
        </w:tc>
        <w:tc>
          <w:tcPr>
            <w:tcW w:w="1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PAID-IN</w:t>
            </w:r>
          </w:p>
        </w:tc>
        <w:tc>
          <w:tcPr>
            <w:tcW w:w="1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UNEARNED</w:t>
            </w:r>
          </w:p>
        </w:tc>
        <w:tc>
          <w:tcPr>
            <w:tcW w:w="12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ACCUMULATED</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TREASURY</w:t>
            </w:r>
          </w:p>
        </w:tc>
        <w:tc>
          <w:tcPr>
            <w:tcW w:w="86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COMPENSATION</w:t>
            </w:r>
          </w:p>
        </w:tc>
        <w:tc>
          <w:tcPr>
            <w:tcW w:w="12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DEFICIT</w:t>
            </w:r>
          </w:p>
        </w:tc>
        <w:tc>
          <w:tcPr>
            <w:tcW w:w="1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STOCK</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21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 JANUARY 1, 2003</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44,735,532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11,294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400,808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(104,643)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$298,334</w:t>
            </w: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Changes during six months period(unaudited):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 Fab 2</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constructor</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costs</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4,505,532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997</w:t>
            </w:r>
          </w:p>
        </w:tc>
        <w:tc>
          <w:tcPr>
            <w:tcW w:w="18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12,381</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13,378</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Amortization</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unearned compensation</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Loss for the</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(31,180)</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(31,180)</w:t>
            </w: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2003</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49,241,064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12,291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413,334</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(135,823)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$280,704</w:t>
            </w: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 JANUARY 1, 2002</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26,297,102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307,865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(53,241)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$252,805</w:t>
            </w: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Changes during six months period(unaudited):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5,214,126</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1,089</w:t>
            </w:r>
          </w:p>
        </w:tc>
        <w:tc>
          <w:tcPr>
            <w:tcW w:w="18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30,888</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31,977</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Amortization</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unearned compensation</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Loss for the</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(23,305)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(23,305)</w:t>
            </w: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31,511,228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8,537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338,753</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(76,546)</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$261,573</w:t>
            </w: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 APRIL 1, 2003</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44,735,532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11,294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400,887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(118,993)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$284,082</w:t>
            </w: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7"/>
              </w:rPr>
              <w:t>Changes during three months period(unaudited):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4,505,532</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997</w:t>
            </w:r>
          </w:p>
        </w:tc>
        <w:tc>
          <w:tcPr>
            <w:tcW w:w="18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12,447</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13,444</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Amortization</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unearned compensation</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Loss for the</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(16,830)</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(16,830)</w:t>
            </w: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2003</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49,241,064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12,291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413,334</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(135,823)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$280,704</w:t>
            </w: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 APRIL 1, 2002</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26,630,047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309,746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(65,255)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$242,796</w:t>
            </w: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w w:val="97"/>
              </w:rPr>
              <w:t>Changes during three months period(unaudited):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4,881,181</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1,017</w:t>
            </w:r>
          </w:p>
        </w:tc>
        <w:tc>
          <w:tcPr>
            <w:tcW w:w="18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29,007</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30,024</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Amortization</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unearned compensation</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Loss for the</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(11,291)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(11,291)</w:t>
            </w: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JUNE 30, 2002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31,511,228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8,537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338,753</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(76,546)</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$261,573</w:t>
            </w: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 JANUARY 1, 2002</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26,297,102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307,865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(53,241)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(9,072)</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$252,805</w:t>
            </w: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Changes during 2002:</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0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18,438,430</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3,846</w:t>
            </w:r>
          </w:p>
        </w:tc>
        <w:tc>
          <w:tcPr>
            <w:tcW w:w="18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92,943</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96,789</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Amortization</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unearned compensation</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Loss for the</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(51,402)</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(51,402)</w:t>
            </w: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DECEMBER 31, 2002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44,735,532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11,294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400,808</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(104,643)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$298,334</w:t>
            </w:r>
          </w:p>
        </w:tc>
      </w:tr>
      <w:tr>
        <w:trPr>
          <w:trHeight w:val="168"/>
        </w:trPr>
        <w:tc>
          <w:tcPr>
            <w:tcW w:w="1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1540"/>
          </w:cols>
          <w:pgMar w:left="220" w:top="617" w:right="139" w:bottom="1440" w:gutter="0" w:footer="0" w:header="0"/>
        </w:sectPr>
      </w:pPr>
    </w:p>
    <w:bookmarkStart w:id="13" w:name="page14"/>
    <w:bookmarkEnd w:id="13"/>
    <w:p>
      <w:pPr>
        <w:jc w:val="center"/>
        <w:ind w:right="436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360"/>
        <w:spacing w:after="0" w:line="237" w:lineRule="auto"/>
        <w:rPr>
          <w:sz w:val="20"/>
          <w:szCs w:val="20"/>
          <w:color w:val="auto"/>
        </w:rPr>
      </w:pPr>
      <w:r>
        <w:rPr>
          <w:rFonts w:ascii="Courier New" w:cs="Courier New" w:eastAsia="Courier New" w:hAnsi="Courier New"/>
          <w:sz w:val="15"/>
          <w:szCs w:val="15"/>
          <w:color w:val="auto"/>
        </w:rPr>
        <w:t>CONDENSED CONSOLIDATED STATEMENTS OF CASH FLOWS</w:t>
      </w:r>
    </w:p>
    <w:tbl>
      <w:tblPr>
        <w:tblLayout w:type="fixed"/>
        <w:tblInd w:w="0" w:type="dxa"/>
        <w:tblCellMar>
          <w:top w:w="0" w:type="dxa"/>
          <w:left w:w="0" w:type="dxa"/>
          <w:bottom w:w="0" w:type="dxa"/>
          <w:right w:w="0" w:type="dxa"/>
        </w:tblCellMar>
      </w:tblPr>
      <w:tr>
        <w:trPr>
          <w:trHeight w:val="169"/>
        </w:trPr>
        <w:tc>
          <w:tcPr>
            <w:tcW w:w="6440" w:type="dxa"/>
            <w:vAlign w:val="bottom"/>
            <w:gridSpan w:val="3"/>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SIX MONTHS ENDED</w:t>
            </w:r>
          </w:p>
        </w:tc>
        <w:tc>
          <w:tcPr>
            <w:tcW w:w="260" w:type="dxa"/>
            <w:vAlign w:val="bottom"/>
          </w:tcPr>
          <w:p>
            <w:pPr>
              <w:spacing w:after="0"/>
              <w:rPr>
                <w:sz w:val="24"/>
                <w:szCs w:val="24"/>
                <w:color w:val="auto"/>
              </w:rPr>
            </w:pPr>
          </w:p>
        </w:tc>
        <w:tc>
          <w:tcPr>
            <w:tcW w:w="22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JUNE 30,</w:t>
            </w:r>
          </w:p>
        </w:tc>
        <w:tc>
          <w:tcPr>
            <w:tcW w:w="260" w:type="dxa"/>
            <w:vAlign w:val="bottom"/>
          </w:tcPr>
          <w:p>
            <w:pPr>
              <w:spacing w:after="0"/>
              <w:rPr>
                <w:sz w:val="14"/>
                <w:szCs w:val="14"/>
                <w:color w:val="auto"/>
              </w:rPr>
            </w:pPr>
          </w:p>
        </w:tc>
        <w:tc>
          <w:tcPr>
            <w:tcW w:w="222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rPr>
              <w:t>JUNE 30,</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22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4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3"/>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260" w:type="dxa"/>
            <w:vAlign w:val="bottom"/>
          </w:tcPr>
          <w:p>
            <w:pPr>
              <w:spacing w:after="0"/>
              <w:rPr>
                <w:sz w:val="14"/>
                <w:szCs w:val="14"/>
                <w:color w:val="auto"/>
              </w:rPr>
            </w:pPr>
          </w:p>
        </w:tc>
        <w:tc>
          <w:tcPr>
            <w:tcW w:w="222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22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5380" w:type="dxa"/>
            <w:vAlign w:val="bottom"/>
          </w:tcPr>
          <w:p>
            <w:pPr>
              <w:ind w:left="280"/>
              <w:spacing w:after="0"/>
              <w:rPr>
                <w:sz w:val="20"/>
                <w:szCs w:val="20"/>
                <w:color w:val="auto"/>
              </w:rPr>
            </w:pPr>
            <w:r>
              <w:rPr>
                <w:rFonts w:ascii="Courier New" w:cs="Courier New" w:eastAsia="Courier New" w:hAnsi="Courier New"/>
                <w:sz w:val="15"/>
                <w:szCs w:val="15"/>
                <w:color w:val="auto"/>
              </w:rPr>
              <w:t>Loss for the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(31,180)</w:t>
            </w:r>
          </w:p>
        </w:tc>
        <w:tc>
          <w:tcPr>
            <w:tcW w:w="1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(23,305)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(16,830)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(11,291)</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(51,402)</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loss for the period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to net cash provided by (used in) operating activities: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8,878</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9,860</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4,207</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5,150</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18,821</w:t>
            </w:r>
          </w:p>
        </w:tc>
      </w:tr>
      <w:tr>
        <w:trPr>
          <w:trHeight w:val="168"/>
        </w:trPr>
        <w:tc>
          <w:tcPr>
            <w:tcW w:w="5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Gain from sale of equipment</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5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Decrease (Increase) in trade accounts receivable</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2,015</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1,259</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(1,199)</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(4,135)</w:t>
            </w:r>
          </w:p>
        </w:tc>
      </w:tr>
      <w:tr>
        <w:trPr>
          <w:trHeight w:val="168"/>
        </w:trPr>
        <w:tc>
          <w:tcPr>
            <w:tcW w:w="5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Decrease (Increase) in other receivables and other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(649)</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(1,377)</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1,898</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(2,072)</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(1,305)</w:t>
            </w:r>
          </w:p>
        </w:tc>
      </w:tr>
      <w:tr>
        <w:trPr>
          <w:trHeight w:val="168"/>
        </w:trPr>
        <w:tc>
          <w:tcPr>
            <w:tcW w:w="5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(577)</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(609)</w:t>
            </w:r>
          </w:p>
        </w:tc>
      </w:tr>
      <w:tr>
        <w:trPr>
          <w:trHeight w:val="168"/>
        </w:trPr>
        <w:tc>
          <w:tcPr>
            <w:tcW w:w="5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trade accounts payable</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3,864</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1,132</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455</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1,345</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4,686</w:t>
            </w:r>
          </w:p>
        </w:tc>
      </w:tr>
      <w:tr>
        <w:trPr>
          <w:trHeight w:val="168"/>
        </w:trPr>
        <w:tc>
          <w:tcPr>
            <w:tcW w:w="5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other current liabilities</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1,225</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392</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1,733</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297</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2,764</w:t>
            </w:r>
          </w:p>
        </w:tc>
      </w:tr>
      <w:tr>
        <w:trPr>
          <w:trHeight w:val="168"/>
        </w:trPr>
        <w:tc>
          <w:tcPr>
            <w:tcW w:w="5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other long-term liabilities</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605</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1,055</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262</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148</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2,822</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(15,422)</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(14,312)</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(7,145)</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(8,199)</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(28,403)</w:t>
            </w:r>
          </w:p>
        </w:tc>
      </w:tr>
      <w:tr>
        <w:trPr>
          <w:trHeight w:val="168"/>
        </w:trPr>
        <w:tc>
          <w:tcPr>
            <w:tcW w:w="5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long-term liability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 respect of customers' advances</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14,668</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14,668</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29,336</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7"/>
              </w:rPr>
              <w:t>Net cash provided by (used in) operating activities</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(15,422)</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(7,145)</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6,469</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933</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5380" w:type="dxa"/>
            <w:vAlign w:val="bottom"/>
          </w:tcPr>
          <w:p>
            <w:pPr>
              <w:ind w:left="280"/>
              <w:spacing w:after="0"/>
              <w:rPr>
                <w:sz w:val="20"/>
                <w:szCs w:val="20"/>
                <w:color w:val="auto"/>
              </w:rPr>
            </w:pPr>
            <w:r>
              <w:rPr>
                <w:rFonts w:ascii="Courier New" w:cs="Courier New" w:eastAsia="Courier New" w:hAnsi="Courier New"/>
                <w:sz w:val="15"/>
                <w:szCs w:val="15"/>
                <w:color w:val="auto"/>
              </w:rPr>
              <w:t>Decrease (increase) in cash and short-term and long-term</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interest-bearing deposits designated for investments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relating to FAB 2</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48,773</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(34,758)</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19,522</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(6,935)</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(59,683)</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(103,664)</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(103,425)</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(55,631)</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(47,999)</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(205,099)</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17,356</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18,724</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10,636</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8,551</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40,481</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(16,497)</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(18,121)</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(10,737)</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(12,102)</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(34,290)</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(Increase) in deposits, net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5,500</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3,044</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4,000</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3,011</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(48,468)</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(134,536)</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(32,153)</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(55,474)</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(258,977)</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5380" w:type="dxa"/>
            <w:vAlign w:val="bottom"/>
          </w:tcPr>
          <w:p>
            <w:pPr>
              <w:ind w:left="280"/>
              <w:spacing w:after="0"/>
              <w:rPr>
                <w:sz w:val="20"/>
                <w:szCs w:val="20"/>
                <w:color w:val="auto"/>
              </w:rPr>
            </w:pPr>
            <w:r>
              <w:rPr>
                <w:rFonts w:ascii="Courier New" w:cs="Courier New" w:eastAsia="Courier New" w:hAnsi="Courier New"/>
                <w:sz w:val="15"/>
                <w:szCs w:val="15"/>
                <w:color w:val="auto"/>
              </w:rPr>
              <w:t>Proceeds from issuance of shares, net of related costs</w:t>
            </w:r>
          </w:p>
        </w:tc>
        <w:tc>
          <w:tcPr>
            <w:tcW w:w="18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13,310</w:t>
            </w:r>
          </w:p>
        </w:tc>
        <w:tc>
          <w:tcPr>
            <w:tcW w:w="18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31,915</w:t>
            </w:r>
          </w:p>
        </w:tc>
        <w:tc>
          <w:tcPr>
            <w:tcW w:w="2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13,425</w:t>
            </w:r>
          </w:p>
        </w:tc>
        <w:tc>
          <w:tcPr>
            <w:tcW w:w="180" w:type="dxa"/>
            <w:vAlign w:val="bottom"/>
          </w:tcPr>
          <w:p>
            <w:pPr>
              <w:spacing w:after="0"/>
              <w:rPr>
                <w:sz w:val="24"/>
                <w:szCs w:val="24"/>
                <w:color w:val="auto"/>
              </w:rPr>
            </w:pP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29,987</w:t>
            </w:r>
          </w:p>
        </w:tc>
        <w:tc>
          <w:tcPr>
            <w:tcW w:w="36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96,751</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 short-term debt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 long-term debt</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in long-term debt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57,000</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82,000</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27,000</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22,000</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142,000</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(cost related to) sale of securities, net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21,540</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21,540</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68,310</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123,455</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39,425</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40,873</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246,291</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380" w:type="dxa"/>
            <w:vAlign w:val="bottom"/>
          </w:tcPr>
          <w:p>
            <w:pPr>
              <w:ind w:left="62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18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4,420</w:t>
            </w:r>
          </w:p>
        </w:tc>
        <w:tc>
          <w:tcPr>
            <w:tcW w:w="18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(10,725)</w:t>
            </w:r>
          </w:p>
        </w:tc>
        <w:tc>
          <w:tcPr>
            <w:tcW w:w="2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w:t>
            </w:r>
          </w:p>
        </w:tc>
        <w:tc>
          <w:tcPr>
            <w:tcW w:w="180" w:type="dxa"/>
            <w:vAlign w:val="bottom"/>
          </w:tcPr>
          <w:p>
            <w:pPr>
              <w:spacing w:after="0"/>
              <w:rPr>
                <w:sz w:val="24"/>
                <w:szCs w:val="24"/>
                <w:color w:val="auto"/>
              </w:rPr>
            </w:pP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(8,132)</w:t>
            </w:r>
          </w:p>
        </w:tc>
        <w:tc>
          <w:tcPr>
            <w:tcW w:w="36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(11,753)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PERIOD</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7,857</w:t>
            </w:r>
          </w:p>
        </w:tc>
        <w:tc>
          <w:tcPr>
            <w:tcW w:w="1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19,610</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12,150</w:t>
            </w:r>
          </w:p>
        </w:tc>
        <w:tc>
          <w:tcPr>
            <w:tcW w:w="18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17,017</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19,610</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38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 -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12,277</w:t>
            </w:r>
          </w:p>
        </w:tc>
        <w:tc>
          <w:tcPr>
            <w:tcW w:w="1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8,885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12,277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8,885</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7,857</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5380" w:type="dxa"/>
            <w:vAlign w:val="bottom"/>
          </w:tcPr>
          <w:p>
            <w:pPr>
              <w:ind w:left="280"/>
              <w:spacing w:after="0"/>
              <w:rPr>
                <w:sz w:val="20"/>
                <w:szCs w:val="20"/>
                <w:color w:val="auto"/>
              </w:rPr>
            </w:pPr>
            <w:r>
              <w:rPr>
                <w:rFonts w:ascii="Courier New" w:cs="Courier New" w:eastAsia="Courier New" w:hAnsi="Courier New"/>
                <w:sz w:val="15"/>
                <w:szCs w:val="15"/>
                <w:color w:val="auto"/>
              </w:rPr>
              <w:t>Investments in property and equipment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39,774</w:t>
            </w:r>
          </w:p>
        </w:tc>
        <w:tc>
          <w:tcPr>
            <w:tcW w:w="1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36,414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30,468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30,733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49,419</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7,374</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2,528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2,886</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4,304</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538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period for 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7,879</w:t>
            </w:r>
          </w:p>
        </w:tc>
        <w:tc>
          <w:tcPr>
            <w:tcW w:w="1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2,644</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11,594</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period for income taxes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w:t>
            </w:r>
          </w:p>
        </w:tc>
        <w:tc>
          <w:tcPr>
            <w:tcW w:w="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1460"/>
          </w:cols>
          <w:pgMar w:left="220" w:top="617" w:right="219" w:bottom="853" w:gutter="0" w:footer="0" w:header="0"/>
        </w:sectPr>
      </w:pPr>
    </w:p>
    <w:bookmarkStart w:id="14" w:name="page15"/>
    <w:bookmarkEnd w:id="1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2003</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PRESENTATION</w:t>
      </w:r>
    </w:p>
    <w:p>
      <w:pPr>
        <w:spacing w:after="0" w:line="173" w:lineRule="exact"/>
        <w:rPr>
          <w:sz w:val="20"/>
          <w:szCs w:val="20"/>
          <w:color w:val="auto"/>
        </w:rPr>
      </w:pPr>
    </w:p>
    <w:p>
      <w:pPr>
        <w:ind w:left="1580" w:right="3239" w:hanging="783"/>
        <w:spacing w:after="0" w:line="255" w:lineRule="auto"/>
        <w:tabs>
          <w:tab w:leader="none" w:pos="15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condensed interim consolidated financial statements as of June 30, 2003 and for the six months and three months then ended ("interim financial statements") of Tower Semiconductor Ltd. ("the Company") and subsidiary should be read in conjunction with the audited consolidated financial statements of the Company and subsidiary as of December 31, 2002 and for the year then ended, including the notes thereto. In the opinion of management, the interim financial statements include all adjustments necessary for a fair presentation of the financial position and results of operations as of the dates and for the interim periods presented. The results of operations for the interim periods are not necessarily indicative of the results to be expected on a full-year basis.</w:t>
      </w:r>
    </w:p>
    <w:p>
      <w:pPr>
        <w:spacing w:after="0" w:line="164" w:lineRule="exact"/>
        <w:rPr>
          <w:rFonts w:ascii="Courier New" w:cs="Courier New" w:eastAsia="Courier New" w:hAnsi="Courier New"/>
          <w:sz w:val="14"/>
          <w:szCs w:val="14"/>
          <w:color w:val="auto"/>
        </w:rPr>
      </w:pPr>
    </w:p>
    <w:p>
      <w:pPr>
        <w:ind w:left="1580" w:right="3319" w:hanging="783"/>
        <w:spacing w:after="0" w:line="236" w:lineRule="auto"/>
        <w:tabs>
          <w:tab w:leader="none" w:pos="15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financial statements have been prepared in conformity with generally accepted accounting principles ("GAAP") in Israel, which, as applicable to these interim financial statements, are identical in all material respects to GAAP in the United States of America ("U.S. GAAP"), except as indicated in Note 5.</w:t>
      </w:r>
    </w:p>
    <w:p>
      <w:pPr>
        <w:spacing w:after="0" w:line="174" w:lineRule="exact"/>
        <w:rPr>
          <w:rFonts w:ascii="Courier New" w:cs="Courier New" w:eastAsia="Courier New" w:hAnsi="Courier New"/>
          <w:sz w:val="15"/>
          <w:szCs w:val="15"/>
          <w:color w:val="auto"/>
        </w:rPr>
      </w:pPr>
    </w:p>
    <w:p>
      <w:pPr>
        <w:ind w:left="15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principles applied in the preparation of these interim financial statements are consistent with those principles applied in the preparation of the most recent annual audited financial statements.</w:t>
      </w:r>
    </w:p>
    <w:p>
      <w:pPr>
        <w:spacing w:after="0" w:line="168"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NEW FABRICATION FACILITY</w:t>
      </w:r>
    </w:p>
    <w:p>
      <w:pPr>
        <w:spacing w:after="0" w:line="172" w:lineRule="exact"/>
        <w:rPr>
          <w:rFonts w:ascii="Courier New" w:cs="Courier New" w:eastAsia="Courier New" w:hAnsi="Courier New"/>
          <w:sz w:val="15"/>
          <w:szCs w:val="15"/>
          <w:color w:val="auto"/>
        </w:rPr>
      </w:pPr>
    </w:p>
    <w:p>
      <w:pPr>
        <w:ind w:left="15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 200 millimeters wafers. The Company entered into several related agreements and arrangements in connection with Fab 2, including agreements and other arrangements with technology and Wafer Partners, equity investors, the Company's Banks, the government of Israel and others to provide an aggregate of $1,146,000 of financing Fab 2.</w:t>
      </w:r>
    </w:p>
    <w:p>
      <w:pPr>
        <w:spacing w:after="0" w:line="200" w:lineRule="exact"/>
        <w:rPr>
          <w:rFonts w:ascii="Courier New" w:cs="Courier New" w:eastAsia="Courier New" w:hAnsi="Courier New"/>
          <w:sz w:val="15"/>
          <w:szCs w:val="15"/>
          <w:color w:val="auto"/>
        </w:rPr>
      </w:pPr>
    </w:p>
    <w:p>
      <w:pPr>
        <w:spacing w:after="0" w:line="29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39"/>
          </w:cols>
          <w:pgMar w:left="220" w:top="785" w:right="1440" w:bottom="1440" w:gutter="0" w:footer="0" w:header="0"/>
        </w:sectPr>
      </w:pPr>
    </w:p>
    <w:bookmarkStart w:id="15" w:name="page16"/>
    <w:bookmarkEnd w:id="1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2003</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PRESENTATION (cont.)</w:t>
      </w:r>
    </w:p>
    <w:p>
      <w:pPr>
        <w:spacing w:after="0" w:line="166" w:lineRule="exact"/>
        <w:rPr>
          <w:sz w:val="20"/>
          <w:szCs w:val="20"/>
          <w:color w:val="auto"/>
        </w:rPr>
      </w:pPr>
    </w:p>
    <w:p>
      <w:pPr>
        <w:ind w:left="1580" w:hanging="783"/>
        <w:spacing w:after="0"/>
        <w:tabs>
          <w:tab w:leader="none" w:pos="15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NEW FABRICATION FACILITY (cont.)</w:t>
      </w:r>
    </w:p>
    <w:p>
      <w:pPr>
        <w:spacing w:after="0" w:line="172" w:lineRule="exact"/>
        <w:rPr>
          <w:rFonts w:ascii="Courier New" w:cs="Courier New" w:eastAsia="Courier New" w:hAnsi="Courier New"/>
          <w:sz w:val="15"/>
          <w:szCs w:val="15"/>
          <w:color w:val="auto"/>
        </w:rPr>
      </w:pPr>
    </w:p>
    <w:p>
      <w:pPr>
        <w:ind w:left="158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Fab 2 project is a complex undertaking, which entails substantial risks and uncertainties. Subsequent to balance-sheet date, the Company and the Banks reached understandings pursuant to which the Facility Agreement and certain of its provisions will be amended to reflect the updated plan for the construction of Fab 2, which was submitted to the Banks in June 2003. The updated plan calls for, among other things, a slower ramp-up for Fab 2 than originally planned and conforms the current fund-raising, production and capacity covenants in the Facility Agreement, including those described in note 3B below, to the revised ramp-up. Though as of the approval date of the interim financial statements a comprehensive contract with respect to these understandings has not been concluded, management estimates that concluding such a contract is probable. Management's estimate is based primarily on the discussions and negotiations with the Banks held prior and subsequent to the balance-sheet date. Completing the aforementioned comprehensive contract with the Banks is material for the continuation of construction and equipping of Fab 2.</w:t>
      </w:r>
    </w:p>
    <w:p>
      <w:pPr>
        <w:spacing w:after="0" w:line="175" w:lineRule="exact"/>
        <w:rPr>
          <w:rFonts w:ascii="Courier New" w:cs="Courier New" w:eastAsia="Courier New" w:hAnsi="Courier New"/>
          <w:sz w:val="15"/>
          <w:szCs w:val="15"/>
          <w:color w:val="auto"/>
        </w:rPr>
      </w:pPr>
    </w:p>
    <w:p>
      <w:pPr>
        <w:ind w:left="15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further details concerning the Fab 2 project and related agreements, risks and uncertainties, see Note 3 below and Note 13A to the 2002 audited consolidated financial statements. For details concerning non-capitalizable expenses and cash flows used in operating activities relating to Fab 2, see Note 3E below.</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MAJOR CUSTOMERS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Sales to major customers as a percentage of total sales were as</w:t>
      </w:r>
    </w:p>
    <w:p>
      <w:pPr>
        <w:spacing w:after="0" w:line="237" w:lineRule="auto"/>
        <w:rPr>
          <w:sz w:val="20"/>
          <w:szCs w:val="20"/>
          <w:color w:val="auto"/>
        </w:rPr>
      </w:pPr>
      <w:r>
        <w:rPr>
          <w:rFonts w:ascii="Courier New" w:cs="Courier New" w:eastAsia="Courier New" w:hAnsi="Courier New"/>
          <w:sz w:val="15"/>
          <w:szCs w:val="15"/>
          <w:color w:val="auto"/>
        </w:rPr>
        <w:t>follows:</w:t>
      </w:r>
    </w:p>
    <w:p>
      <w:pPr>
        <w:spacing w:after="0" w:line="167"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500" w:type="dxa"/>
            <w:vAlign w:val="bottom"/>
            <w:gridSpan w:val="2"/>
          </w:tcPr>
          <w:p>
            <w:pPr>
              <w:jc w:val="center"/>
              <w:ind w:left="1027"/>
              <w:spacing w:after="0"/>
              <w:rPr>
                <w:sz w:val="20"/>
                <w:szCs w:val="20"/>
                <w:color w:val="auto"/>
              </w:rPr>
            </w:pPr>
            <w:r>
              <w:rPr>
                <w:rFonts w:ascii="Courier New" w:cs="Courier New" w:eastAsia="Courier New" w:hAnsi="Courier New"/>
                <w:sz w:val="15"/>
                <w:szCs w:val="15"/>
                <w:color w:val="auto"/>
                <w:w w:val="97"/>
              </w:rPr>
              <w:t>Six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220" w:type="dxa"/>
            <w:vAlign w:val="bottom"/>
          </w:tcPr>
          <w:p>
            <w:pPr>
              <w:jc w:val="center"/>
              <w:ind w:left="727"/>
              <w:spacing w:after="0" w:line="168" w:lineRule="exact"/>
              <w:rPr>
                <w:sz w:val="20"/>
                <w:szCs w:val="20"/>
                <w:color w:val="auto"/>
              </w:rPr>
            </w:pPr>
            <w:r>
              <w:rPr>
                <w:rFonts w:ascii="Courier New" w:cs="Courier New" w:eastAsia="Courier New" w:hAnsi="Courier New"/>
                <w:sz w:val="15"/>
                <w:szCs w:val="15"/>
                <w:color w:val="auto"/>
                <w:w w:val="94"/>
              </w:rPr>
              <w:t>2003</w:t>
            </w:r>
          </w:p>
        </w:tc>
        <w:tc>
          <w:tcPr>
            <w:tcW w:w="128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2002</w:t>
            </w:r>
          </w:p>
        </w:tc>
        <w:tc>
          <w:tcPr>
            <w:tcW w:w="14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220" w:type="dxa"/>
            <w:vAlign w:val="bottom"/>
          </w:tcPr>
          <w:p>
            <w:pPr>
              <w:jc w:val="center"/>
              <w:ind w:left="72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(unaudited)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1220" w:type="dxa"/>
            <w:vAlign w:val="bottom"/>
          </w:tcPr>
          <w:p>
            <w:pPr>
              <w:jc w:val="center"/>
              <w:ind w:left="727"/>
              <w:spacing w:after="0"/>
              <w:rPr>
                <w:sz w:val="20"/>
                <w:szCs w:val="20"/>
                <w:color w:val="auto"/>
              </w:rPr>
            </w:pPr>
            <w:r>
              <w:rPr>
                <w:rFonts w:ascii="Courier New" w:cs="Courier New" w:eastAsia="Courier New" w:hAnsi="Courier New"/>
                <w:sz w:val="15"/>
                <w:szCs w:val="15"/>
                <w:color w:val="auto"/>
                <w:w w:val="99"/>
              </w:rPr>
              <w:t>25</w:t>
            </w:r>
          </w:p>
        </w:tc>
        <w:tc>
          <w:tcPr>
            <w:tcW w:w="12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center"/>
              <w:spacing w:after="0"/>
              <w:rPr>
                <w:sz w:val="20"/>
                <w:szCs w:val="20"/>
                <w:color w:val="auto"/>
              </w:rPr>
            </w:pPr>
            <w:r>
              <w:rPr>
                <w:rFonts w:ascii="Courier New" w:cs="Courier New" w:eastAsia="Courier New" w:hAnsi="Courier New"/>
                <w:sz w:val="15"/>
                <w:szCs w:val="15"/>
                <w:color w:val="auto"/>
                <w:w w:val="99"/>
              </w:rPr>
              <w:t>36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w:t>
            </w:r>
          </w:p>
        </w:tc>
        <w:tc>
          <w:tcPr>
            <w:tcW w:w="1220" w:type="dxa"/>
            <w:vAlign w:val="bottom"/>
          </w:tcPr>
          <w:p>
            <w:pPr>
              <w:jc w:val="center"/>
              <w:ind w:left="727"/>
              <w:spacing w:after="0" w:line="168" w:lineRule="exact"/>
              <w:rPr>
                <w:sz w:val="20"/>
                <w:szCs w:val="20"/>
                <w:color w:val="auto"/>
              </w:rPr>
            </w:pPr>
            <w:r>
              <w:rPr>
                <w:rFonts w:ascii="Courier New" w:cs="Courier New" w:eastAsia="Courier New" w:hAnsi="Courier New"/>
                <w:sz w:val="15"/>
                <w:szCs w:val="15"/>
                <w:color w:val="auto"/>
                <w:w w:val="99"/>
              </w:rPr>
              <w:t>22</w:t>
            </w:r>
          </w:p>
        </w:tc>
        <w:tc>
          <w:tcPr>
            <w:tcW w:w="128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16</w:t>
            </w:r>
          </w:p>
        </w:tc>
        <w:tc>
          <w:tcPr>
            <w:tcW w:w="14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w:t>
            </w:r>
          </w:p>
        </w:tc>
        <w:tc>
          <w:tcPr>
            <w:tcW w:w="1220" w:type="dxa"/>
            <w:vAlign w:val="bottom"/>
          </w:tcPr>
          <w:p>
            <w:pPr>
              <w:jc w:val="center"/>
              <w:ind w:left="727"/>
              <w:spacing w:after="0" w:line="168" w:lineRule="exact"/>
              <w:rPr>
                <w:sz w:val="20"/>
                <w:szCs w:val="20"/>
                <w:color w:val="auto"/>
              </w:rPr>
            </w:pPr>
            <w:r>
              <w:rPr>
                <w:rFonts w:ascii="Courier New" w:cs="Courier New" w:eastAsia="Courier New" w:hAnsi="Courier New"/>
                <w:sz w:val="15"/>
                <w:szCs w:val="15"/>
                <w:color w:val="auto"/>
                <w:w w:val="99"/>
              </w:rPr>
              <w:t>19</w:t>
            </w:r>
          </w:p>
        </w:tc>
        <w:tc>
          <w:tcPr>
            <w:tcW w:w="1280" w:type="dxa"/>
            <w:vAlign w:val="bottom"/>
          </w:tcPr>
          <w:p>
            <w:pPr>
              <w:spacing w:after="0"/>
              <w:rPr>
                <w:sz w:val="14"/>
                <w:szCs w:val="14"/>
                <w:color w:val="auto"/>
              </w:rPr>
            </w:pP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14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customers (*)</w:t>
            </w:r>
          </w:p>
        </w:tc>
        <w:tc>
          <w:tcPr>
            <w:tcW w:w="1220" w:type="dxa"/>
            <w:vAlign w:val="bottom"/>
          </w:tcPr>
          <w:p>
            <w:pPr>
              <w:jc w:val="center"/>
              <w:ind w:left="727"/>
              <w:spacing w:after="0" w:line="168" w:lineRule="exact"/>
              <w:rPr>
                <w:sz w:val="20"/>
                <w:szCs w:val="20"/>
                <w:color w:val="auto"/>
              </w:rPr>
            </w:pPr>
            <w:r>
              <w:rPr>
                <w:rFonts w:ascii="Courier New" w:cs="Courier New" w:eastAsia="Courier New" w:hAnsi="Courier New"/>
                <w:sz w:val="15"/>
                <w:szCs w:val="15"/>
                <w:color w:val="auto"/>
                <w:w w:val="99"/>
              </w:rPr>
              <w:t>12</w:t>
            </w:r>
          </w:p>
        </w:tc>
        <w:tc>
          <w:tcPr>
            <w:tcW w:w="128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w:t>
            </w:r>
          </w:p>
        </w:tc>
        <w:tc>
          <w:tcPr>
            <w:tcW w:w="140" w:type="dxa"/>
            <w:vAlign w:val="bottom"/>
          </w:tcPr>
          <w:p>
            <w:pPr>
              <w:spacing w:after="0"/>
              <w:rPr>
                <w:sz w:val="14"/>
                <w:szCs w:val="14"/>
                <w:color w:val="auto"/>
              </w:rPr>
            </w:pPr>
          </w:p>
        </w:tc>
      </w:tr>
    </w:tbl>
    <w:p>
      <w:pPr>
        <w:spacing w:after="0" w:line="173" w:lineRule="exact"/>
        <w:rPr>
          <w:sz w:val="20"/>
          <w:szCs w:val="20"/>
          <w:color w:val="auto"/>
        </w:rPr>
      </w:pPr>
    </w:p>
    <w:p>
      <w:pPr>
        <w:jc w:val="both"/>
        <w:ind w:left="2020" w:right="3239" w:hanging="611"/>
        <w:spacing w:after="0" w:line="256" w:lineRule="auto"/>
        <w:tabs>
          <w:tab w:leader="none" w:pos="20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sales to three different customers each of whom accounted for between 2% and 6% of sales during the six months ended June 30, 2003, and to three customers (5%-8%) during the six months ended June 30, 2002.</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39"/>
          </w:cols>
          <w:pgMar w:left="220" w:top="953" w:right="1440" w:bottom="1440" w:gutter="0" w:footer="0" w:header="0"/>
        </w:sectPr>
      </w:pPr>
    </w:p>
    <w:bookmarkStart w:id="16" w:name="page17"/>
    <w:bookmarkEnd w:id="1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2003</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w:t>
      </w:r>
    </w:p>
    <w:p>
      <w:pPr>
        <w:spacing w:after="0" w:line="173" w:lineRule="exact"/>
        <w:rPr>
          <w:sz w:val="20"/>
          <w:szCs w:val="20"/>
          <w:color w:val="auto"/>
        </w:rPr>
      </w:pPr>
    </w:p>
    <w:p>
      <w:pPr>
        <w:ind w:left="1580" w:right="3499" w:hanging="783"/>
        <w:spacing w:after="0" w:line="234" w:lineRule="auto"/>
        <w:tabs>
          <w:tab w:leader="none" w:pos="15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w:t>
      </w:r>
    </w:p>
    <w:p>
      <w:pPr>
        <w:spacing w:after="0" w:line="173" w:lineRule="exact"/>
        <w:rPr>
          <w:rFonts w:ascii="Courier New" w:cs="Courier New" w:eastAsia="Courier New" w:hAnsi="Courier New"/>
          <w:sz w:val="15"/>
          <w:szCs w:val="15"/>
          <w:color w:val="auto"/>
        </w:rPr>
      </w:pPr>
    </w:p>
    <w:p>
      <w:pPr>
        <w:ind w:left="15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2003, the Company's primary Wafer Partners and its Equity Investors entered into amendments to their agreements with the Company, pursuant to which the primary Wafer Partners and the Equity Investors agreed to advance their fifth milestone installment payment, in the aggregate amount of $41,069, regardless of its achievement. The amendments provided that $24,641 of the fifth milestone payment is to be paid following receipt of all required approvals for the amendments as outlined below, and the remaining $16,428 is to be paid no earlier than August 2003 and subject to the Company's obtaining all the approvals as outlined below and raising of an aggregate of approximately $22,000 in additional funding for Fab 2 (which under certain circumstances, may increase up to $26,000) (the "Additional Raising Amount") from specified financial sources, no later than December 31, 2003. Following an addendum to these amendments, their approval in May 2003 by the Company's shareholders and the Banks' agreement to provide the Company with interim funding in the amount of $33,000, out of which a maximum amount of $27,000 may be and was drawn down as loans by the Company as of June 30, 2003, the primary Wafer Partners and Equity Investors invested in May 2003 an aggregate amount of $13,440 towards the aforementioned $24,641 first installment of the fifth milestone.</w:t>
      </w:r>
    </w:p>
    <w:p>
      <w:pPr>
        <w:spacing w:after="0" w:line="177" w:lineRule="exact"/>
        <w:rPr>
          <w:rFonts w:ascii="Courier New" w:cs="Courier New" w:eastAsia="Courier New" w:hAnsi="Courier New"/>
          <w:sz w:val="15"/>
          <w:szCs w:val="15"/>
          <w:color w:val="auto"/>
        </w:rPr>
      </w:pPr>
    </w:p>
    <w:p>
      <w:pPr>
        <w:ind w:left="15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for their investments for the first installment of the fifth milestone in the amount of $13,440, the primary Wafer Partners and the Equity Investors were issued 4,505,532 Ordinary Shares of the Company, based on the average closing sale price of the Company's Ordinary Shares for the 30 trading days prior to the date the Company's Board of Directors approved the amendments ($2.983 per share), and, for the second installment of the fifth milestone, the primary Wafer Partners and the Equity Investors will be issued fully-paid Ordinary Shares of the Company, based on the price at which the Company raises the Additional Raising Amount from specified financial sources.</w:t>
      </w:r>
    </w:p>
    <w:p>
      <w:pPr>
        <w:spacing w:after="0" w:line="173" w:lineRule="exact"/>
        <w:rPr>
          <w:rFonts w:ascii="Courier New" w:cs="Courier New" w:eastAsia="Courier New" w:hAnsi="Courier New"/>
          <w:sz w:val="15"/>
          <w:szCs w:val="15"/>
          <w:color w:val="auto"/>
        </w:rPr>
      </w:pPr>
    </w:p>
    <w:p>
      <w:pPr>
        <w:ind w:left="15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Pursuant to the abovementioned amendments, the Company granted the primary Wafer Partners an option to convert an aggregate of up to $13,201 of the unutilized long-term customers' advances, which they may have as of December 31, 2005, into fully-paid Ordinary Shares of the Company, the amount of which shall be determined based on the average closing sale price of the Company's Ordinary Shares for the 30 trading days prior to such date. The option is exercisable during January 2006. In case such conversion occurs and the amount of shares issued is equivalent to or greater than 5% of the Company's outstanding share capital as of the conversion date, the Company has undertaken to offer to all of its other shareholders rights to purchase shares of the Company at the same price per share.</w:t>
      </w:r>
    </w:p>
    <w:p>
      <w:pPr>
        <w:spacing w:after="0" w:line="200" w:lineRule="exact"/>
        <w:rPr>
          <w:rFonts w:ascii="Courier New" w:cs="Courier New" w:eastAsia="Courier New" w:hAnsi="Courier New"/>
          <w:sz w:val="15"/>
          <w:szCs w:val="15"/>
          <w:color w:val="auto"/>
        </w:rPr>
      </w:pPr>
    </w:p>
    <w:p>
      <w:pPr>
        <w:spacing w:after="0" w:line="29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39"/>
          </w:cols>
          <w:pgMar w:left="220" w:top="953" w:right="1440" w:bottom="1440" w:gutter="0" w:footer="0" w:header="0"/>
        </w:sectPr>
      </w:pPr>
    </w:p>
    <w:bookmarkStart w:id="17" w:name="page18"/>
    <w:bookmarkEnd w:id="1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2003</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 (cont.)</w:t>
      </w:r>
    </w:p>
    <w:p>
      <w:pPr>
        <w:spacing w:after="0" w:line="173" w:lineRule="exact"/>
        <w:rPr>
          <w:sz w:val="20"/>
          <w:szCs w:val="20"/>
          <w:color w:val="auto"/>
        </w:rPr>
      </w:pPr>
    </w:p>
    <w:p>
      <w:pPr>
        <w:ind w:left="1580" w:right="3499" w:hanging="783"/>
        <w:spacing w:after="0" w:line="234" w:lineRule="auto"/>
        <w:tabs>
          <w:tab w:leader="none" w:pos="1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 (cont.)</w:t>
      </w:r>
    </w:p>
    <w:p>
      <w:pPr>
        <w:spacing w:after="0" w:line="173" w:lineRule="exact"/>
        <w:rPr>
          <w:rFonts w:ascii="Courier New" w:cs="Courier New" w:eastAsia="Courier New" w:hAnsi="Courier New"/>
          <w:sz w:val="15"/>
          <w:szCs w:val="15"/>
          <w:color w:val="auto"/>
        </w:rPr>
      </w:pPr>
    </w:p>
    <w:p>
      <w:pPr>
        <w:ind w:left="15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Fab 2 investment agreements, the fifth and last milestone towards the Wafer Partners and Equity Investors was to have been achieved by mid-July 2003, when taking into account a seven and a half month grace period. The fifth milestone was not achieved by such date. As stated above, subject to obtaining all the approvals for the amendments as outlined below, the primary Wafer Partners and Equity Investors agreed to pay the fifth milestone installment payment even if the Company does not achieve the fifth milestone.</w:t>
      </w:r>
    </w:p>
    <w:p>
      <w:pPr>
        <w:spacing w:after="0" w:line="179" w:lineRule="exact"/>
        <w:rPr>
          <w:rFonts w:ascii="Courier New" w:cs="Courier New" w:eastAsia="Courier New" w:hAnsi="Courier New"/>
          <w:sz w:val="15"/>
          <w:szCs w:val="15"/>
          <w:color w:val="auto"/>
        </w:rPr>
      </w:pPr>
    </w:p>
    <w:p>
      <w:pPr>
        <w:ind w:left="1580" w:right="35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part of the amendments described above, and subject to obtaining all the approvals as outlined below, the primary Wafer Partners and Equity Investors agreed to waive the requirement that the Company raise a cumulative total of $50,000 from new wafer partners by March 31, 2003.</w:t>
      </w:r>
    </w:p>
    <w:p>
      <w:pPr>
        <w:spacing w:after="0" w:line="163" w:lineRule="exact"/>
        <w:rPr>
          <w:rFonts w:ascii="Courier New" w:cs="Courier New" w:eastAsia="Courier New" w:hAnsi="Courier New"/>
          <w:sz w:val="15"/>
          <w:szCs w:val="15"/>
          <w:color w:val="auto"/>
        </w:rPr>
      </w:pPr>
    </w:p>
    <w:p>
      <w:pPr>
        <w:ind w:left="15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abovementioned amendments were subject to the approval of the Company's shareholders and to the approvals of certain regulatory bodies, all of which were obtained by June 30, 2003. In addition, the amendments are subject to the conclusion of a final comprehensive contract, including the detailed terms and conditions, with the Banks, as outlined in B below, and to the additional condition that the Investment Center shall not have informed the Company that it is not continuing its funding of the Fab 2 project.</w:t>
      </w:r>
    </w:p>
    <w:p>
      <w:pPr>
        <w:spacing w:after="0" w:line="171"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FAB 2 FACILITY AGREEMENT</w:t>
      </w:r>
    </w:p>
    <w:p>
      <w:pPr>
        <w:spacing w:after="0" w:line="172" w:lineRule="exact"/>
        <w:rPr>
          <w:rFonts w:ascii="Courier New" w:cs="Courier New" w:eastAsia="Courier New" w:hAnsi="Courier New"/>
          <w:sz w:val="15"/>
          <w:szCs w:val="15"/>
          <w:color w:val="auto"/>
        </w:rPr>
      </w:pPr>
    </w:p>
    <w:p>
      <w:pPr>
        <w:ind w:left="15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Subsequent to balance-sheet date, the Company and the Banks reached understandings pursuant to which the Facility Agreement and certain of its provisions will be amended to reflect the updated plan for the construction of Fab 2, which was submitted to the Banks in June 2003. The updated plan calls for, among other things, a slower ramp-up for Fab 2 than originally planned and conforms the current fund-raising, production and capacity covenants in the Facility Agreement, including those described below, to the revised ramp-up.</w:t>
      </w:r>
    </w:p>
    <w:p>
      <w:pPr>
        <w:spacing w:after="0" w:line="165" w:lineRule="exact"/>
        <w:rPr>
          <w:rFonts w:ascii="Courier New" w:cs="Courier New" w:eastAsia="Courier New" w:hAnsi="Courier New"/>
          <w:sz w:val="15"/>
          <w:szCs w:val="15"/>
          <w:color w:val="auto"/>
        </w:rPr>
      </w:pPr>
    </w:p>
    <w:p>
      <w:pPr>
        <w:ind w:left="15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updated plan submitted to the Banks the Company is required to raise at least an additional $90,000 from specified financial sources. As a result, the Company would be committed to raise an aggregate of $150,000 from these sources by December 2005, at milestones to be agreed upon. In addition, the Banks have requested that the Company's primary Wafer Partners and Equity Investors be committed to continue to support the Fab 2 project.</w:t>
      </w:r>
    </w:p>
    <w:p>
      <w:pPr>
        <w:spacing w:after="0" w:line="200" w:lineRule="exact"/>
        <w:rPr>
          <w:rFonts w:ascii="Courier New" w:cs="Courier New" w:eastAsia="Courier New" w:hAnsi="Courier New"/>
          <w:sz w:val="15"/>
          <w:szCs w:val="15"/>
          <w:color w:val="auto"/>
        </w:rPr>
      </w:pPr>
    </w:p>
    <w:p>
      <w:pPr>
        <w:spacing w:after="0" w:line="30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39"/>
          </w:cols>
          <w:pgMar w:left="220" w:top="953" w:right="1440" w:bottom="1440" w:gutter="0" w:footer="0" w:header="0"/>
        </w:sectPr>
      </w:pPr>
    </w:p>
    <w:bookmarkStart w:id="18" w:name="page19"/>
    <w:bookmarkEnd w:id="1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2003</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 (cont.)</w:t>
      </w:r>
    </w:p>
    <w:p>
      <w:pPr>
        <w:spacing w:after="0" w:line="166" w:lineRule="exact"/>
        <w:rPr>
          <w:sz w:val="20"/>
          <w:szCs w:val="20"/>
          <w:color w:val="auto"/>
        </w:rPr>
      </w:pPr>
    </w:p>
    <w:p>
      <w:pPr>
        <w:ind w:left="1580" w:hanging="783"/>
        <w:spacing w:after="0"/>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FAB 2 FACILITY AGREEMENT (cont.)</w:t>
      </w:r>
    </w:p>
    <w:p>
      <w:pPr>
        <w:spacing w:after="0" w:line="172" w:lineRule="exact"/>
        <w:rPr>
          <w:rFonts w:ascii="Courier New" w:cs="Courier New" w:eastAsia="Courier New" w:hAnsi="Courier New"/>
          <w:sz w:val="15"/>
          <w:szCs w:val="15"/>
          <w:color w:val="auto"/>
        </w:rPr>
      </w:pPr>
    </w:p>
    <w:p>
      <w:pPr>
        <w:ind w:left="15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understandings with the Banks are subject to conclusion of a final comprehensive contract, including the detailed terms and conditions of such contract; to the approval of the board of directors of the Company's primary Wafer Partners and Equity Investors; the Company's shareholders meeting; and other regulatory bodies. Management estimates that formalizing the aforementioned understandings with the Banks into a comprehensive contract and obtaining the required approvals are probable. Management's estimate is based primarily on the discussions and negotiations with the Banks, the primary Wafer Partners and Equity Investors held prior and subsequent to the balance-sheet date. Completing the aforementioned comprehensive contract with the Banks is material for the continuation of construction and equipping of Fab 2.</w:t>
      </w:r>
    </w:p>
    <w:p>
      <w:pPr>
        <w:spacing w:after="0" w:line="163" w:lineRule="exact"/>
        <w:rPr>
          <w:rFonts w:ascii="Courier New" w:cs="Courier New" w:eastAsia="Courier New" w:hAnsi="Courier New"/>
          <w:sz w:val="15"/>
          <w:szCs w:val="15"/>
          <w:color w:val="auto"/>
        </w:rPr>
      </w:pPr>
    </w:p>
    <w:p>
      <w:pPr>
        <w:ind w:left="15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current Facility Agreement with the Banks, the Company is obligated to comply with certain financial ratios, primarily total shareholders' equity to total assets, and substantial additional material covenants in connection with the establishment of Fab 2, primarily production and capacity milestones. As of June 30, 2003 and the approval date of the interim financial statements, the Company had not raised $24,000 of its fund raising covenant from specified financial sources. In addition, the Company did not achieve on time the fifth production and capacity milestones towards the Banks, and based on the updated plan for the construction of Fab 2, the Company does not expect to achieve on time the sixth milestone towards the Banks. As discussed in the previous paragraph, these covenants will be conformed to the updated plan for the construction of Fab 2 in connection with the amendments to the Facility Agreement.</w:t>
      </w:r>
    </w:p>
    <w:p>
      <w:pPr>
        <w:spacing w:after="0" w:line="174" w:lineRule="exact"/>
        <w:rPr>
          <w:rFonts w:ascii="Courier New" w:cs="Courier New" w:eastAsia="Courier New" w:hAnsi="Courier New"/>
          <w:sz w:val="15"/>
          <w:szCs w:val="15"/>
          <w:color w:val="auto"/>
        </w:rPr>
      </w:pPr>
    </w:p>
    <w:p>
      <w:pPr>
        <w:ind w:left="15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discussions and negotiation period, the Banks have limited the full amount the Company may draw down pursuant to the Facility Agreement. However, during the six months ended June 30, 2003 the Banks provided the Company with loans in the aggregate amount of $57,000, and additional $6,000 in letters of credit; and subsequent to the balance-sheet date, the Banks provided the Company with an additional $40,000.</w:t>
      </w:r>
    </w:p>
    <w:p>
      <w:pPr>
        <w:spacing w:after="0" w:line="159"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15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Fab 2 approved enterprise program, investments in respect of Fab 2 are to be completed by December 31, 2005, five years from the date the approval certificate was obtained. Due to the later than planned commencement of construction of Fab 2 and prevailing market conditions, the Company does not currently expect to complete Fab 2 investments by the end of 2005. The Company has notified the Investment Center of its revised investment schedule contemplated in the updated plan described in B above, and has also informed the Investment Center of the reduced rate of annual investments and lower than projected expectations for Fab 2 sales.</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39"/>
          </w:cols>
          <w:pgMar w:left="220" w:top="953" w:right="1440" w:bottom="1440" w:gutter="0" w:footer="0" w:header="0"/>
        </w:sectPr>
      </w:pPr>
    </w:p>
    <w:bookmarkStart w:id="19" w:name="page20"/>
    <w:bookmarkEnd w:id="1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2003</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 (cont.)</w:t>
      </w:r>
    </w:p>
    <w:p>
      <w:pPr>
        <w:spacing w:after="0" w:line="166" w:lineRule="exact"/>
        <w:rPr>
          <w:sz w:val="20"/>
          <w:szCs w:val="20"/>
          <w:color w:val="auto"/>
        </w:rPr>
      </w:pPr>
    </w:p>
    <w:p>
      <w:pPr>
        <w:ind w:left="1580" w:hanging="783"/>
        <w:spacing w:after="0"/>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 (cont.)</w:t>
      </w:r>
    </w:p>
    <w:p>
      <w:pPr>
        <w:spacing w:after="0" w:line="172" w:lineRule="exact"/>
        <w:rPr>
          <w:rFonts w:ascii="Courier New" w:cs="Courier New" w:eastAsia="Courier New" w:hAnsi="Courier New"/>
          <w:sz w:val="15"/>
          <w:szCs w:val="15"/>
          <w:color w:val="auto"/>
        </w:rPr>
      </w:pPr>
    </w:p>
    <w:p>
      <w:pPr>
        <w:ind w:left="15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the interim financial statements, the Company's revised investments plan is currently being evaluated by the Investment Center. While Israeli law currently limits the ability of the Investment Center to extend the investment period beyond five years, the Company's management estimates, based on discussions held with the Investment Center, that it is probable that satisfactory arrangements with the Investment Center in this regard will be made.</w:t>
      </w:r>
    </w:p>
    <w:p>
      <w:pPr>
        <w:spacing w:after="0" w:line="171"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w:t>
      </w:r>
    </w:p>
    <w:p>
      <w:pPr>
        <w:spacing w:after="0" w:line="172" w:lineRule="exact"/>
        <w:rPr>
          <w:rFonts w:ascii="Courier New" w:cs="Courier New" w:eastAsia="Courier New" w:hAnsi="Courier New"/>
          <w:sz w:val="15"/>
          <w:szCs w:val="15"/>
          <w:color w:val="auto"/>
        </w:rPr>
      </w:pPr>
    </w:p>
    <w:p>
      <w:pPr>
        <w:ind w:left="15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June 30, 2003 the Company had entered into several additional agreements related mainly to the construction, equipping and transfer of technology for Fab 2. The Company's aggregate commitment in connection with these agreements as of such date, including the Fab 2 construction agreement, amounted to $57,137.</w:t>
      </w:r>
    </w:p>
    <w:p>
      <w:pPr>
        <w:spacing w:after="0" w:line="174" w:lineRule="exact"/>
        <w:rPr>
          <w:rFonts w:ascii="Courier New" w:cs="Courier New" w:eastAsia="Courier New" w:hAnsi="Courier New"/>
          <w:sz w:val="15"/>
          <w:szCs w:val="15"/>
          <w:color w:val="auto"/>
        </w:rPr>
      </w:pPr>
    </w:p>
    <w:p>
      <w:pPr>
        <w:ind w:left="1580" w:right="3499" w:hanging="783"/>
        <w:spacing w:after="0" w:line="234" w:lineRule="auto"/>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NON-CAPITALIZABLE EXPENSES AND OPERATING CASH FLOWS USED IN CONNECTION WITH FAB 2</w:t>
      </w:r>
    </w:p>
    <w:p>
      <w:pPr>
        <w:spacing w:after="0" w:line="173" w:lineRule="exact"/>
        <w:rPr>
          <w:rFonts w:ascii="Courier New" w:cs="Courier New" w:eastAsia="Courier New" w:hAnsi="Courier New"/>
          <w:sz w:val="15"/>
          <w:szCs w:val="15"/>
          <w:color w:val="auto"/>
        </w:rPr>
      </w:pPr>
    </w:p>
    <w:p>
      <w:pPr>
        <w:ind w:left="158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establishing Fab 2, the Company incurred during the six-month period ended June 30, 2003 non-capitalizable expenses in the amount of $19,685, of which $11,220 was included in cost of sales and $8,465 was included in marketing, general and administrative (during the corresponding period - $8,214, $3,626 and $4,588, respectively). During the three-month period ended June 30, 2003 the Company incurred non-capitalizable expenses in connection with establishing Fab 2 in the amount of $10,196, of which $6,193 was included in cost of sales and $4,003 was included in marketing, general and administrative (during the corresponding period - $4,863, $2,421 and $2,442, respectively).</w:t>
      </w:r>
    </w:p>
    <w:p>
      <w:pPr>
        <w:spacing w:after="0" w:line="173" w:lineRule="exact"/>
        <w:rPr>
          <w:rFonts w:ascii="Courier New" w:cs="Courier New" w:eastAsia="Courier New" w:hAnsi="Courier New"/>
          <w:sz w:val="15"/>
          <w:szCs w:val="15"/>
          <w:color w:val="auto"/>
        </w:rPr>
      </w:pPr>
    </w:p>
    <w:p>
      <w:pPr>
        <w:ind w:left="15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used in operating activities during the six-month period ended June 30, 2003 was $15,422. That amount includes net cash out flows in the amount of $22,222 attributable to the establishing of Fab 2 (during the corresponding period - $14,312 and $13,796, respectively). The $14,312 and $13,796 amounts exclude net cash in the amount of $14,668 provided by an increase in long-term liability in respect of customers' advances.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39"/>
          </w:cols>
          <w:pgMar w:left="220" w:top="953" w:right="1440" w:bottom="1440" w:gutter="0" w:footer="0" w:header="0"/>
        </w:sectPr>
      </w:pPr>
    </w:p>
    <w:bookmarkStart w:id="20" w:name="page21"/>
    <w:bookmarkEnd w:id="2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2003</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OTHER RECENT DEVELOPMENTS</w:t>
      </w:r>
    </w:p>
    <w:p>
      <w:pPr>
        <w:spacing w:after="0" w:line="166" w:lineRule="exact"/>
        <w:rPr>
          <w:sz w:val="20"/>
          <w:szCs w:val="20"/>
          <w:color w:val="auto"/>
        </w:rPr>
      </w:pPr>
    </w:p>
    <w:p>
      <w:pPr>
        <w:ind w:left="1580" w:hanging="783"/>
        <w:spacing w:after="0"/>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72" w:lineRule="exact"/>
        <w:rPr>
          <w:rFonts w:ascii="Courier New" w:cs="Courier New" w:eastAsia="Courier New" w:hAnsi="Courier New"/>
          <w:sz w:val="15"/>
          <w:szCs w:val="15"/>
          <w:color w:val="auto"/>
        </w:rPr>
      </w:pPr>
    </w:p>
    <w:p>
      <w:pPr>
        <w:ind w:left="2380" w:right="3319" w:hanging="796"/>
        <w:spacing w:after="0" w:line="255" w:lineRule="auto"/>
        <w:tabs>
          <w:tab w:leader="none" w:pos="23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framework of the Company's Board of Directors resolution to increase the total number of options available for grant under all the Company's share option plans, 1,737,421 options were added to the Company's share option plans in 2003. Of that amount no options were granted to employees during the six-month period ended June 30, 2003.</w:t>
      </w:r>
    </w:p>
    <w:p>
      <w:pPr>
        <w:spacing w:after="0" w:line="166" w:lineRule="exact"/>
        <w:rPr>
          <w:rFonts w:ascii="Courier New" w:cs="Courier New" w:eastAsia="Courier New" w:hAnsi="Courier New"/>
          <w:sz w:val="14"/>
          <w:szCs w:val="14"/>
          <w:color w:val="auto"/>
        </w:rPr>
      </w:pPr>
    </w:p>
    <w:p>
      <w:pPr>
        <w:ind w:left="2380" w:right="3239" w:hanging="796"/>
        <w:spacing w:after="0" w:line="254" w:lineRule="auto"/>
        <w:tabs>
          <w:tab w:leader="none" w:pos="23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THE COMPANY'S CHAIRMAN OF THE BOARD OF DIRECTORS - In March 2003, the Board of Directors of the Company approved a share option plan, which was approved by the Company's shareholders in May 2003, pursuant to which the Company's Chairman of the Board of Directors ("Chairman") is entitled to receive the right to purchase up to 1,043,000 Ordinary Shares of the Company at an exercise price of $2.983, an exercise price which is higher than the Company's share price at the date of the approval by the Board of Directors, and is equivalent to the average trading price for the ordinary shares during the 30 consecutive trading days preceding the date of board approval of the amendment to the Fab 2 Investment Agreements described in Note 3A above. Options granted under the plan vest over a five-year period according to various vesting schedules. The vesting of the options is subject to the Chairman's serving as the Chairman or as the Company's Chief Executive Officer or President on the relevant vesting dates. The options granted are exercisable for a period of five years from the date on which the options vest.</w:t>
      </w:r>
    </w:p>
    <w:p>
      <w:pPr>
        <w:spacing w:after="0" w:line="169" w:lineRule="exact"/>
        <w:rPr>
          <w:sz w:val="20"/>
          <w:szCs w:val="20"/>
          <w:color w:val="auto"/>
        </w:rPr>
      </w:pPr>
    </w:p>
    <w:p>
      <w:pPr>
        <w:ind w:left="2380" w:hanging="796"/>
        <w:spacing w:after="0"/>
        <w:tabs>
          <w:tab w:leader="none" w:pos="23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ORDINARY SHARES</w:t>
      </w:r>
    </w:p>
    <w:p>
      <w:pPr>
        <w:spacing w:after="0" w:line="172" w:lineRule="exact"/>
        <w:rPr>
          <w:rFonts w:ascii="Courier New" w:cs="Courier New" w:eastAsia="Courier New" w:hAnsi="Courier New"/>
          <w:sz w:val="15"/>
          <w:szCs w:val="15"/>
          <w:color w:val="auto"/>
        </w:rPr>
      </w:pPr>
    </w:p>
    <w:p>
      <w:pPr>
        <w:ind w:left="238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May 2003, the Company's shareholders approved an increase in the Company's authorized ordinary shares from 70,000,000 shares to 100,000,000 shares.</w:t>
      </w:r>
    </w:p>
    <w:p>
      <w:pPr>
        <w:spacing w:after="0" w:line="154" w:lineRule="exact"/>
        <w:rPr>
          <w:rFonts w:ascii="Courier New" w:cs="Courier New" w:eastAsia="Courier New" w:hAnsi="Courier New"/>
          <w:sz w:val="15"/>
          <w:szCs w:val="15"/>
          <w:color w:val="auto"/>
        </w:rPr>
      </w:pPr>
    </w:p>
    <w:p>
      <w:pPr>
        <w:ind w:left="2380" w:hanging="796"/>
        <w:spacing w:after="0"/>
        <w:tabs>
          <w:tab w:leader="none" w:pos="23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72" w:lineRule="exact"/>
        <w:rPr>
          <w:rFonts w:ascii="Courier New" w:cs="Courier New" w:eastAsia="Courier New" w:hAnsi="Courier New"/>
          <w:sz w:val="15"/>
          <w:szCs w:val="15"/>
          <w:color w:val="auto"/>
        </w:rPr>
      </w:pPr>
    </w:p>
    <w:p>
      <w:pPr>
        <w:ind w:left="238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2003, certain shareholders of the Company filed a shareholders' class action complaint in the United States against the Company and certain of its directors, Wafer Partners and Equity Investors (the "Defendants"). The plaintiffs have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Company believes that the complaint is without merit and intends to vigorously contest it.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2"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239"/>
          </w:cols>
          <w:pgMar w:left="220" w:top="953" w:right="1440" w:bottom="1440" w:gutter="0" w:footer="0" w:header="0"/>
        </w:sectPr>
      </w:pPr>
    </w:p>
    <w:bookmarkStart w:id="21" w:name="page22"/>
    <w:bookmarkEnd w:id="2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2003</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w:t>
      </w:r>
    </w:p>
    <w:p>
      <w:pPr>
        <w:spacing w:after="0" w:line="173" w:lineRule="exact"/>
        <w:rPr>
          <w:sz w:val="20"/>
          <w:szCs w:val="20"/>
          <w:color w:val="auto"/>
        </w:rPr>
      </w:pPr>
    </w:p>
    <w:p>
      <w:pPr>
        <w:ind w:left="800" w:right="3239"/>
        <w:spacing w:after="0" w:line="256" w:lineRule="auto"/>
        <w:rPr>
          <w:sz w:val="20"/>
          <w:szCs w:val="20"/>
          <w:color w:val="auto"/>
        </w:rPr>
      </w:pPr>
      <w:r>
        <w:rPr>
          <w:rFonts w:ascii="Courier New" w:cs="Courier New" w:eastAsia="Courier New" w:hAnsi="Courier New"/>
          <w:sz w:val="14"/>
          <w:szCs w:val="14"/>
          <w:color w:val="auto"/>
        </w:rPr>
        <w:t>With regard to the Company's interim financial statements, the material differences between GAAP in Israel and in the U.S. relate to the following. See F below for the presentation of the Company's unaudited balance sheet as of June 30, 2003 in accordance with U.S. GAAP.</w:t>
      </w:r>
    </w:p>
    <w:p>
      <w:pPr>
        <w:spacing w:after="0" w:line="164" w:lineRule="exact"/>
        <w:rPr>
          <w:sz w:val="20"/>
          <w:szCs w:val="20"/>
          <w:color w:val="auto"/>
        </w:rPr>
      </w:pPr>
    </w:p>
    <w:p>
      <w:pPr>
        <w:ind w:left="1580" w:right="3319" w:hanging="783"/>
        <w:spacing w:after="0" w:line="235" w:lineRule="auto"/>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CASH AND SHORT-TERM AND LONG-TERM INTEREST-BEARING DEPOSITS DESIGNATED FOR INVESTMENTS RELATING TO FAB 2</w:t>
      </w:r>
    </w:p>
    <w:p>
      <w:pPr>
        <w:spacing w:after="0" w:line="173" w:lineRule="exact"/>
        <w:rPr>
          <w:rFonts w:ascii="Courier New" w:cs="Courier New" w:eastAsia="Courier New" w:hAnsi="Courier New"/>
          <w:sz w:val="15"/>
          <w:szCs w:val="15"/>
          <w:color w:val="auto"/>
        </w:rPr>
      </w:pPr>
    </w:p>
    <w:p>
      <w:pPr>
        <w:ind w:left="15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cash, short-term and long-term interest-bearing deposits designated for investments relating to Fab 2 should be excluded from current assets and long-term investments and presented separately as a non-current asset. Accordingly, as of June 30, 2003 $2,021 and $12,437 were reclassified, respectively, from current assets and long-term investments to a long-term asset (as of December 31, 2002 - $51,338 and $11,893, respectively).</w:t>
      </w:r>
    </w:p>
    <w:p>
      <w:pPr>
        <w:spacing w:after="0" w:line="177" w:lineRule="exact"/>
        <w:rPr>
          <w:rFonts w:ascii="Courier New" w:cs="Courier New" w:eastAsia="Courier New" w:hAnsi="Courier New"/>
          <w:sz w:val="15"/>
          <w:szCs w:val="15"/>
          <w:color w:val="auto"/>
        </w:rPr>
      </w:pPr>
    </w:p>
    <w:p>
      <w:pPr>
        <w:ind w:left="1580" w:right="3839" w:hanging="783"/>
        <w:spacing w:after="0" w:line="234" w:lineRule="auto"/>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3" w:lineRule="exact"/>
        <w:rPr>
          <w:rFonts w:ascii="Courier New" w:cs="Courier New" w:eastAsia="Courier New" w:hAnsi="Courier New"/>
          <w:sz w:val="15"/>
          <w:szCs w:val="15"/>
          <w:color w:val="auto"/>
        </w:rPr>
      </w:pPr>
    </w:p>
    <w:p>
      <w:pPr>
        <w:ind w:left="158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U.S. GAAP, assets and liabilities relating to severance arrangements are to be presented separately and are not to be offset. Accordingly, as of June 30, 2003 an amount of $13,877 was reclassified from other long-term liabilities to long-term investments (as of December 31, 2002 - $12,368).</w:t>
      </w:r>
    </w:p>
    <w:p>
      <w:pPr>
        <w:spacing w:after="0" w:line="156"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2" w:lineRule="exact"/>
        <w:rPr>
          <w:rFonts w:ascii="Courier New" w:cs="Courier New" w:eastAsia="Courier New" w:hAnsi="Courier New"/>
          <w:sz w:val="15"/>
          <w:szCs w:val="15"/>
          <w:color w:val="auto"/>
        </w:rPr>
      </w:pPr>
    </w:p>
    <w:p>
      <w:pPr>
        <w:ind w:left="15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and the related interpretations thereon with respect to the Company's hedging transactions as of June 30, 2003 would have resulted in: an increase in other long-term liabilities in the amount of $14,613; an increase in other comprehensive loss for the six months ended June 30, 2003 in the net amount of $3,417 and in the accumulated other comprehensive loss component of equity as of such date in the amount of $21,254; and in a decrease of $6,611 in property and equipment, net as of June 30, 2003.</w:t>
      </w:r>
    </w:p>
    <w:p>
      <w:pPr>
        <w:spacing w:after="0" w:line="200" w:lineRule="exact"/>
        <w:rPr>
          <w:rFonts w:ascii="Courier New" w:cs="Courier New" w:eastAsia="Courier New" w:hAnsi="Courier New"/>
          <w:sz w:val="15"/>
          <w:szCs w:val="15"/>
          <w:color w:val="auto"/>
        </w:rPr>
      </w:pPr>
    </w:p>
    <w:p>
      <w:pPr>
        <w:spacing w:after="0" w:line="29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39"/>
          </w:cols>
          <w:pgMar w:left="220" w:top="953" w:right="1440" w:bottom="1440" w:gutter="0" w:footer="0" w:header="0"/>
        </w:sectPr>
      </w:pPr>
    </w:p>
    <w:bookmarkStart w:id="22" w:name="page23"/>
    <w:bookmarkEnd w:id="2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2003</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1580" w:hanging="783"/>
        <w:spacing w:after="0"/>
        <w:tabs>
          <w:tab w:leader="none" w:pos="15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2" w:lineRule="exact"/>
        <w:rPr>
          <w:rFonts w:ascii="Courier New" w:cs="Courier New" w:eastAsia="Courier New" w:hAnsi="Courier New"/>
          <w:sz w:val="15"/>
          <w:szCs w:val="15"/>
          <w:color w:val="auto"/>
        </w:rPr>
      </w:pPr>
    </w:p>
    <w:p>
      <w:pPr>
        <w:ind w:left="1580" w:right="96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of the awards in accordance with SFAS 123, as amended by SFAS 148, the Company's pro forma loss and loss per share would have been as follows:</w:t>
      </w:r>
    </w:p>
    <w:p>
      <w:pPr>
        <w:spacing w:after="0" w:line="200" w:lineRule="exact"/>
        <w:rPr>
          <w:sz w:val="20"/>
          <w:szCs w:val="20"/>
          <w:color w:val="auto"/>
        </w:rPr>
      </w:pPr>
    </w:p>
    <w:p>
      <w:pPr>
        <w:spacing w:after="0" w:line="304"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280" w:type="dxa"/>
            <w:vAlign w:val="bottom"/>
          </w:tcPr>
          <w:p>
            <w:pPr>
              <w:spacing w:after="0"/>
              <w:rPr>
                <w:sz w:val="14"/>
                <w:szCs w:val="14"/>
                <w:color w:val="auto"/>
              </w:rPr>
            </w:pPr>
          </w:p>
        </w:tc>
        <w:tc>
          <w:tcPr>
            <w:tcW w:w="30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c>
          <w:tcPr>
            <w:tcW w:w="7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30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2003</w:t>
            </w:r>
          </w:p>
        </w:tc>
        <w:tc>
          <w:tcPr>
            <w:tcW w:w="5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2002</w:t>
            </w:r>
          </w:p>
        </w:tc>
      </w:tr>
      <w:tr>
        <w:trPr>
          <w:trHeight w:val="168"/>
        </w:trPr>
        <w:tc>
          <w:tcPr>
            <w:tcW w:w="3280" w:type="dxa"/>
            <w:vAlign w:val="bottom"/>
          </w:tcPr>
          <w:p>
            <w:pPr>
              <w:spacing w:after="0"/>
              <w:rPr>
                <w:sz w:val="14"/>
                <w:szCs w:val="14"/>
                <w:color w:val="auto"/>
              </w:rPr>
            </w:pPr>
          </w:p>
        </w:tc>
        <w:tc>
          <w:tcPr>
            <w:tcW w:w="17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780" w:type="dxa"/>
            <w:vAlign w:val="bottom"/>
          </w:tcPr>
          <w:p>
            <w:pPr>
              <w:spacing w:after="0"/>
              <w:rPr>
                <w:sz w:val="14"/>
                <w:szCs w:val="14"/>
                <w:color w:val="auto"/>
              </w:rPr>
            </w:pP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 as reported</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(31,180)</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(20,042)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stock-based compensation</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determined under APB 25</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8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(5,690)</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(3,838)</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(36,843)</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(23,784)</w:t>
            </w: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 FORMA BASIC LOSS PER SHARE</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w:t>
            </w:r>
          </w:p>
        </w:tc>
        <w:tc>
          <w:tcPr>
            <w:tcW w:w="8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(0.70)</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(0.86)</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(0.83)</w:t>
            </w:r>
          </w:p>
        </w:tc>
        <w:tc>
          <w:tcPr>
            <w:tcW w:w="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(0.88)</w:t>
            </w:r>
          </w:p>
        </w:tc>
      </w:tr>
    </w:tbl>
    <w:p>
      <w:pPr>
        <w:spacing w:after="0" w:line="200" w:lineRule="exact"/>
        <w:rPr>
          <w:sz w:val="20"/>
          <w:szCs w:val="20"/>
          <w:color w:val="auto"/>
        </w:rPr>
      </w:pPr>
    </w:p>
    <w:p>
      <w:pPr>
        <w:spacing w:after="0" w:line="303" w:lineRule="exact"/>
        <w:rPr>
          <w:sz w:val="20"/>
          <w:szCs w:val="20"/>
          <w:color w:val="auto"/>
        </w:rPr>
      </w:pPr>
    </w:p>
    <w:p>
      <w:pPr>
        <w:ind w:left="1580" w:hanging="783"/>
        <w:spacing w:after="0"/>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1580" w:righ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June 30, 2003 and December 31, 2002 in the amount of $2,363 (net of $196 related issuance expenses), and a decrease in convertible debentures as of such dates in the amount of $2,559. The effect of the U.S. GAAP application on the convertible debentures' discount amortization for the six-month and three-month periods ended June 30, 2003 is immaterial.</w:t>
      </w:r>
    </w:p>
    <w:p>
      <w:pPr>
        <w:spacing w:after="0" w:line="200" w:lineRule="exact"/>
        <w:rPr>
          <w:rFonts w:ascii="Courier New" w:cs="Courier New" w:eastAsia="Courier New" w:hAnsi="Courier New"/>
          <w:sz w:val="15"/>
          <w:szCs w:val="15"/>
          <w:color w:val="auto"/>
        </w:rPr>
      </w:pPr>
    </w:p>
    <w:p>
      <w:pPr>
        <w:spacing w:after="0" w:line="30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2003</w:t>
            </w:r>
          </w:p>
        </w:tc>
        <w:tc>
          <w:tcPr>
            <w:tcW w:w="48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1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0" w:type="dxa"/>
            <w:vAlign w:val="bottom"/>
          </w:tcPr>
          <w:p>
            <w:pPr>
              <w:spacing w:after="0"/>
              <w:rPr>
                <w:sz w:val="14"/>
                <w:szCs w:val="14"/>
                <w:color w:val="auto"/>
              </w:rPr>
            </w:pPr>
          </w:p>
        </w:tc>
        <w:tc>
          <w:tcPr>
            <w:tcW w:w="210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(UNAUDITED)</w:t>
            </w:r>
          </w:p>
        </w:tc>
      </w:tr>
      <w:tr>
        <w:trPr>
          <w:trHeight w:val="673"/>
        </w:trPr>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(16,830)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(11,622)</w:t>
            </w:r>
          </w:p>
        </w:tc>
      </w:tr>
      <w:tr>
        <w:trPr>
          <w:trHeight w:val="505"/>
        </w:trPr>
        <w:tc>
          <w:tcPr>
            <w:tcW w:w="34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4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r>
      <w:tr>
        <w:trPr>
          <w:trHeight w:val="336"/>
        </w:trPr>
        <w:tc>
          <w:tcPr>
            <w:tcW w:w="3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(4,079)</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(1,626)</w:t>
            </w:r>
          </w:p>
        </w:tc>
      </w:tr>
      <w:tr>
        <w:trPr>
          <w:trHeight w:val="336"/>
        </w:trPr>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(20,901)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(13,204)</w:t>
            </w:r>
          </w:p>
        </w:tc>
      </w:tr>
      <w:tr>
        <w:trPr>
          <w:trHeight w:val="673"/>
        </w:trPr>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(0.37)</w:t>
            </w:r>
          </w:p>
        </w:tc>
        <w:tc>
          <w:tcPr>
            <w:tcW w:w="48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(0.39)</w:t>
            </w:r>
          </w:p>
        </w:tc>
      </w:tr>
      <w:tr>
        <w:trPr>
          <w:trHeight w:val="336"/>
        </w:trPr>
        <w:tc>
          <w:tcPr>
            <w:tcW w:w="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(0.46)</w:t>
            </w:r>
          </w:p>
        </w:tc>
        <w:tc>
          <w:tcPr>
            <w:tcW w:w="48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bl>
    <w:p>
      <w:pPr>
        <w:sectPr>
          <w:pgSz w:w="11900" w:h="16838" w:orient="portrait"/>
          <w:cols w:equalWidth="0" w:num="2">
            <w:col w:w="7880" w:space="180"/>
            <w:col w:w="2440"/>
          </w:cols>
          <w:pgMar w:left="220" w:top="953" w:right="1179" w:bottom="1440" w:gutter="0" w:footer="0" w:header="0"/>
        </w:sectPr>
      </w:pPr>
    </w:p>
    <w:bookmarkStart w:id="23" w:name="page24"/>
    <w:bookmarkEnd w:id="2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2003</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NOTE 5 - MATERIAL</w:t>
            </w: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DIFFERENCES BETWEEN ISRAELI AND U.S. GAAP (cont.)</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6"/>
        </w:trPr>
        <w:tc>
          <w:tcPr>
            <w:tcW w:w="1540" w:type="dxa"/>
            <w:vAlign w:val="bottom"/>
          </w:tcPr>
          <w:p>
            <w:pPr>
              <w:ind w:left="800"/>
              <w:spacing w:after="0"/>
              <w:rPr>
                <w:sz w:val="20"/>
                <w:szCs w:val="20"/>
                <w:color w:val="auto"/>
              </w:rPr>
            </w:pPr>
            <w:r>
              <w:rPr>
                <w:rFonts w:ascii="Courier New" w:cs="Courier New" w:eastAsia="Courier New" w:hAnsi="Courier New"/>
                <w:sz w:val="15"/>
                <w:szCs w:val="15"/>
                <w:color w:val="auto"/>
              </w:rPr>
              <w:t>F.</w:t>
            </w: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BALANCE SHEET IN ACCORDANCE WITH U.S. GAAP</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6"/>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Following are the condensed consolidated balance sheets in</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1540" w:type="dxa"/>
            <w:vAlign w:val="bottom"/>
          </w:tcPr>
          <w:p>
            <w:pPr>
              <w:spacing w:after="0"/>
              <w:rPr>
                <w:sz w:val="14"/>
                <w:szCs w:val="14"/>
                <w:color w:val="auto"/>
              </w:rPr>
            </w:pPr>
          </w:p>
        </w:tc>
        <w:tc>
          <w:tcPr>
            <w:tcW w:w="5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accordance with U.S. GAAP:</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73"/>
        </w:trPr>
        <w:tc>
          <w:tcPr>
            <w:tcW w:w="15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June 30,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15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15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(unaudited)</w:t>
            </w:r>
          </w:p>
        </w:tc>
        <w:tc>
          <w:tcPr>
            <w:tcW w:w="1440" w:type="dxa"/>
            <w:vAlign w:val="bottom"/>
          </w:tcPr>
          <w:p>
            <w:pPr>
              <w:spacing w:after="0"/>
              <w:rPr>
                <w:sz w:val="14"/>
                <w:szCs w:val="14"/>
                <w:color w:val="auto"/>
              </w:rPr>
            </w:pPr>
          </w:p>
        </w:tc>
      </w:tr>
      <w:tr>
        <w:trPr>
          <w:trHeight w:val="505"/>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$ 59,165</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$ 58,743</w:t>
            </w:r>
          </w:p>
        </w:tc>
      </w:tr>
      <w:tr>
        <w:trPr>
          <w:trHeight w:val="336"/>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Long-term investments</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19,877</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18,368</w:t>
            </w:r>
          </w:p>
        </w:tc>
      </w:tr>
      <w:tr>
        <w:trPr>
          <w:trHeight w:val="336"/>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Property and equipment, net</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567,585</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487,347</w:t>
            </w:r>
          </w:p>
        </w:tc>
      </w:tr>
      <w:tr>
        <w:trPr>
          <w:trHeight w:val="336"/>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Other assets</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107,627</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95,017</w:t>
            </w:r>
          </w:p>
        </w:tc>
      </w:tr>
      <w:tr>
        <w:trPr>
          <w:trHeight w:val="336"/>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Cash, short-term and long-term interest-</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1540" w:type="dxa"/>
            <w:vAlign w:val="bottom"/>
          </w:tcPr>
          <w:p>
            <w:pPr>
              <w:spacing w:after="0"/>
              <w:rPr>
                <w:sz w:val="14"/>
                <w:szCs w:val="14"/>
                <w:color w:val="auto"/>
              </w:rPr>
            </w:pPr>
          </w:p>
        </w:tc>
        <w:tc>
          <w:tcPr>
            <w:tcW w:w="53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bearing deposits designated for</w:t>
            </w:r>
          </w:p>
        </w:tc>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53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investments relating to Fab 2</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14,458</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63,231</w:t>
            </w:r>
          </w:p>
        </w:tc>
      </w:tr>
      <w:tr>
        <w:trPr>
          <w:trHeight w:val="168"/>
        </w:trPr>
        <w:tc>
          <w:tcPr>
            <w:tcW w:w="15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40" w:type="dxa"/>
            <w:vAlign w:val="bottom"/>
          </w:tcPr>
          <w:p>
            <w:pPr>
              <w:spacing w:after="0"/>
              <w:rPr>
                <w:sz w:val="14"/>
                <w:szCs w:val="14"/>
                <w:color w:val="auto"/>
              </w:rPr>
            </w:pPr>
          </w:p>
        </w:tc>
        <w:tc>
          <w:tcPr>
            <w:tcW w:w="53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Total assets</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768,712</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722,706</w:t>
            </w:r>
          </w:p>
        </w:tc>
      </w:tr>
      <w:tr>
        <w:trPr>
          <w:trHeight w:val="168"/>
        </w:trPr>
        <w:tc>
          <w:tcPr>
            <w:tcW w:w="15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Current liabilities</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93,132</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88,282</w:t>
            </w:r>
          </w:p>
        </w:tc>
      </w:tr>
      <w:tr>
        <w:trPr>
          <w:trHeight w:val="336"/>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Long-term debt</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308,000</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253,000</w:t>
            </w:r>
          </w:p>
        </w:tc>
      </w:tr>
      <w:tr>
        <w:trPr>
          <w:trHeight w:val="336"/>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Convertible debentures</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23,990</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21,562</w:t>
            </w:r>
          </w:p>
        </w:tc>
      </w:tr>
      <w:tr>
        <w:trPr>
          <w:trHeight w:val="336"/>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Long-term liability</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1540" w:type="dxa"/>
            <w:vAlign w:val="bottom"/>
          </w:tcPr>
          <w:p>
            <w:pPr>
              <w:spacing w:after="0"/>
              <w:rPr>
                <w:sz w:val="14"/>
                <w:szCs w:val="14"/>
                <w:color w:val="auto"/>
              </w:rPr>
            </w:pPr>
          </w:p>
        </w:tc>
        <w:tc>
          <w:tcPr>
            <w:tcW w:w="53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in respect of customers' advances</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47,246</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47,246</w:t>
            </w:r>
          </w:p>
        </w:tc>
      </w:tr>
      <w:tr>
        <w:trPr>
          <w:trHeight w:val="336"/>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Other long-term liabilities</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34,501</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29,726</w:t>
            </w:r>
          </w:p>
        </w:tc>
      </w:tr>
      <w:tr>
        <w:trPr>
          <w:trHeight w:val="336"/>
        </w:trPr>
        <w:tc>
          <w:tcPr>
            <w:tcW w:w="154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Shareholders' equity (*)</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261,843</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282,890</w:t>
            </w:r>
          </w:p>
        </w:tc>
      </w:tr>
      <w:tr>
        <w:trPr>
          <w:trHeight w:val="168"/>
        </w:trPr>
        <w:tc>
          <w:tcPr>
            <w:tcW w:w="15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40" w:type="dxa"/>
            <w:vAlign w:val="bottom"/>
          </w:tcPr>
          <w:p>
            <w:pPr>
              <w:spacing w:after="0"/>
              <w:rPr>
                <w:sz w:val="14"/>
                <w:szCs w:val="14"/>
                <w:color w:val="auto"/>
              </w:rPr>
            </w:pPr>
          </w:p>
        </w:tc>
        <w:tc>
          <w:tcPr>
            <w:tcW w:w="53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$768,712</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$722,706</w:t>
            </w:r>
          </w:p>
        </w:tc>
      </w:tr>
      <w:tr>
        <w:trPr>
          <w:trHeight w:val="168"/>
        </w:trPr>
        <w:tc>
          <w:tcPr>
            <w:tcW w:w="15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2380" w:right="3319" w:hanging="796"/>
        <w:spacing w:after="0" w:line="256" w:lineRule="auto"/>
        <w:tabs>
          <w:tab w:leader="none" w:pos="23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balance as of June 30, 2003 includes accumulated other comprehensive loss of $21,254 and net proceeds on account of options (Series 1) in the amount of $2,363 - see also E above (as of December 31, 2002 - $17,837 and $2,363, respectively).</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w:t>
      </w:r>
    </w:p>
    <w:p>
      <w:pPr>
        <w:sectPr>
          <w:pgSz w:w="11900" w:h="16838" w:orient="portrait"/>
          <w:cols w:equalWidth="0" w:num="1">
            <w:col w:w="10239"/>
          </w:cols>
          <w:pgMar w:left="220" w:top="953" w:right="1440" w:bottom="1440" w:gutter="0" w:footer="0" w:header="0"/>
        </w:sectPr>
      </w:pPr>
    </w:p>
    <w:bookmarkStart w:id="24" w:name="page25"/>
    <w:bookmarkEnd w:id="2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400"/>
        <w:spacing w:after="0" w:line="237" w:lineRule="auto"/>
        <w:rPr>
          <w:sz w:val="20"/>
          <w:szCs w:val="20"/>
          <w:color w:val="auto"/>
        </w:rPr>
      </w:pPr>
      <w:r>
        <w:rPr>
          <w:rFonts w:ascii="Courier New" w:cs="Courier New" w:eastAsia="Courier New" w:hAnsi="Courier New"/>
          <w:sz w:val="15"/>
          <w:szCs w:val="15"/>
          <w:color w:val="auto"/>
        </w:rPr>
        <w:t>NOTES TO UNAUDITED CONDENSED INTERIM CONSOLIDATED</w:t>
      </w:r>
    </w:p>
    <w:p>
      <w:pPr>
        <w:ind w:left="1760"/>
        <w:spacing w:after="0" w:line="238" w:lineRule="auto"/>
        <w:rPr>
          <w:sz w:val="20"/>
          <w:szCs w:val="20"/>
          <w:color w:val="auto"/>
        </w:rPr>
      </w:pPr>
      <w:r>
        <w:rPr>
          <w:rFonts w:ascii="Courier New" w:cs="Courier New" w:eastAsia="Courier New" w:hAnsi="Courier New"/>
          <w:sz w:val="15"/>
          <w:szCs w:val="15"/>
          <w:color w:val="auto"/>
        </w:rPr>
        <w:t>FINANCIAL STATEMENTS AS OF JUNE 30, 2003</w:t>
      </w:r>
    </w:p>
    <w:p>
      <w:pPr>
        <w:ind w:left="880"/>
        <w:spacing w:after="0" w:line="237"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66" w:lineRule="exact"/>
        <w:rPr>
          <w:sz w:val="20"/>
          <w:szCs w:val="20"/>
          <w:color w:val="auto"/>
        </w:rPr>
      </w:pPr>
    </w:p>
    <w:p>
      <w:pPr>
        <w:ind w:left="1580" w:hanging="783"/>
        <w:spacing w:after="0"/>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2" w:lineRule="exact"/>
        <w:rPr>
          <w:rFonts w:ascii="Courier New" w:cs="Courier New" w:eastAsia="Courier New" w:hAnsi="Courier New"/>
          <w:sz w:val="15"/>
          <w:szCs w:val="15"/>
          <w:color w:val="auto"/>
        </w:rPr>
      </w:pPr>
    </w:p>
    <w:p>
      <w:pPr>
        <w:ind w:left="15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(C above) and APB 14 (E above) would not have resulted in a material change in the Company's loss for the six-month and three-month periods ended June 30, 2003 and 2002.</w:t>
      </w:r>
    </w:p>
    <w:p>
      <w:pPr>
        <w:spacing w:after="0" w:line="168"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72" w:lineRule="exact"/>
        <w:rPr>
          <w:rFonts w:ascii="Courier New" w:cs="Courier New" w:eastAsia="Courier New" w:hAnsi="Courier New"/>
          <w:sz w:val="15"/>
          <w:szCs w:val="15"/>
          <w:color w:val="auto"/>
        </w:rPr>
      </w:pPr>
    </w:p>
    <w:p>
      <w:pPr>
        <w:ind w:left="15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(SFAS 128), including the implementation of SFAS 133 and SFAS 138 and APB 14 as described in G above, the basic and diluted loss per share for the six-month and three-month periods ended June 30, 2003 would be $0.70 and $0.37, respectively (during the corresponding period - $0.86 and $0.39, respectively).</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16 -</w:t>
      </w:r>
    </w:p>
    <w:sectPr>
      <w:pgSz w:w="11900" w:h="16838" w:orient="portrait"/>
      <w:cols w:equalWidth="0" w:num="1">
        <w:col w:w="10239"/>
      </w:cols>
      <w:pgMar w:left="220" w:top="9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a"/>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upperLetter"/>
      <w:start w:val="1"/>
    </w:lvl>
    <w:lvl w:ilvl="1">
      <w:lvlJc w:val="left"/>
      <w:lvlText w:val="-"/>
      <w:numFmt w:val="bullet"/>
      <w:start w:val="1"/>
    </w:lvl>
  </w:abstractNum>
  <w:abstractNum w:abstractNumId="4">
    <w:nsid w:val="1F16E9E8"/>
    <w:multiLevelType w:val="hybridMultilevel"/>
    <w:lvl w:ilvl="0">
      <w:lvlJc w:val="left"/>
      <w:lvlText w:val="%1."/>
      <w:numFmt w:val="upperLetter"/>
      <w:start w:val="3"/>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1."/>
      <w:numFmt w:val="upperLetter"/>
      <w:start w:val="1"/>
    </w:lvl>
    <w:lvl w:ilvl="1">
      <w:lvlJc w:val="left"/>
      <w:lvlText w:val="-"/>
      <w:numFmt w:val="bullet"/>
      <w:start w:val="1"/>
    </w:lvl>
  </w:abstractNum>
  <w:abstractNum w:abstractNumId="7">
    <w:nsid w:val="140E0F76"/>
    <w:multiLevelType w:val="hybridMultilevel"/>
    <w:lvl w:ilvl="0">
      <w:lvlJc w:val="left"/>
      <w:lvlText w:val="%1."/>
      <w:numFmt w:val="upperLetter"/>
      <w:start w:val="1"/>
    </w:lvl>
    <w:lvl w:ilvl="1">
      <w:lvlJc w:val="left"/>
      <w:lvlText w:val="-"/>
      <w:numFmt w:val="bullet"/>
      <w:start w:val="1"/>
    </w:lvl>
  </w:abstractNum>
  <w:abstractNum w:abstractNumId="8">
    <w:nsid w:val="3352255A"/>
    <w:multiLevelType w:val="hybridMultilevel"/>
    <w:lvl w:ilvl="0">
      <w:lvlJc w:val="left"/>
      <w:lvlText w:val="%1."/>
      <w:numFmt w:val="upperLetter"/>
      <w:start w:val="2"/>
    </w:lvl>
    <w:lvl w:ilvl="1">
      <w:lvlJc w:val="left"/>
      <w:lvlText w:val="-"/>
      <w:numFmt w:val="bullet"/>
      <w:start w:val="1"/>
    </w:lvl>
  </w:abstractNum>
  <w:abstractNum w:abstractNumId="9">
    <w:nsid w:val="109CF92E"/>
    <w:multiLevelType w:val="hybridMultilevel"/>
    <w:lvl w:ilvl="0">
      <w:lvlJc w:val="left"/>
      <w:lvlText w:val="%1."/>
      <w:numFmt w:val="upperLetter"/>
      <w:start w:val="3"/>
    </w:lvl>
    <w:lvl w:ilvl="1">
      <w:lvlJc w:val="left"/>
      <w:lvlText w:val="-"/>
      <w:numFmt w:val="bullet"/>
      <w:start w:val="1"/>
    </w:lvl>
  </w:abstractNum>
  <w:abstractNum w:abstractNumId="10">
    <w:nsid w:val="DED7263"/>
    <w:multiLevelType w:val="hybridMultilevel"/>
    <w:lvl w:ilvl="0">
      <w:lvlJc w:val="left"/>
      <w:lvlText w:val="%1."/>
      <w:numFmt w:val="upperLetter"/>
      <w:start w:val="1"/>
    </w:lvl>
    <w:lvl w:ilvl="1">
      <w:lvlJc w:val="left"/>
      <w:lvlText w:val="(%2)"/>
      <w:numFmt w:val="decimal"/>
      <w:start w:val="1"/>
    </w:lvl>
  </w:abstractNum>
  <w:abstractNum w:abstractNumId="11">
    <w:nsid w:val="7FDCC233"/>
    <w:multiLevelType w:val="hybridMultilevel"/>
    <w:lvl w:ilvl="0">
      <w:lvlJc w:val="left"/>
      <w:lvlText w:val="%1."/>
      <w:numFmt w:val="upperLetter"/>
      <w:start w:val="2"/>
    </w:lvl>
    <w:lvl w:ilvl="1">
      <w:lvlJc w:val="left"/>
      <w:lvlText w:val="-"/>
      <w:numFmt w:val="bullet"/>
      <w:start w:val="1"/>
    </w:lvl>
  </w:abstractNum>
  <w:abstractNum w:abstractNumId="12">
    <w:nsid w:val="1BEFD79F"/>
    <w:multiLevelType w:val="hybridMultilevel"/>
    <w:lvl w:ilvl="0">
      <w:lvlJc w:val="left"/>
      <w:lvlText w:val="%1."/>
      <w:numFmt w:val="upperLetter"/>
      <w:start w:val="1"/>
    </w:lvl>
    <w:lvl w:ilvl="1">
      <w:lvlJc w:val="left"/>
      <w:lvlText w:val="-"/>
      <w:numFmt w:val="bullet"/>
      <w:start w:val="1"/>
    </w:lvl>
  </w:abstractNum>
  <w:abstractNum w:abstractNumId="13">
    <w:nsid w:val="41A7C4C9"/>
    <w:multiLevelType w:val="hybridMultilevel"/>
    <w:lvl w:ilvl="0">
      <w:lvlJc w:val="left"/>
      <w:lvlText w:val="%1."/>
      <w:numFmt w:val="upperLetter"/>
      <w:start w:val="4"/>
    </w:lvl>
  </w:abstractNum>
  <w:abstractNum w:abstractNumId="14">
    <w:nsid w:val="6B68079A"/>
    <w:multiLevelType w:val="hybridMultilevel"/>
    <w:lvl w:ilvl="0">
      <w:lvlJc w:val="left"/>
      <w:lvlText w:val="%1."/>
      <w:numFmt w:val="upperLetter"/>
      <w:start w:val="5"/>
    </w:lvl>
    <w:lvl w:ilvl="1">
      <w:lvlJc w:val="left"/>
      <w:lvlText w:val="-"/>
      <w:numFmt w:val="bullet"/>
      <w:start w:val="1"/>
    </w:lvl>
  </w:abstractNum>
  <w:abstractNum w:abstractNumId="15">
    <w:nsid w:val="4E6AFB66"/>
    <w:multiLevelType w:val="hybridMultilevel"/>
    <w:lvl w:ilvl="0">
      <w:lvlJc w:val="left"/>
      <w:lvlText w:val="(*)"/>
      <w:numFmt w:val="bullet"/>
      <w:start w:val="1"/>
    </w:lvl>
    <w:lvl w:ilvl="1">
      <w:lvlJc w:val="left"/>
      <w:lvlText w:val="-"/>
      <w:numFmt w:val="bullet"/>
      <w:start w:val="1"/>
    </w:lvl>
  </w:abstractNum>
  <w:abstractNum w:abstractNumId="16">
    <w:nsid w:val="25E45D32"/>
    <w:multiLevelType w:val="hybridMultilevel"/>
    <w:lvl w:ilvl="0">
      <w:lvlJc w:val="left"/>
      <w:lvlText w:val="%1."/>
      <w:numFmt w:val="upperLetter"/>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2019-12-12T11:36:55Z</dcterms:created>
  <dcterms:modified xsi:type="dcterms:W3CDTF">2019-12-12T11:36:55Z</dcterms:modified>
</cp:coreProperties>
</file>