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__)</w:t>
      </w: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INFORMATION TO BE INCLUDED IN STATEMENTS FILED PURSUANT TO RULES 13d-1(b), (c) AND (d)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 AMENDMENTS THERETO FILED PURSUANT TO RULE 13d-2(b)</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26035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34"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500" w:right="20" w:hanging="486"/>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22"/>
          <w:szCs w:val="22"/>
          <w:color w:val="auto"/>
        </w:rPr>
      </w:pPr>
    </w:p>
    <w:p>
      <w:pPr>
        <w:jc w:val="both"/>
        <w:ind w:left="500"/>
        <w:spacing w:after="0" w:line="263" w:lineRule="auto"/>
        <w:rPr>
          <w:rFonts w:ascii="MS PGothic" w:cs="MS PGothic" w:eastAsia="MS PGothic" w:hAnsi="MS PGothic"/>
          <w:sz w:val="22"/>
          <w:szCs w:val="22"/>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2"/>
          <w:szCs w:val="22"/>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6189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893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080" w:hanging="620"/>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Name of Reporting Person</w:t>
      </w:r>
    </w:p>
    <w:p>
      <w:pPr>
        <w:spacing w:after="0" w:line="201" w:lineRule="exact"/>
        <w:rPr>
          <w:rFonts w:ascii="Arial" w:cs="Arial" w:eastAsia="Arial" w:hAnsi="Arial"/>
          <w:sz w:val="29"/>
          <w:szCs w:val="29"/>
          <w:color w:val="auto"/>
          <w:vertAlign w:val="superscript"/>
        </w:rPr>
      </w:pPr>
    </w:p>
    <w:p>
      <w:pPr>
        <w:ind w:left="1080"/>
        <w:spacing w:after="0"/>
        <w:rPr>
          <w:rFonts w:ascii="Arial" w:cs="Arial" w:eastAsia="Arial" w:hAnsi="Arial"/>
          <w:sz w:val="29"/>
          <w:szCs w:val="29"/>
          <w:color w:val="auto"/>
          <w:vertAlign w:val="superscript"/>
        </w:rPr>
      </w:pPr>
      <w:r>
        <w:rPr>
          <w:rFonts w:ascii="Arial" w:cs="Arial" w:eastAsia="Arial" w:hAnsi="Arial"/>
          <w:sz w:val="18"/>
          <w:szCs w:val="18"/>
          <w:color w:val="auto"/>
        </w:rPr>
        <w:t>Migdal Insurance &amp; Financial Holdings Ltd</w:t>
      </w:r>
    </w:p>
    <w:p>
      <w:pPr>
        <w:spacing w:after="0" w:line="67" w:lineRule="exact"/>
        <w:rPr>
          <w:rFonts w:ascii="Arial" w:cs="Arial" w:eastAsia="Arial" w:hAnsi="Arial"/>
          <w:sz w:val="29"/>
          <w:szCs w:val="29"/>
          <w:color w:val="auto"/>
          <w:vertAlign w:val="superscript"/>
        </w:rPr>
      </w:pPr>
    </w:p>
    <w:p>
      <w:pPr>
        <w:ind w:left="1080" w:hanging="620"/>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Check the Appropriate Box if a Member of a Group</w:t>
      </w:r>
    </w:p>
    <w:p>
      <w:pPr>
        <w:spacing w:after="0" w:line="1" w:lineRule="exact"/>
        <w:rPr>
          <w:rFonts w:ascii="Arial" w:cs="Arial" w:eastAsia="Arial" w:hAnsi="Arial"/>
          <w:sz w:val="29"/>
          <w:szCs w:val="29"/>
          <w:color w:val="auto"/>
          <w:vertAlign w:val="superscript"/>
        </w:rPr>
      </w:pPr>
    </w:p>
    <w:p>
      <w:pPr>
        <w:ind w:left="1340" w:hanging="252"/>
        <w:spacing w:after="0" w:line="207" w:lineRule="exact"/>
        <w:tabs>
          <w:tab w:leader="none" w:pos="13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1340" w:hanging="252"/>
        <w:spacing w:after="0" w:line="207" w:lineRule="exact"/>
        <w:tabs>
          <w:tab w:leader="none" w:pos="13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560" w:type="dxa"/>
            <w:vAlign w:val="bottom"/>
          </w:tcPr>
          <w:p>
            <w:pPr>
              <w:jc w:val="right"/>
              <w:ind w:right="393"/>
              <w:spacing w:after="0"/>
              <w:rPr>
                <w:sz w:val="20"/>
                <w:szCs w:val="20"/>
                <w:color w:val="auto"/>
              </w:rPr>
            </w:pPr>
            <w:r>
              <w:rPr>
                <w:rFonts w:ascii="Arial" w:cs="Arial" w:eastAsia="Arial" w:hAnsi="Arial"/>
                <w:sz w:val="13"/>
                <w:szCs w:val="13"/>
                <w:color w:val="auto"/>
                <w:w w:val="73"/>
              </w:rPr>
              <w:t>3.</w:t>
            </w:r>
          </w:p>
        </w:tc>
        <w:tc>
          <w:tcPr>
            <w:tcW w:w="10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SEC Use Only</w:t>
            </w:r>
          </w:p>
        </w:tc>
      </w:tr>
      <w:tr>
        <w:trPr>
          <w:trHeight w:val="512"/>
        </w:trPr>
        <w:tc>
          <w:tcPr>
            <w:tcW w:w="560" w:type="dxa"/>
            <w:vAlign w:val="bottom"/>
          </w:tcPr>
          <w:p>
            <w:pPr>
              <w:spacing w:after="0"/>
              <w:rPr>
                <w:sz w:val="24"/>
                <w:szCs w:val="24"/>
                <w:color w:val="auto"/>
              </w:rPr>
            </w:pPr>
          </w:p>
        </w:tc>
        <w:tc>
          <w:tcPr>
            <w:tcW w:w="10220" w:type="dxa"/>
            <w:vAlign w:val="bottom"/>
            <w:shd w:val="clear" w:color="auto" w:fill="CCEEFF"/>
          </w:tcPr>
          <w:p>
            <w:pPr>
              <w:spacing w:after="0"/>
              <w:rPr>
                <w:sz w:val="24"/>
                <w:szCs w:val="24"/>
                <w:color w:val="auto"/>
              </w:rPr>
            </w:pPr>
          </w:p>
        </w:tc>
      </w:tr>
    </w:tbl>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20" w:type="dxa"/>
            <w:vAlign w:val="bottom"/>
          </w:tcPr>
          <w:p>
            <w:pPr>
              <w:jc w:val="center"/>
              <w:spacing w:after="0"/>
              <w:rPr>
                <w:sz w:val="20"/>
                <w:szCs w:val="20"/>
                <w:color w:val="auto"/>
              </w:rPr>
            </w:pPr>
            <w:r>
              <w:rPr>
                <w:rFonts w:ascii="Arial" w:cs="Arial" w:eastAsia="Arial" w:hAnsi="Arial"/>
                <w:sz w:val="14"/>
                <w:szCs w:val="14"/>
                <w:color w:val="auto"/>
                <w:w w:val="85"/>
              </w:rPr>
              <w:t>4.</w:t>
            </w:r>
          </w:p>
        </w:tc>
        <w:tc>
          <w:tcPr>
            <w:tcW w:w="40" w:type="dxa"/>
            <w:vAlign w:val="bottom"/>
          </w:tcPr>
          <w:p>
            <w:pPr>
              <w:spacing w:after="0"/>
              <w:rPr>
                <w:sz w:val="20"/>
                <w:szCs w:val="20"/>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Place of Organization</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5.</w:t>
            </w:r>
          </w:p>
        </w:tc>
        <w:tc>
          <w:tcPr>
            <w:tcW w:w="88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7"/>
        </w:trPr>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60" w:type="dxa"/>
            <w:vAlign w:val="bottom"/>
            <w:gridSpan w:val="2"/>
            <w:vMerge w:val="continue"/>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6.</w:t>
            </w:r>
          </w:p>
        </w:tc>
        <w:tc>
          <w:tcPr>
            <w:tcW w:w="88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4,223,303 Ordinary Shares *</w:t>
            </w:r>
          </w:p>
        </w:tc>
        <w:tc>
          <w:tcPr>
            <w:tcW w:w="0" w:type="dxa"/>
            <w:vAlign w:val="bottom"/>
          </w:tcPr>
          <w:p>
            <w:pPr>
              <w:spacing w:after="0"/>
              <w:rPr>
                <w:sz w:val="1"/>
                <w:szCs w:val="1"/>
                <w:color w:val="auto"/>
              </w:rPr>
            </w:pPr>
          </w:p>
        </w:tc>
      </w:tr>
      <w:tr>
        <w:trPr>
          <w:trHeight w:val="116"/>
        </w:trPr>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60" w:type="dxa"/>
            <w:vAlign w:val="bottom"/>
            <w:gridSpan w:val="2"/>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7.</w:t>
            </w:r>
          </w:p>
        </w:tc>
        <w:tc>
          <w:tcPr>
            <w:tcW w:w="88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100"/>
              <w:spacing w:after="0"/>
              <w:rPr>
                <w:sz w:val="20"/>
                <w:szCs w:val="20"/>
                <w:color w:val="auto"/>
              </w:rPr>
            </w:pPr>
            <w:r>
              <w:rPr>
                <w:rFonts w:ascii="Arial" w:cs="Arial" w:eastAsia="Arial" w:hAnsi="Arial"/>
                <w:sz w:val="18"/>
                <w:szCs w:val="18"/>
                <w:color w:val="auto"/>
                <w:w w:val="91"/>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8.</w:t>
            </w:r>
          </w:p>
        </w:tc>
        <w:tc>
          <w:tcPr>
            <w:tcW w:w="88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4,223,303 Ordinary Shares *</w:t>
            </w:r>
          </w:p>
        </w:tc>
        <w:tc>
          <w:tcPr>
            <w:tcW w:w="0" w:type="dxa"/>
            <w:vAlign w:val="bottom"/>
          </w:tcPr>
          <w:p>
            <w:pPr>
              <w:spacing w:after="0"/>
              <w:rPr>
                <w:sz w:val="1"/>
                <w:szCs w:val="1"/>
                <w:color w:val="auto"/>
              </w:rPr>
            </w:pPr>
          </w:p>
        </w:tc>
      </w:tr>
      <w:tr>
        <w:trPr>
          <w:trHeight w:val="88"/>
        </w:trPr>
        <w:tc>
          <w:tcPr>
            <w:tcW w:w="10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8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9.</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4,223,303 Ordinary Shares *</w:t>
            </w:r>
          </w:p>
        </w:tc>
        <w:tc>
          <w:tcPr>
            <w:tcW w:w="0" w:type="dxa"/>
            <w:vAlign w:val="bottom"/>
          </w:tcPr>
          <w:p>
            <w:pPr>
              <w:spacing w:after="0"/>
              <w:rPr>
                <w:sz w:val="1"/>
                <w:szCs w:val="1"/>
                <w:color w:val="auto"/>
              </w:rPr>
            </w:pPr>
          </w:p>
        </w:tc>
      </w:tr>
      <w:tr>
        <w:trPr>
          <w:trHeight w:val="88"/>
        </w:trPr>
        <w:tc>
          <w:tcPr>
            <w:tcW w:w="10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18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3.85%**</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18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w:t>
            </w:r>
          </w:p>
        </w:tc>
        <w:tc>
          <w:tcPr>
            <w:tcW w:w="0" w:type="dxa"/>
            <w:vAlign w:val="bottom"/>
          </w:tcPr>
          <w:p>
            <w:pPr>
              <w:spacing w:after="0"/>
              <w:rPr>
                <w:sz w:val="1"/>
                <w:szCs w:val="1"/>
                <w:color w:val="auto"/>
              </w:rPr>
            </w:pPr>
          </w:p>
        </w:tc>
      </w:tr>
      <w:tr>
        <w:trPr>
          <w:trHeight w:val="43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HC</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Item 4.</w:t>
      </w:r>
    </w:p>
    <w:p>
      <w:pPr>
        <w:spacing w:after="0" w:line="21" w:lineRule="exact"/>
        <w:rPr>
          <w:sz w:val="20"/>
          <w:szCs w:val="20"/>
          <w:color w:val="auto"/>
        </w:rPr>
      </w:pPr>
    </w:p>
    <w:p>
      <w:pPr>
        <w:ind w:right="620" w:firstLine="8"/>
        <w:spacing w:after="0" w:line="259" w:lineRule="auto"/>
        <w:tabs>
          <w:tab w:leader="none" w:pos="27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109,589,209 ordinary shares issued and outstanding as of December 31, 2022 (according to publicly available information provided by the issuer).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TOWER SEMICONDUCTOR LTD</w:t>
      </w:r>
    </w:p>
    <w:p>
      <w:pPr>
        <w:spacing w:after="0" w:line="28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P.O.B 619 , Migdal Haemek 23105, Israel</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19"/>
          <w:szCs w:val="19"/>
          <w:color w:val="auto"/>
        </w:rPr>
        <w:t>Name of Person Filing, address and citizenship: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foregoing entity is referred to as the “Reporting Person” in this Statement:</w:t>
      </w:r>
    </w:p>
    <w:p>
      <w:pPr>
        <w:spacing w:after="0" w:line="247" w:lineRule="exact"/>
        <w:rPr>
          <w:sz w:val="20"/>
          <w:szCs w:val="20"/>
          <w:color w:val="auto"/>
        </w:rPr>
      </w:pPr>
    </w:p>
    <w:p>
      <w:pPr>
        <w:ind w:left="660" w:right="600"/>
        <w:spacing w:after="0" w:line="276" w:lineRule="auto"/>
        <w:rPr>
          <w:sz w:val="20"/>
          <w:szCs w:val="20"/>
          <w:color w:val="auto"/>
        </w:rPr>
      </w:pPr>
      <w:r>
        <w:rPr>
          <w:rFonts w:ascii="Arial" w:cs="Arial" w:eastAsia="Arial" w:hAnsi="Arial"/>
          <w:sz w:val="22"/>
          <w:szCs w:val="22"/>
          <w:color w:val="auto"/>
        </w:rPr>
        <w:t>Migdal Insurance &amp; Financial Holdings Ltd., an Israeli public company, with a principal business address at 4 Efal Street; P.O. Box 3063; Petach Tikva 49512, Israel.</w:t>
      </w:r>
    </w:p>
    <w:p>
      <w:pPr>
        <w:spacing w:after="0" w:line="22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Ordinary Shares, NIS 0.01 par value per share (the “Ordinary Shares”)</w:t>
      </w:r>
    </w:p>
    <w:p>
      <w:pPr>
        <w:spacing w:after="0" w:line="252" w:lineRule="exact"/>
        <w:rPr>
          <w:rFonts w:ascii="Arial" w:cs="Arial" w:eastAsia="Arial" w:hAnsi="Arial"/>
          <w:sz w:val="18"/>
          <w:szCs w:val="18"/>
          <w:color w:val="auto"/>
        </w:rPr>
      </w:pPr>
    </w:p>
    <w:p>
      <w:pPr>
        <w:ind w:left="660" w:right="9380" w:hanging="652"/>
        <w:spacing w:after="0" w:line="58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M87915274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 xml:space="preserve">Of the </w:t>
      </w:r>
      <w:r>
        <w:rPr>
          <w:rFonts w:ascii="Arial" w:cs="Arial" w:eastAsia="Arial" w:hAnsi="Arial"/>
          <w:sz w:val="19"/>
          <w:szCs w:val="19"/>
          <w:b w:val="1"/>
          <w:bCs w:val="1"/>
          <w:color w:val="auto"/>
        </w:rPr>
        <w:t>4,223,303</w:t>
      </w:r>
      <w:r>
        <w:rPr>
          <w:rFonts w:ascii="Arial" w:cs="Arial" w:eastAsia="Arial" w:hAnsi="Arial"/>
          <w:sz w:val="19"/>
          <w:szCs w:val="19"/>
          <w:color w:val="auto"/>
        </w:rPr>
        <w:t xml:space="preserve"> Ordinary Shares reported in this Statement as beneficially owned by the Reporting Person (i) </w:t>
      </w:r>
      <w:r>
        <w:rPr>
          <w:rFonts w:ascii="Arial" w:cs="Arial" w:eastAsia="Arial" w:hAnsi="Arial"/>
          <w:sz w:val="19"/>
          <w:szCs w:val="19"/>
          <w:b w:val="1"/>
          <w:bCs w:val="1"/>
          <w:color w:val="auto"/>
        </w:rPr>
        <w:t>4,223,303</w:t>
      </w:r>
      <w:r>
        <w:rPr>
          <w:rFonts w:ascii="Arial" w:cs="Arial" w:eastAsia="Arial" w:hAnsi="Arial"/>
          <w:sz w:val="19"/>
          <w:szCs w:val="19"/>
          <w:color w:val="auto"/>
        </w:rPr>
        <w:t xml:space="preserve"> Ordinary Shares are held for members of the public through, among others, provident funds, mutual funds, pension funds and insurance policies, which are managed by direct and indirect subsidiaries of Reporting Person, each of which subsidiaries operates under independent management and makes independent voting and investment decisions, and (ii) </w:t>
      </w:r>
      <w:r>
        <w:rPr>
          <w:rFonts w:ascii="Arial" w:cs="Arial" w:eastAsia="Arial" w:hAnsi="Arial"/>
          <w:sz w:val="19"/>
          <w:szCs w:val="19"/>
          <w:b w:val="1"/>
          <w:bCs w:val="1"/>
          <w:color w:val="auto"/>
        </w:rPr>
        <w:t xml:space="preserve">1,165,833 </w:t>
      </w:r>
      <w:r>
        <w:rPr>
          <w:rFonts w:ascii="Arial" w:cs="Arial" w:eastAsia="Arial" w:hAnsi="Arial"/>
          <w:sz w:val="19"/>
          <w:szCs w:val="19"/>
          <w:color w:val="auto"/>
        </w:rPr>
        <w:t>Ordinary Shares are held by companies for the management of funds for joint investments in trusteeship,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which operates under independent management and makes independent voting and investment decisions, and (iii) </w:t>
      </w:r>
      <w:r>
        <w:rPr>
          <w:rFonts w:ascii="Arial" w:cs="Arial" w:eastAsia="Arial" w:hAnsi="Arial"/>
          <w:sz w:val="19"/>
          <w:szCs w:val="19"/>
          <w:b w:val="1"/>
          <w:bCs w:val="1"/>
          <w:color w:val="auto"/>
        </w:rPr>
        <w:t>-</w:t>
      </w:r>
      <w:r>
        <w:rPr>
          <w:rFonts w:ascii="Arial" w:cs="Arial" w:eastAsia="Arial" w:hAnsi="Arial"/>
          <w:sz w:val="19"/>
          <w:szCs w:val="19"/>
          <w:color w:val="auto"/>
        </w:rPr>
        <w:t xml:space="preserve"> are beneficially held for their own account (Nostro account). Consequently, this Statement shall not be construed as an admission by the Reporting Person that it is the beneficial owner of </w:t>
      </w:r>
      <w:r>
        <w:rPr>
          <w:rFonts w:ascii="Arial" w:cs="Arial" w:eastAsia="Arial" w:hAnsi="Arial"/>
          <w:sz w:val="19"/>
          <w:szCs w:val="19"/>
          <w:b w:val="1"/>
          <w:bCs w:val="1"/>
          <w:color w:val="auto"/>
        </w:rPr>
        <w:t>4,223,303</w:t>
      </w:r>
      <w:r>
        <w:rPr>
          <w:rFonts w:ascii="Arial" w:cs="Arial" w:eastAsia="Arial" w:hAnsi="Arial"/>
          <w:sz w:val="19"/>
          <w:szCs w:val="19"/>
          <w:color w:val="auto"/>
        </w:rPr>
        <w:t xml:space="preserve"> Ordinary Shares reported in this Statement except as set forth above, see items 5-11 of the cover pages hereto for beneficial ownership, percentage of class and dispositive power of the Reporting Person, which are incorporated 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left="66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355" w:right="339" w:bottom="1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361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55" w:right="339" w:bottom="18"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10.Certification</w:t>
      </w:r>
    </w:p>
    <w:p>
      <w:pPr>
        <w:spacing w:after="0" w:line="24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to Item 7</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subsidiaries of reporting person may make independent voting and/or investment decisions for client accounts include: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Subsidiary Name</w:t>
            </w:r>
          </w:p>
        </w:tc>
        <w:tc>
          <w:tcPr>
            <w:tcW w:w="1780" w:type="dxa"/>
            <w:vAlign w:val="bottom"/>
            <w:tcBorders>
              <w:top w:val="single" w:sz="8" w:color="auto"/>
              <w:right w:val="single" w:sz="8" w:color="auto"/>
            </w:tcBorders>
          </w:tcPr>
          <w:p>
            <w:pPr>
              <w:spacing w:after="0"/>
              <w:rPr>
                <w:sz w:val="23"/>
                <w:szCs w:val="23"/>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Type of Subsidiary</w:t>
            </w:r>
          </w:p>
        </w:tc>
      </w:tr>
      <w:tr>
        <w:trPr>
          <w:trHeight w:val="54"/>
        </w:trPr>
        <w:tc>
          <w:tcPr>
            <w:tcW w:w="3860" w:type="dxa"/>
            <w:vAlign w:val="bottom"/>
            <w:tcBorders>
              <w:left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50"/>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Migdal Insurance Company ltd.</w:t>
            </w:r>
          </w:p>
        </w:tc>
        <w:tc>
          <w:tcPr>
            <w:tcW w:w="1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54"/>
        </w:trPr>
        <w:tc>
          <w:tcPr>
            <w:tcW w:w="3860" w:type="dxa"/>
            <w:vAlign w:val="bottom"/>
            <w:tcBorders>
              <w:left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50"/>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6"/>
              </w:rPr>
              <w:t>Migdal Makefet Pension and Provident Funds ltd.</w:t>
            </w:r>
          </w:p>
        </w:tc>
        <w:tc>
          <w:tcPr>
            <w:tcW w:w="1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54"/>
        </w:trPr>
        <w:tc>
          <w:tcPr>
            <w:tcW w:w="3860" w:type="dxa"/>
            <w:vAlign w:val="bottom"/>
            <w:tcBorders>
              <w:left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50"/>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Yozma Pension Fund for Self Employed Ltd.</w:t>
            </w:r>
          </w:p>
        </w:tc>
        <w:tc>
          <w:tcPr>
            <w:tcW w:w="1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51"/>
        </w:trPr>
        <w:tc>
          <w:tcPr>
            <w:tcW w:w="3860" w:type="dxa"/>
            <w:vAlign w:val="bottom"/>
            <w:tcBorders>
              <w:left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53"/>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Migdal Mutual Funds Ltd</w:t>
            </w:r>
          </w:p>
        </w:tc>
        <w:tc>
          <w:tcPr>
            <w:tcW w:w="178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51"/>
        </w:trPr>
        <w:tc>
          <w:tcPr>
            <w:tcW w:w="3860" w:type="dxa"/>
            <w:vAlign w:val="bottom"/>
            <w:tcBorders>
              <w:left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520"/>
        </w:trPr>
        <w:tc>
          <w:tcPr>
            <w:tcW w:w="3860" w:type="dxa"/>
            <w:vAlign w:val="bottom"/>
          </w:tcPr>
          <w:p>
            <w:pPr>
              <w:spacing w:after="0"/>
              <w:rPr>
                <w:sz w:val="24"/>
                <w:szCs w:val="24"/>
                <w:color w:val="auto"/>
              </w:rPr>
            </w:pPr>
          </w:p>
        </w:tc>
        <w:tc>
          <w:tcPr>
            <w:tcW w:w="7400" w:type="dxa"/>
            <w:vAlign w:val="bottom"/>
            <w:gridSpan w:val="2"/>
          </w:tcPr>
          <w:p>
            <w:pPr>
              <w:jc w:val="center"/>
              <w:ind w:right="3770"/>
              <w:spacing w:after="0"/>
              <w:rPr>
                <w:sz w:val="20"/>
                <w:szCs w:val="20"/>
                <w:color w:val="auto"/>
              </w:rPr>
            </w:pPr>
            <w:r>
              <w:rPr>
                <w:rFonts w:ascii="Arial" w:cs="Arial" w:eastAsia="Arial" w:hAnsi="Arial"/>
                <w:sz w:val="22"/>
                <w:szCs w:val="22"/>
                <w:i w:val="1"/>
                <w:iCs w:val="1"/>
                <w:color w:val="auto"/>
                <w:w w:val="91"/>
              </w:rPr>
              <w:t>[SIGNATURE PAGE TO FOLLOW]</w:t>
            </w:r>
          </w:p>
        </w:tc>
      </w:tr>
      <w:tr>
        <w:trPr>
          <w:trHeight w:val="486"/>
        </w:trPr>
        <w:tc>
          <w:tcPr>
            <w:tcW w:w="3860" w:type="dxa"/>
            <w:vAlign w:val="bottom"/>
          </w:tcPr>
          <w:p>
            <w:pPr>
              <w:spacing w:after="0"/>
              <w:rPr>
                <w:sz w:val="24"/>
                <w:szCs w:val="24"/>
                <w:color w:val="auto"/>
              </w:rPr>
            </w:pPr>
          </w:p>
        </w:tc>
        <w:tc>
          <w:tcPr>
            <w:tcW w:w="7400" w:type="dxa"/>
            <w:vAlign w:val="bottom"/>
            <w:gridSpan w:val="2"/>
          </w:tcPr>
          <w:p>
            <w:pPr>
              <w:jc w:val="center"/>
              <w:ind w:right="3790"/>
              <w:spacing w:after="0"/>
              <w:rPr>
                <w:sz w:val="20"/>
                <w:szCs w:val="20"/>
                <w:color w:val="auto"/>
              </w:rPr>
            </w:pPr>
            <w:r>
              <w:rPr>
                <w:rFonts w:ascii="Arial" w:cs="Arial" w:eastAsia="Arial" w:hAnsi="Arial"/>
                <w:sz w:val="22"/>
                <w:szCs w:val="22"/>
                <w:color w:val="auto"/>
                <w:w w:val="85"/>
              </w:rPr>
              <w:t>Page 4 of 5 pages</w:t>
            </w:r>
          </w:p>
        </w:tc>
      </w:tr>
      <w:tr>
        <w:trPr>
          <w:trHeight w:val="122"/>
        </w:trPr>
        <w:tc>
          <w:tcPr>
            <w:tcW w:w="38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MIGDAL INSURANCE AND FINANCIAL HOLDINGS LTD.</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Tal Cohen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signatory of MIGDAL INSURANCE AND FINANCIAL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HOLDINGS LTD.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2023-01-26T05:12:41Z</dcterms:created>
  <dcterms:modified xsi:type="dcterms:W3CDTF">2023-01-26T05:12:41Z</dcterms:modified>
</cp:coreProperties>
</file>