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June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28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20"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23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M87915274</w:t>
            </w:r>
          </w:p>
        </w:tc>
        <w:tc>
          <w:tcPr>
            <w:tcW w:w="636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2 of 8 Pages</w:t>
            </w:r>
          </w:p>
        </w:tc>
        <w:tc>
          <w:tcPr>
            <w:tcW w:w="0" w:type="dxa"/>
            <w:vAlign w:val="bottom"/>
          </w:tcPr>
          <w:p>
            <w:pPr>
              <w:spacing w:after="0"/>
              <w:rPr>
                <w:sz w:val="1"/>
                <w:szCs w:val="1"/>
                <w:color w:val="auto"/>
              </w:rPr>
            </w:pPr>
          </w:p>
        </w:tc>
      </w:tr>
      <w:tr>
        <w:trPr>
          <w:trHeight w:val="334"/>
        </w:trPr>
        <w:tc>
          <w:tcPr>
            <w:tcW w:w="19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6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360" w:type="dxa"/>
            <w:vAlign w:val="bottom"/>
            <w:vMerge w:val="restart"/>
          </w:tcPr>
          <w:p>
            <w:pPr>
              <w:ind w:left="380"/>
              <w:spacing w:after="0"/>
              <w:rPr>
                <w:sz w:val="20"/>
                <w:szCs w:val="20"/>
                <w:color w:val="auto"/>
              </w:rPr>
            </w:pPr>
            <w:r>
              <w:rPr>
                <w:rFonts w:ascii="Arial" w:cs="Arial" w:eastAsia="Arial" w:hAnsi="Arial"/>
                <w:sz w:val="20"/>
                <w:szCs w:val="20"/>
                <w:color w:val="auto"/>
              </w:rPr>
              <w:t>Senvest Management, LLC</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6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920" w:type="dxa"/>
            <w:vAlign w:val="bottom"/>
            <w:vMerge w:val="continue"/>
          </w:tcPr>
          <w:p>
            <w:pPr>
              <w:spacing w:after="0"/>
              <w:rPr>
                <w:sz w:val="7"/>
                <w:szCs w:val="7"/>
                <w:color w:val="auto"/>
              </w:rPr>
            </w:pPr>
          </w:p>
        </w:tc>
        <w:tc>
          <w:tcPr>
            <w:tcW w:w="636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9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6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8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88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w w:val="89"/>
              </w:rPr>
              <w:t>5,007,892 (including 100,000 Ordinary Shares issuable upon exercise of options)</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68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8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68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88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w w:val="89"/>
              </w:rPr>
              <w:t>5,007,892 (including 100,000 Ordinary Shares issuable upon exercise of options)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400" w:type="dxa"/>
            <w:vAlign w:val="bottom"/>
            <w:gridSpan w:val="2"/>
            <w:vMerge w:val="restart"/>
          </w:tcPr>
          <w:p>
            <w:pPr>
              <w:ind w:left="460"/>
              <w:spacing w:after="0"/>
              <w:rPr>
                <w:sz w:val="20"/>
                <w:szCs w:val="20"/>
                <w:color w:val="auto"/>
              </w:rPr>
            </w:pPr>
            <w:r>
              <w:rPr>
                <w:rFonts w:ascii="Arial" w:cs="Arial" w:eastAsia="Arial" w:hAnsi="Arial"/>
                <w:sz w:val="20"/>
                <w:szCs w:val="20"/>
                <w:color w:val="auto"/>
              </w:rPr>
              <w:t>5,007,892 (including 100,000 Ordinary Shares issuable upon exercise of options)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40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180" w:type="dxa"/>
            <w:vAlign w:val="bottom"/>
          </w:tcPr>
          <w:p>
            <w:pPr>
              <w:ind w:left="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5.1%</w:t>
            </w:r>
          </w:p>
        </w:tc>
        <w:tc>
          <w:tcPr>
            <w:tcW w:w="6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 IA</w:t>
            </w:r>
          </w:p>
        </w:tc>
        <w:tc>
          <w:tcPr>
            <w:tcW w:w="6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M87915274</w:t>
            </w:r>
          </w:p>
        </w:tc>
        <w:tc>
          <w:tcPr>
            <w:tcW w:w="636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3 of 8 Pages</w:t>
            </w:r>
          </w:p>
        </w:tc>
        <w:tc>
          <w:tcPr>
            <w:tcW w:w="0" w:type="dxa"/>
            <w:vAlign w:val="bottom"/>
          </w:tcPr>
          <w:p>
            <w:pPr>
              <w:spacing w:after="0"/>
              <w:rPr>
                <w:sz w:val="1"/>
                <w:szCs w:val="1"/>
                <w:color w:val="auto"/>
              </w:rPr>
            </w:pPr>
          </w:p>
        </w:tc>
      </w:tr>
      <w:tr>
        <w:trPr>
          <w:trHeight w:val="563"/>
        </w:trPr>
        <w:tc>
          <w:tcPr>
            <w:tcW w:w="19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36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6360" w:type="dxa"/>
            <w:vAlign w:val="bottom"/>
            <w:vMerge w:val="restart"/>
          </w:tcPr>
          <w:p>
            <w:pPr>
              <w:ind w:left="380"/>
              <w:spacing w:after="0"/>
              <w:rPr>
                <w:sz w:val="20"/>
                <w:szCs w:val="20"/>
                <w:color w:val="auto"/>
              </w:rPr>
            </w:pPr>
            <w:r>
              <w:rPr>
                <w:rFonts w:ascii="Arial" w:cs="Arial" w:eastAsia="Arial" w:hAnsi="Arial"/>
                <w:sz w:val="20"/>
                <w:szCs w:val="20"/>
                <w:color w:val="auto"/>
              </w:rPr>
              <w:t>Richard Mashaal</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92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2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92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36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920" w:type="dxa"/>
            <w:vAlign w:val="bottom"/>
            <w:vMerge w:val="continue"/>
          </w:tcPr>
          <w:p>
            <w:pPr>
              <w:spacing w:after="0"/>
              <w:rPr>
                <w:sz w:val="7"/>
                <w:szCs w:val="7"/>
                <w:color w:val="auto"/>
              </w:rPr>
            </w:pPr>
          </w:p>
        </w:tc>
        <w:tc>
          <w:tcPr>
            <w:tcW w:w="636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9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82"/>
              </w:rPr>
              <w:t>Canada</w:t>
            </w:r>
          </w:p>
        </w:tc>
        <w:tc>
          <w:tcPr>
            <w:tcW w:w="6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68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6</w:t>
            </w:r>
          </w:p>
        </w:tc>
        <w:tc>
          <w:tcPr>
            <w:tcW w:w="688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w w:val="89"/>
              </w:rPr>
              <w:t>5,007,892 (including 100,000 Ordinary Shares issuable upon exercise of options)</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68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7</w:t>
            </w:r>
          </w:p>
        </w:tc>
        <w:tc>
          <w:tcPr>
            <w:tcW w:w="68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68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8</w:t>
            </w:r>
          </w:p>
        </w:tc>
        <w:tc>
          <w:tcPr>
            <w:tcW w:w="688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w w:val="89"/>
              </w:rPr>
              <w:t>5,007,892 (including 100,000 Ordinary Shares issuable upon exercise of options)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400" w:type="dxa"/>
            <w:vAlign w:val="bottom"/>
            <w:gridSpan w:val="2"/>
            <w:vMerge w:val="restart"/>
          </w:tcPr>
          <w:p>
            <w:pPr>
              <w:ind w:left="460"/>
              <w:spacing w:after="0"/>
              <w:rPr>
                <w:sz w:val="20"/>
                <w:szCs w:val="20"/>
                <w:color w:val="auto"/>
              </w:rPr>
            </w:pPr>
            <w:r>
              <w:rPr>
                <w:rFonts w:ascii="Arial" w:cs="Arial" w:eastAsia="Arial" w:hAnsi="Arial"/>
                <w:sz w:val="20"/>
                <w:szCs w:val="20"/>
                <w:color w:val="auto"/>
              </w:rPr>
              <w:t>5,007,892 (including 100,000 Ordinary Shares issuable upon exercise of options)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40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180" w:type="dxa"/>
            <w:vAlign w:val="bottom"/>
          </w:tcPr>
          <w:p>
            <w:pPr>
              <w:ind w:left="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5.1%</w:t>
            </w:r>
          </w:p>
        </w:tc>
        <w:tc>
          <w:tcPr>
            <w:tcW w:w="6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96"/>
              </w:rPr>
              <w:t>IN, HC</w:t>
            </w:r>
          </w:p>
        </w:tc>
        <w:tc>
          <w:tcPr>
            <w:tcW w:w="6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2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60" w:type="dxa"/>
            <w:vAlign w:val="bottom"/>
            <w:gridSpan w:val="5"/>
          </w:tcPr>
          <w:p>
            <w:pPr>
              <w:ind w:left="500"/>
              <w:spacing w:after="0"/>
              <w:rPr>
                <w:sz w:val="20"/>
                <w:szCs w:val="20"/>
                <w:color w:val="auto"/>
              </w:rPr>
            </w:pPr>
            <w:r>
              <w:rPr>
                <w:rFonts w:ascii="Arial" w:cs="Arial" w:eastAsia="Arial" w:hAnsi="Arial"/>
                <w:sz w:val="20"/>
                <w:szCs w:val="20"/>
                <w:b w:val="1"/>
                <w:bCs w:val="1"/>
                <w:color w:val="auto"/>
              </w:rPr>
              <w:t>Name of Issuer.</w:t>
            </w:r>
          </w:p>
        </w:tc>
      </w:tr>
      <w:tr>
        <w:trPr>
          <w:trHeight w:val="415"/>
        </w:trPr>
        <w:tc>
          <w:tcPr>
            <w:tcW w:w="1220" w:type="dxa"/>
            <w:vAlign w:val="bottom"/>
          </w:tcPr>
          <w:p>
            <w:pPr>
              <w:spacing w:after="0"/>
              <w:rPr>
                <w:sz w:val="24"/>
                <w:szCs w:val="24"/>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Tower Semiconductor Ltd. (the "Issuer")</w:t>
            </w:r>
          </w:p>
        </w:tc>
      </w:tr>
      <w:tr>
        <w:trPr>
          <w:trHeight w:val="20"/>
        </w:trPr>
        <w:tc>
          <w:tcPr>
            <w:tcW w:w="1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84"/>
        </w:trPr>
        <w:tc>
          <w:tcPr>
            <w:tcW w:w="122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60" w:type="dxa"/>
            <w:vAlign w:val="bottom"/>
            <w:gridSpan w:val="5"/>
          </w:tcPr>
          <w:p>
            <w:pPr>
              <w:ind w:left="50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20" w:type="dxa"/>
            <w:vAlign w:val="bottom"/>
          </w:tcPr>
          <w:p>
            <w:pPr>
              <w:spacing w:after="0"/>
              <w:rPr>
                <w:sz w:val="24"/>
                <w:szCs w:val="24"/>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Ramat Gavriel Industrial Park</w:t>
            </w:r>
          </w:p>
        </w:tc>
      </w:tr>
      <w:tr>
        <w:trPr>
          <w:trHeight w:val="250"/>
        </w:trPr>
        <w:tc>
          <w:tcPr>
            <w:tcW w:w="1220" w:type="dxa"/>
            <w:vAlign w:val="bottom"/>
          </w:tcPr>
          <w:p>
            <w:pPr>
              <w:spacing w:after="0"/>
              <w:rPr>
                <w:sz w:val="21"/>
                <w:szCs w:val="21"/>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P.O. Box 619, Migdal Haemek, Israel 2310502</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960" w:type="dxa"/>
            <w:vAlign w:val="bottom"/>
            <w:gridSpan w:val="5"/>
          </w:tcPr>
          <w:p>
            <w:pPr>
              <w:ind w:left="50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20" w:type="dxa"/>
            <w:vAlign w:val="bottom"/>
          </w:tcPr>
          <w:p>
            <w:pPr>
              <w:spacing w:after="0"/>
              <w:rPr>
                <w:sz w:val="21"/>
                <w:szCs w:val="21"/>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38"/>
        </w:trPr>
        <w:tc>
          <w:tcPr>
            <w:tcW w:w="1220" w:type="dxa"/>
            <w:vAlign w:val="bottom"/>
          </w:tcPr>
          <w:p>
            <w:pPr>
              <w:spacing w:after="0"/>
              <w:rPr>
                <w:sz w:val="24"/>
                <w:szCs w:val="24"/>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w w:val="90"/>
              </w:rPr>
              <w:t>The reported securities are held in the accounts of Senvest Master Fund, LP, Senvest Israel Partners Master Fund, LP</w:t>
            </w:r>
          </w:p>
        </w:tc>
      </w:tr>
      <w:tr>
        <w:trPr>
          <w:trHeight w:val="206"/>
        </w:trPr>
        <w:tc>
          <w:tcPr>
            <w:tcW w:w="1220" w:type="dxa"/>
            <w:vAlign w:val="bottom"/>
          </w:tcPr>
          <w:p>
            <w:pPr>
              <w:spacing w:after="0"/>
              <w:rPr>
                <w:sz w:val="17"/>
                <w:szCs w:val="17"/>
                <w:color w:val="auto"/>
              </w:rPr>
            </w:pPr>
          </w:p>
        </w:tc>
        <w:tc>
          <w:tcPr>
            <w:tcW w:w="9960" w:type="dxa"/>
            <w:vAlign w:val="bottom"/>
            <w:gridSpan w:val="5"/>
          </w:tcPr>
          <w:p>
            <w:pPr>
              <w:ind w:left="500"/>
              <w:spacing w:after="0" w:line="206" w:lineRule="exact"/>
              <w:rPr>
                <w:sz w:val="20"/>
                <w:szCs w:val="20"/>
                <w:color w:val="auto"/>
              </w:rPr>
            </w:pPr>
            <w:r>
              <w:rPr>
                <w:rFonts w:ascii="Arial" w:cs="Arial" w:eastAsia="Arial" w:hAnsi="Arial"/>
                <w:sz w:val="20"/>
                <w:szCs w:val="20"/>
                <w:color w:val="auto"/>
              </w:rPr>
              <w:t>and Senvest Global (KY), LP (collectively, the "Investment Vehicles").</w:t>
            </w:r>
          </w:p>
        </w:tc>
      </w:tr>
      <w:tr>
        <w:trPr>
          <w:trHeight w:val="20"/>
        </w:trPr>
        <w:tc>
          <w:tcPr>
            <w:tcW w:w="12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63"/>
        </w:trPr>
        <w:tc>
          <w:tcPr>
            <w:tcW w:w="1220" w:type="dxa"/>
            <w:vAlign w:val="bottom"/>
          </w:tcPr>
          <w:p>
            <w:pPr>
              <w:spacing w:after="0"/>
              <w:rPr>
                <w:sz w:val="24"/>
                <w:szCs w:val="24"/>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w w:val="89"/>
              </w:rPr>
              <w:t>Senvest Management, LLC may be deemed to beneficially own the securities held by the Investment Vehicles by virtue</w:t>
            </w:r>
          </w:p>
        </w:tc>
      </w:tr>
      <w:tr>
        <w:trPr>
          <w:trHeight w:val="230"/>
        </w:trPr>
        <w:tc>
          <w:tcPr>
            <w:tcW w:w="1220" w:type="dxa"/>
            <w:vAlign w:val="bottom"/>
          </w:tcPr>
          <w:p>
            <w:pPr>
              <w:spacing w:after="0"/>
              <w:rPr>
                <w:sz w:val="19"/>
                <w:szCs w:val="19"/>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w w:val="90"/>
              </w:rPr>
              <w:t>of Senvest Management, LLC's position as investment manager of each of the Investment Vehicles. Mr. Mashaal may</w:t>
            </w:r>
          </w:p>
        </w:tc>
      </w:tr>
      <w:tr>
        <w:trPr>
          <w:trHeight w:val="230"/>
        </w:trPr>
        <w:tc>
          <w:tcPr>
            <w:tcW w:w="1220" w:type="dxa"/>
            <w:vAlign w:val="bottom"/>
          </w:tcPr>
          <w:p>
            <w:pPr>
              <w:spacing w:after="0"/>
              <w:rPr>
                <w:sz w:val="19"/>
                <w:szCs w:val="19"/>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w w:val="91"/>
              </w:rPr>
              <w:t>be deemed to beneficially own the securities held by the Investment Vehicles by virtue of Mr. Mashaal's status as the</w:t>
            </w:r>
          </w:p>
        </w:tc>
      </w:tr>
      <w:tr>
        <w:trPr>
          <w:trHeight w:val="230"/>
        </w:trPr>
        <w:tc>
          <w:tcPr>
            <w:tcW w:w="1220" w:type="dxa"/>
            <w:vAlign w:val="bottom"/>
          </w:tcPr>
          <w:p>
            <w:pPr>
              <w:spacing w:after="0"/>
              <w:rPr>
                <w:sz w:val="19"/>
                <w:szCs w:val="19"/>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w w:val="93"/>
              </w:rPr>
              <w:t>managing member of Senvest Management, LLC. None of the foregoing should be construed in and of itself as an</w:t>
            </w:r>
          </w:p>
        </w:tc>
      </w:tr>
      <w:tr>
        <w:trPr>
          <w:trHeight w:val="250"/>
        </w:trPr>
        <w:tc>
          <w:tcPr>
            <w:tcW w:w="1220" w:type="dxa"/>
            <w:vAlign w:val="bottom"/>
          </w:tcPr>
          <w:p>
            <w:pPr>
              <w:spacing w:after="0"/>
              <w:rPr>
                <w:sz w:val="21"/>
                <w:szCs w:val="21"/>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admission by any Reporting Person as to beneficial ownership of the securities reported herein.</w:t>
            </w:r>
          </w:p>
        </w:tc>
      </w:tr>
      <w:tr>
        <w:trPr>
          <w:trHeight w:val="438"/>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960" w:type="dxa"/>
            <w:vAlign w:val="bottom"/>
            <w:gridSpan w:val="5"/>
          </w:tcPr>
          <w:p>
            <w:pPr>
              <w:ind w:left="50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234"/>
        </w:trPr>
        <w:tc>
          <w:tcPr>
            <w:tcW w:w="1220" w:type="dxa"/>
            <w:vAlign w:val="bottom"/>
          </w:tcPr>
          <w:p>
            <w:pPr>
              <w:spacing w:after="0"/>
              <w:rPr>
                <w:sz w:val="20"/>
                <w:szCs w:val="20"/>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Senvest Management, LLC</w:t>
            </w:r>
          </w:p>
        </w:tc>
      </w:tr>
      <w:tr>
        <w:trPr>
          <w:trHeight w:val="279"/>
        </w:trPr>
        <w:tc>
          <w:tcPr>
            <w:tcW w:w="1220" w:type="dxa"/>
            <w:vAlign w:val="bottom"/>
          </w:tcPr>
          <w:p>
            <w:pPr>
              <w:spacing w:after="0"/>
              <w:rPr>
                <w:sz w:val="24"/>
                <w:szCs w:val="24"/>
                <w:color w:val="auto"/>
              </w:rPr>
            </w:pPr>
          </w:p>
        </w:tc>
        <w:tc>
          <w:tcPr>
            <w:tcW w:w="9960" w:type="dxa"/>
            <w:vAlign w:val="bottom"/>
            <w:gridSpan w:val="5"/>
          </w:tcPr>
          <w:p>
            <w:pPr>
              <w:ind w:left="500"/>
              <w:spacing w:after="0" w:line="280" w:lineRule="exact"/>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tc>
      </w:tr>
      <w:tr>
        <w:trPr>
          <w:trHeight w:val="250"/>
        </w:trPr>
        <w:tc>
          <w:tcPr>
            <w:tcW w:w="1220" w:type="dxa"/>
            <w:vAlign w:val="bottom"/>
          </w:tcPr>
          <w:p>
            <w:pPr>
              <w:spacing w:after="0"/>
              <w:rPr>
                <w:sz w:val="21"/>
                <w:szCs w:val="21"/>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New York, New York 10022</w:t>
            </w:r>
          </w:p>
        </w:tc>
      </w:tr>
      <w:tr>
        <w:trPr>
          <w:trHeight w:val="438"/>
        </w:trPr>
        <w:tc>
          <w:tcPr>
            <w:tcW w:w="1220" w:type="dxa"/>
            <w:vAlign w:val="bottom"/>
          </w:tcPr>
          <w:p>
            <w:pPr>
              <w:spacing w:after="0"/>
              <w:rPr>
                <w:sz w:val="24"/>
                <w:szCs w:val="24"/>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Richard Mashaal</w:t>
            </w:r>
          </w:p>
        </w:tc>
      </w:tr>
      <w:tr>
        <w:trPr>
          <w:trHeight w:val="234"/>
        </w:trPr>
        <w:tc>
          <w:tcPr>
            <w:tcW w:w="1220" w:type="dxa"/>
            <w:vAlign w:val="bottom"/>
          </w:tcPr>
          <w:p>
            <w:pPr>
              <w:spacing w:after="0"/>
              <w:rPr>
                <w:sz w:val="20"/>
                <w:szCs w:val="20"/>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c/o Senvest Management, LLC</w:t>
            </w:r>
          </w:p>
        </w:tc>
      </w:tr>
      <w:tr>
        <w:trPr>
          <w:trHeight w:val="279"/>
        </w:trPr>
        <w:tc>
          <w:tcPr>
            <w:tcW w:w="1220" w:type="dxa"/>
            <w:vAlign w:val="bottom"/>
          </w:tcPr>
          <w:p>
            <w:pPr>
              <w:spacing w:after="0"/>
              <w:rPr>
                <w:sz w:val="24"/>
                <w:szCs w:val="24"/>
                <w:color w:val="auto"/>
              </w:rPr>
            </w:pPr>
          </w:p>
        </w:tc>
        <w:tc>
          <w:tcPr>
            <w:tcW w:w="9960" w:type="dxa"/>
            <w:vAlign w:val="bottom"/>
            <w:gridSpan w:val="5"/>
          </w:tcPr>
          <w:p>
            <w:pPr>
              <w:ind w:left="500"/>
              <w:spacing w:after="0" w:line="280" w:lineRule="exact"/>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tc>
      </w:tr>
      <w:tr>
        <w:trPr>
          <w:trHeight w:val="250"/>
        </w:trPr>
        <w:tc>
          <w:tcPr>
            <w:tcW w:w="1220" w:type="dxa"/>
            <w:vAlign w:val="bottom"/>
          </w:tcPr>
          <w:p>
            <w:pPr>
              <w:spacing w:after="0"/>
              <w:rPr>
                <w:sz w:val="21"/>
                <w:szCs w:val="21"/>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New York, New York 10022</w:t>
            </w:r>
          </w:p>
        </w:tc>
      </w:tr>
      <w:tr>
        <w:trPr>
          <w:trHeight w:val="459"/>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60" w:type="dxa"/>
            <w:vAlign w:val="bottom"/>
            <w:gridSpan w:val="5"/>
          </w:tcPr>
          <w:p>
            <w:pPr>
              <w:ind w:left="500"/>
              <w:spacing w:after="0"/>
              <w:rPr>
                <w:sz w:val="20"/>
                <w:szCs w:val="20"/>
                <w:color w:val="auto"/>
              </w:rPr>
            </w:pPr>
            <w:r>
              <w:rPr>
                <w:rFonts w:ascii="Arial" w:cs="Arial" w:eastAsia="Arial" w:hAnsi="Arial"/>
                <w:sz w:val="20"/>
                <w:szCs w:val="20"/>
                <w:b w:val="1"/>
                <w:bCs w:val="1"/>
                <w:color w:val="auto"/>
              </w:rPr>
              <w:t>Place of Organization.</w:t>
            </w:r>
          </w:p>
        </w:tc>
      </w:tr>
      <w:tr>
        <w:trPr>
          <w:trHeight w:val="438"/>
        </w:trPr>
        <w:tc>
          <w:tcPr>
            <w:tcW w:w="1220" w:type="dxa"/>
            <w:vAlign w:val="bottom"/>
          </w:tcPr>
          <w:p>
            <w:pPr>
              <w:spacing w:after="0"/>
              <w:rPr>
                <w:sz w:val="24"/>
                <w:szCs w:val="24"/>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Senvest Management, LLC – Delaware</w:t>
            </w:r>
          </w:p>
        </w:tc>
      </w:tr>
      <w:tr>
        <w:trPr>
          <w:trHeight w:val="250"/>
        </w:trPr>
        <w:tc>
          <w:tcPr>
            <w:tcW w:w="1220" w:type="dxa"/>
            <w:vAlign w:val="bottom"/>
          </w:tcPr>
          <w:p>
            <w:pPr>
              <w:spacing w:after="0"/>
              <w:rPr>
                <w:sz w:val="21"/>
                <w:szCs w:val="21"/>
                <w:color w:val="auto"/>
              </w:rPr>
            </w:pPr>
          </w:p>
        </w:tc>
        <w:tc>
          <w:tcPr>
            <w:tcW w:w="9960" w:type="dxa"/>
            <w:vAlign w:val="bottom"/>
            <w:gridSpan w:val="5"/>
          </w:tcPr>
          <w:p>
            <w:pPr>
              <w:ind w:left="500"/>
              <w:spacing w:after="0"/>
              <w:rPr>
                <w:sz w:val="20"/>
                <w:szCs w:val="20"/>
                <w:color w:val="auto"/>
              </w:rPr>
            </w:pPr>
            <w:r>
              <w:rPr>
                <w:rFonts w:ascii="Arial" w:cs="Arial" w:eastAsia="Arial" w:hAnsi="Arial"/>
                <w:sz w:val="20"/>
                <w:szCs w:val="20"/>
                <w:color w:val="auto"/>
              </w:rPr>
              <w:t>Richard Mashaal – Canada</w:t>
            </w:r>
          </w:p>
        </w:tc>
      </w:tr>
      <w:tr>
        <w:trPr>
          <w:trHeight w:val="459"/>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60" w:type="dxa"/>
            <w:vAlign w:val="bottom"/>
            <w:gridSpan w:val="5"/>
          </w:tcPr>
          <w:p>
            <w:pPr>
              <w:ind w:left="40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20" w:type="dxa"/>
            <w:vAlign w:val="bottom"/>
          </w:tcPr>
          <w:p>
            <w:pPr>
              <w:spacing w:after="0"/>
              <w:rPr>
                <w:sz w:val="24"/>
                <w:szCs w:val="24"/>
                <w:color w:val="auto"/>
              </w:rPr>
            </w:pPr>
          </w:p>
        </w:tc>
        <w:tc>
          <w:tcPr>
            <w:tcW w:w="9960" w:type="dxa"/>
            <w:vAlign w:val="bottom"/>
            <w:gridSpan w:val="5"/>
          </w:tcPr>
          <w:p>
            <w:pPr>
              <w:ind w:left="400"/>
              <w:spacing w:after="0"/>
              <w:rPr>
                <w:sz w:val="20"/>
                <w:szCs w:val="20"/>
                <w:color w:val="auto"/>
              </w:rPr>
            </w:pPr>
            <w:r>
              <w:rPr>
                <w:rFonts w:ascii="Arial" w:cs="Arial" w:eastAsia="Arial" w:hAnsi="Arial"/>
                <w:sz w:val="20"/>
                <w:szCs w:val="20"/>
                <w:color w:val="auto"/>
              </w:rPr>
              <w:t>Ordinary Shares, par value NIS 15.00 per share</w:t>
            </w:r>
          </w:p>
        </w:tc>
      </w:tr>
      <w:tr>
        <w:trPr>
          <w:trHeight w:val="459"/>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60" w:type="dxa"/>
            <w:vAlign w:val="bottom"/>
            <w:gridSpan w:val="5"/>
          </w:tcPr>
          <w:p>
            <w:pPr>
              <w:ind w:left="40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20" w:type="dxa"/>
            <w:vAlign w:val="bottom"/>
          </w:tcPr>
          <w:p>
            <w:pPr>
              <w:spacing w:after="0"/>
              <w:rPr>
                <w:sz w:val="24"/>
                <w:szCs w:val="24"/>
                <w:color w:val="auto"/>
              </w:rPr>
            </w:pPr>
          </w:p>
        </w:tc>
        <w:tc>
          <w:tcPr>
            <w:tcW w:w="9960" w:type="dxa"/>
            <w:vAlign w:val="bottom"/>
            <w:gridSpan w:val="5"/>
          </w:tcPr>
          <w:p>
            <w:pPr>
              <w:ind w:left="400"/>
              <w:spacing w:after="0"/>
              <w:rPr>
                <w:sz w:val="20"/>
                <w:szCs w:val="20"/>
                <w:color w:val="auto"/>
              </w:rPr>
            </w:pPr>
            <w:r>
              <w:rPr>
                <w:rFonts w:ascii="Arial" w:cs="Arial" w:eastAsia="Arial" w:hAnsi="Arial"/>
                <w:sz w:val="20"/>
                <w:szCs w:val="20"/>
                <w:color w:val="auto"/>
              </w:rPr>
              <w:t>M87915274</w:t>
            </w:r>
          </w:p>
        </w:tc>
      </w:tr>
    </w:tbl>
    <w:p>
      <w:pPr>
        <w:sectPr>
          <w:pgSz w:w="11900" w:h="16838" w:orient="portrait"/>
          <w:cols w:equalWidth="0" w:num="1">
            <w:col w:w="11420"/>
          </w:cols>
          <w:pgMar w:left="240" w:top="225" w:right="239" w:bottom="1440" w:gutter="0" w:footer="0" w:header="0"/>
          <w:type w:val="continuous"/>
        </w:sectPr>
      </w:pPr>
    </w:p>
    <w:bookmarkStart w:id="4" w:name="page5"/>
    <w:bookmarkEnd w:id="4"/>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820" w:right="100" w:hanging="1714"/>
        <w:spacing w:after="0" w:line="251" w:lineRule="auto"/>
        <w:tabs>
          <w:tab w:leader="none" w:pos="18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 whether the Person Filing is a:</w:t>
      </w: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189"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200" w:right="340" w:hanging="1380"/>
        <w:spacing w:after="0" w:line="252" w:lineRule="exact"/>
        <w:tabs>
          <w:tab w:leader="none" w:pos="2732"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3"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 240.13d-1(b)(1)(ii)(E);</w:t>
      </w:r>
    </w:p>
    <w:p>
      <w:pPr>
        <w:spacing w:after="0" w:line="229"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 240.13d-1(b)(1)(ii)(F);</w:t>
      </w:r>
    </w:p>
    <w:p>
      <w:pPr>
        <w:spacing w:after="0" w:line="229"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§240.13d-1(b)(1)(ii)(G);</w:t>
      </w:r>
    </w:p>
    <w:p>
      <w:pPr>
        <w:spacing w:after="0" w:line="229" w:lineRule="exact"/>
        <w:rPr>
          <w:rFonts w:ascii="Arial" w:cs="Arial" w:eastAsia="Arial" w:hAnsi="Arial"/>
          <w:sz w:val="20"/>
          <w:szCs w:val="20"/>
          <w:color w:val="auto"/>
        </w:rPr>
      </w:pPr>
    </w:p>
    <w:p>
      <w:pPr>
        <w:ind w:left="3200" w:right="1140" w:hanging="1380"/>
        <w:spacing w:after="0" w:line="252" w:lineRule="exact"/>
        <w:tabs>
          <w:tab w:leader="none" w:pos="2732"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 (12 U.S.C.1813);</w:t>
      </w:r>
    </w:p>
    <w:p>
      <w:pPr>
        <w:spacing w:after="0" w:line="186" w:lineRule="exact"/>
        <w:rPr>
          <w:rFonts w:ascii="Arial" w:cs="Arial" w:eastAsia="Arial" w:hAnsi="Arial"/>
          <w:sz w:val="20"/>
          <w:szCs w:val="20"/>
          <w:color w:val="auto"/>
        </w:rPr>
      </w:pPr>
    </w:p>
    <w:p>
      <w:pPr>
        <w:ind w:left="3200" w:right="100" w:hanging="1380"/>
        <w:spacing w:after="0" w:line="252" w:lineRule="exact"/>
        <w:tabs>
          <w:tab w:leader="none" w:pos="2732"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 of 1940 (15 U.S.C. 80a-3);</w:t>
      </w:r>
    </w:p>
    <w:p>
      <w:pPr>
        <w:spacing w:after="0" w:line="186"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§240.13d-1(b)(1)(ii)(J);</w:t>
      </w:r>
    </w:p>
    <w:p>
      <w:pPr>
        <w:spacing w:after="0" w:line="229" w:lineRule="exact"/>
        <w:rPr>
          <w:rFonts w:ascii="Arial" w:cs="Arial" w:eastAsia="Arial" w:hAnsi="Arial"/>
          <w:sz w:val="20"/>
          <w:szCs w:val="20"/>
          <w:color w:val="auto"/>
        </w:rPr>
      </w:pPr>
    </w:p>
    <w:p>
      <w:pPr>
        <w:ind w:left="2720" w:hanging="900"/>
        <w:spacing w:after="0" w:line="230" w:lineRule="exact"/>
        <w:tabs>
          <w:tab w:leader="none" w:pos="272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§240.13d-1(b)(1)(ii)(K).</w:t>
      </w:r>
    </w:p>
    <w:p>
      <w:pPr>
        <w:spacing w:after="0" w:line="253" w:lineRule="exact"/>
        <w:rPr>
          <w:sz w:val="20"/>
          <w:szCs w:val="20"/>
          <w:color w:val="auto"/>
        </w:rPr>
      </w:pPr>
    </w:p>
    <w:p>
      <w:pPr>
        <w:ind w:left="1940" w:right="292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1"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jc w:val="both"/>
        <w:ind w:left="1720" w:right="100"/>
        <w:spacing w:after="0" w:line="244"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 The percentages set forth in this Schedule 13G are calculated based upon an aggregate of 99,014,178 Ordinary Shares outstanding as of May 15, 2018 as reported in Exhibit 99.1 attached to the Issuer's Report of Foreign Private Issuer on Form 6-K filed with the Securities and Exchange Commission on May 24, 2018.</w:t>
      </w:r>
    </w:p>
    <w:p>
      <w:pPr>
        <w:spacing w:after="0" w:line="202"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5" w:right="239" w:bottom="1440" w:gutter="0" w:footer="0" w:header="0"/>
          <w:type w:val="continuous"/>
        </w:sectPr>
      </w:pPr>
    </w:p>
    <w:bookmarkStart w:id="5" w:name="page6"/>
    <w:bookmarkEnd w:id="5"/>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jc w:val="both"/>
        <w:ind w:left="1720" w:right="100"/>
        <w:spacing w:after="0" w:line="260" w:lineRule="auto"/>
        <w:rPr>
          <w:sz w:val="20"/>
          <w:szCs w:val="20"/>
          <w:color w:val="auto"/>
        </w:rPr>
      </w:pPr>
      <w:r>
        <w:rPr>
          <w:rFonts w:ascii="Arial" w:cs="Arial" w:eastAsia="Arial" w:hAnsi="Arial"/>
          <w:sz w:val="20"/>
          <w:szCs w:val="20"/>
          <w:color w:val="auto"/>
        </w:rPr>
        <w:t>The Investment Vehicles have the right to receive and the power to direct the receipt of dividends from, and the proceeds from the sale of the Ordinary Shares.</w:t>
      </w:r>
    </w:p>
    <w:p>
      <w:pPr>
        <w:spacing w:after="0" w:line="184" w:lineRule="exact"/>
        <w:rPr>
          <w:sz w:val="20"/>
          <w:szCs w:val="20"/>
          <w:color w:val="auto"/>
        </w:rPr>
      </w:pPr>
    </w:p>
    <w:p>
      <w:pPr>
        <w:ind w:left="1720" w:right="180" w:hanging="1606"/>
        <w:spacing w:after="0" w:line="267" w:lineRule="auto"/>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35" w:lineRule="exact"/>
        <w:rPr>
          <w:sz w:val="20"/>
          <w:szCs w:val="20"/>
          <w:color w:val="auto"/>
        </w:rPr>
      </w:pPr>
    </w:p>
    <w:p>
      <w:pPr>
        <w:jc w:val="both"/>
        <w:ind w:left="1720" w:right="10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5" w:right="239" w:bottom="1440" w:gutter="0" w:footer="0" w:header="0"/>
          <w:type w:val="continuous"/>
        </w:sectPr>
      </w:pPr>
    </w:p>
    <w:bookmarkStart w:id="6" w:name="page7"/>
    <w:bookmarkEnd w:id="6"/>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8 Pages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June 25, 2018</w:t>
      </w:r>
    </w:p>
    <w:p>
      <w:pPr>
        <w:spacing w:after="0" w:line="200" w:lineRule="exact"/>
        <w:rPr>
          <w:sz w:val="20"/>
          <w:szCs w:val="20"/>
          <w:color w:val="auto"/>
        </w:rPr>
      </w:pPr>
    </w:p>
    <w:p>
      <w:pPr>
        <w:spacing w:after="0" w:line="25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SENVEST MANAGEMENT, LLC</w:t>
      </w:r>
    </w:p>
    <w:p>
      <w:pPr>
        <w:spacing w:after="0" w:line="229" w:lineRule="exact"/>
        <w:rPr>
          <w:sz w:val="20"/>
          <w:szCs w:val="20"/>
          <w:color w:val="auto"/>
        </w:rPr>
      </w:pPr>
    </w:p>
    <w:tbl>
      <w:tblPr>
        <w:tblLayout w:type="fixed"/>
        <w:tblInd w:w="570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Bobby Trahanas</w:t>
            </w:r>
          </w:p>
        </w:tc>
      </w:tr>
      <w:tr>
        <w:trPr>
          <w:trHeight w:val="213"/>
        </w:trPr>
        <w:tc>
          <w:tcPr>
            <w:tcW w:w="600" w:type="dxa"/>
            <w:vAlign w:val="bottom"/>
          </w:tcPr>
          <w:p>
            <w:pPr>
              <w:spacing w:after="0" w:line="213" w:lineRule="exact"/>
              <w:rPr>
                <w:sz w:val="20"/>
                <w:szCs w:val="20"/>
                <w:color w:val="auto"/>
              </w:rPr>
            </w:pPr>
            <w:r>
              <w:rPr>
                <w:rFonts w:ascii="Arial" w:cs="Arial" w:eastAsia="Arial" w:hAnsi="Arial"/>
                <w:sz w:val="20"/>
                <w:szCs w:val="20"/>
                <w:color w:val="auto"/>
                <w:w w:val="98"/>
              </w:rPr>
              <w:t>Name:</w:t>
            </w:r>
          </w:p>
        </w:tc>
        <w:tc>
          <w:tcPr>
            <w:tcW w:w="5120" w:type="dxa"/>
            <w:vAlign w:val="bottom"/>
          </w:tcPr>
          <w:p>
            <w:pPr>
              <w:ind w:left="320"/>
              <w:spacing w:after="0" w:line="213" w:lineRule="exact"/>
              <w:rPr>
                <w:sz w:val="20"/>
                <w:szCs w:val="20"/>
                <w:color w:val="auto"/>
              </w:rPr>
            </w:pPr>
            <w:r>
              <w:rPr>
                <w:rFonts w:ascii="Arial" w:cs="Arial" w:eastAsia="Arial" w:hAnsi="Arial"/>
                <w:sz w:val="20"/>
                <w:szCs w:val="20"/>
                <w:color w:val="auto"/>
              </w:rPr>
              <w:t>Bobby Trahanas</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320"/>
              <w:spacing w:after="0"/>
              <w:rPr>
                <w:sz w:val="20"/>
                <w:szCs w:val="20"/>
                <w:color w:val="auto"/>
              </w:rPr>
            </w:pPr>
            <w:r>
              <w:rPr>
                <w:rFonts w:ascii="Arial" w:cs="Arial" w:eastAsia="Arial" w:hAnsi="Arial"/>
                <w:sz w:val="20"/>
                <w:szCs w:val="20"/>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RICHARD MASHAAL</w:t>
      </w:r>
    </w:p>
    <w:p>
      <w:pPr>
        <w:sectPr>
          <w:pgSz w:w="11900" w:h="16838" w:orient="portrait"/>
          <w:cols w:equalWidth="0" w:num="1">
            <w:col w:w="11420"/>
          </w:cols>
          <w:pgMar w:left="240" w:top="225" w:right="239" w:bottom="1440" w:gutter="0" w:footer="0" w:header="0"/>
        </w:sectPr>
      </w:pPr>
    </w:p>
    <w:bookmarkStart w:id="7" w:name="page8"/>
    <w:bookmarkEnd w:id="7"/>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8 Pages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JOINT FILING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Date: June 25, 2018</w:t>
      </w:r>
    </w:p>
    <w:p>
      <w:pPr>
        <w:spacing w:after="0" w:line="200" w:lineRule="exact"/>
        <w:rPr>
          <w:sz w:val="20"/>
          <w:szCs w:val="20"/>
          <w:color w:val="auto"/>
        </w:rPr>
      </w:pPr>
    </w:p>
    <w:p>
      <w:pPr>
        <w:spacing w:after="0" w:line="25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SENVEST MANAGEMENT, LLC</w:t>
      </w:r>
    </w:p>
    <w:p>
      <w:pPr>
        <w:spacing w:after="0" w:line="229" w:lineRule="exact"/>
        <w:rPr>
          <w:sz w:val="20"/>
          <w:szCs w:val="20"/>
          <w:color w:val="auto"/>
        </w:rPr>
      </w:pPr>
    </w:p>
    <w:tbl>
      <w:tblPr>
        <w:tblLayout w:type="fixed"/>
        <w:tblInd w:w="5700" w:type="dxa"/>
        <w:tblCellMar>
          <w:top w:w="0" w:type="dxa"/>
          <w:left w:w="0" w:type="dxa"/>
          <w:bottom w:w="0" w:type="dxa"/>
          <w:right w:w="0" w:type="dxa"/>
        </w:tblCellMar>
      </w:tblPr>
      <w:tr>
        <w:trPr>
          <w:trHeight w:val="24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Bobby Trahanas</w:t>
            </w:r>
          </w:p>
        </w:tc>
      </w:tr>
      <w:tr>
        <w:trPr>
          <w:trHeight w:val="213"/>
        </w:trPr>
        <w:tc>
          <w:tcPr>
            <w:tcW w:w="600" w:type="dxa"/>
            <w:vAlign w:val="bottom"/>
          </w:tcPr>
          <w:p>
            <w:pPr>
              <w:spacing w:after="0" w:line="213" w:lineRule="exact"/>
              <w:rPr>
                <w:sz w:val="20"/>
                <w:szCs w:val="20"/>
                <w:color w:val="auto"/>
              </w:rPr>
            </w:pPr>
            <w:r>
              <w:rPr>
                <w:rFonts w:ascii="Arial" w:cs="Arial" w:eastAsia="Arial" w:hAnsi="Arial"/>
                <w:sz w:val="20"/>
                <w:szCs w:val="20"/>
                <w:color w:val="auto"/>
                <w:w w:val="98"/>
              </w:rPr>
              <w:t>Name:</w:t>
            </w:r>
          </w:p>
        </w:tc>
        <w:tc>
          <w:tcPr>
            <w:tcW w:w="5120" w:type="dxa"/>
            <w:vAlign w:val="bottom"/>
          </w:tcPr>
          <w:p>
            <w:pPr>
              <w:ind w:left="320"/>
              <w:spacing w:after="0" w:line="213" w:lineRule="exact"/>
              <w:rPr>
                <w:sz w:val="20"/>
                <w:szCs w:val="20"/>
                <w:color w:val="auto"/>
              </w:rPr>
            </w:pPr>
            <w:r>
              <w:rPr>
                <w:rFonts w:ascii="Arial" w:cs="Arial" w:eastAsia="Arial" w:hAnsi="Arial"/>
                <w:sz w:val="20"/>
                <w:szCs w:val="20"/>
                <w:color w:val="auto"/>
              </w:rPr>
              <w:t>Bobby Trahanas</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320"/>
              <w:spacing w:after="0"/>
              <w:rPr>
                <w:sz w:val="20"/>
                <w:szCs w:val="20"/>
                <w:color w:val="auto"/>
              </w:rPr>
            </w:pPr>
            <w:r>
              <w:rPr>
                <w:rFonts w:ascii="Arial" w:cs="Arial" w:eastAsia="Arial" w:hAnsi="Arial"/>
                <w:sz w:val="20"/>
                <w:szCs w:val="20"/>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2019-12-16T08:40:49Z</dcterms:created>
  <dcterms:modified xsi:type="dcterms:W3CDTF">2019-12-16T08:40:49Z</dcterms:modified>
</cp:coreProperties>
</file>