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For the month of June 2026 No.1</w:t>
      </w:r>
    </w:p>
    <w:p>
      <w:pPr>
        <w:spacing w:after="0" w:line="225"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Commission File Number 0-24790</w:t>
      </w:r>
    </w:p>
    <w:p>
      <w:pPr>
        <w:spacing w:after="0" w:line="205"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398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-400685</wp:posOffset>
            </wp:positionH>
            <wp:positionV relativeFrom="paragraph">
              <wp:posOffset>274955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99"/>
          </w:cols>
          <w:pgMar w:left="960" w:top="597"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On June 15, 2026, the Registrant and IQE Announce Multi-year</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InP epiwafer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228600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TOWER SEMICONDUCTOR LTD.</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15,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Nati Somekh</w:t>
            </w:r>
          </w:p>
        </w:tc>
      </w:tr>
      <w:tr>
        <w:trPr>
          <w:trHeight w:val="191"/>
        </w:trPr>
        <w:tc>
          <w:tcPr>
            <w:tcW w:w="35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Nati Somekh</w:t>
            </w:r>
          </w:p>
        </w:tc>
      </w:tr>
      <w:tr>
        <w:trPr>
          <w:trHeight w:val="234"/>
        </w:trPr>
        <w:tc>
          <w:tcPr>
            <w:tcW w:w="35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Title: Corporate Secretary</w:t>
            </w:r>
          </w:p>
        </w:tc>
      </w:tr>
      <w:tr>
        <w:trPr>
          <w:trHeight w:val="351"/>
        </w:trPr>
        <w:tc>
          <w:tcPr>
            <w:tcW w:w="35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3" w:name="page4"/>
    <w:bookmarkEnd w:id="3"/>
    <w:p>
      <w:pPr>
        <w:spacing w:after="0" w:line="1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517525</wp:posOffset>
            </wp:positionV>
            <wp:extent cx="55689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56895" cy="308610"/>
                    </a:xfrm>
                    <a:prstGeom prst="rect">
                      <a:avLst/>
                    </a:prstGeom>
                    <a:noFill/>
                  </pic:spPr>
                </pic:pic>
              </a:graphicData>
            </a:graphic>
          </wp:anchor>
        </w:drawing>
        <w:drawing>
          <wp:anchor simplePos="0" relativeHeight="251657728" behindDoc="1" locked="0" layoutInCell="0" allowOverlap="1">
            <wp:simplePos x="0" y="0"/>
            <wp:positionH relativeFrom="page">
              <wp:posOffset>6748780</wp:posOffset>
            </wp:positionH>
            <wp:positionV relativeFrom="page">
              <wp:posOffset>517525</wp:posOffset>
            </wp:positionV>
            <wp:extent cx="565785" cy="3429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65785" cy="34290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IQE and Tower Semiconductor Announce Multi-year InP epiwafer Supply Agreement</w:t>
      </w:r>
    </w:p>
    <w:p>
      <w:pPr>
        <w:spacing w:after="0" w:line="227" w:lineRule="exact"/>
        <w:rPr>
          <w:sz w:val="20"/>
          <w:szCs w:val="20"/>
          <w:color w:val="auto"/>
        </w:rPr>
      </w:pPr>
    </w:p>
    <w:p>
      <w:pPr>
        <w:ind w:left="3400" w:hanging="112"/>
        <w:spacing w:after="0"/>
        <w:tabs>
          <w:tab w:leader="none" w:pos="340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Supporting planned growth in InP silicon photonics technology</w:t>
      </w:r>
    </w:p>
    <w:p>
      <w:pPr>
        <w:spacing w:after="0" w:line="29" w:lineRule="exact"/>
        <w:rPr>
          <w:rFonts w:ascii="Times New Roman" w:cs="Times New Roman" w:eastAsia="Times New Roman" w:hAnsi="Times New Roman"/>
          <w:sz w:val="18"/>
          <w:szCs w:val="18"/>
          <w:i w:val="1"/>
          <w:iCs w:val="1"/>
          <w:color w:val="auto"/>
        </w:rPr>
      </w:pPr>
    </w:p>
    <w:p>
      <w:pPr>
        <w:ind w:left="3720" w:hanging="110"/>
        <w:spacing w:after="0"/>
        <w:tabs>
          <w:tab w:leader="none" w:pos="3720" w:val="left"/>
        </w:tabs>
        <w:numPr>
          <w:ilvl w:val="1"/>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Resolving all prior IP disputes between the companies</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CARDIFF, UK, and MIGDAL HAEMEK, Israel, June 15 2026 </w:t>
      </w:r>
      <w:r>
        <w:rPr>
          <w:rFonts w:ascii="Times New Roman" w:cs="Times New Roman" w:eastAsia="Times New Roman" w:hAnsi="Times New Roman"/>
          <w:sz w:val="18"/>
          <w:szCs w:val="18"/>
          <w:color w:val="auto"/>
        </w:rPr>
        <w:t>- IQE plc (AIM: IQE, "IQE" or the "Group"), the leading global supplier of compound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semiconductor wafer products and advanced material solutions, and Tower Semiconductor (NASDAQ/TASE: TSEM), the leading foundry for high-value analog semiconductor solutions, are pleased to announce a multi-year agreement for the supply of Indium Phosphide (InP) epiwafers for optical connectivity solutions serving AI-driven data centre infrastructure.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IQE’s InP epiwafers will be used in several of Tower’s advanced silicon photonics platforms for next-generation optical technologies, providing a high-quality supply base for Tower’s product roadmap. IQE and Tower’s collaboration includes technology for the production of 200Gbs/lane for pluggable transceivers and the prototyping of next-generation 400Gb/lane modulators, as well as other critical applications including optical-circuit-switches for deployment in datacentres. The agreement provides for a minimum purchase commitment by Tower in the first year, a reciprocal supply commitment from IQE, and minimum volume commitments thereafter.</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a separate agreement, Tower will also provide a broad worldwide and royalty-free license to IQE for porous silicon patents which have been the subject of an IP dispute between the companies, settling all litigation in the matter.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Jutta Meier, Chief Executive Officer of IQE, commented:</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 am pleased to move forward together with Tower, already the leader in silicon photonics. This agreement reinforces IQE’s position within Tier 1 global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hyperscale cloud and AI infrastructure markets. With decades of InP epitaxy expertise and established high-volume manufacturing capability, IQE is primed to support next-generation optical connectivity applications as they scale from innovation to commercial deployment.”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 Marco Racanelli, President of Tower Semiconductor, commented:</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 are pleased to partner with IQE as a key supplier for our next-generation photonic technologies that add InP high-performance components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high-volume, mature, silicon photonics platform. The combination will enable products that can deliver both the performance and high volumes required to scale future AI infrastructure capacity</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TOWER SEMICONDUCTOR</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SiPho, SiGe, BiCMOS, mixed-signal/CMOS, RF CMOS, CMOS image sensor, non-imaging sensors, displays,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currently owns one operating facility in Israel (200mm), two in the U.S. (200mm), and two in Japan (200mm and 300mm) which it owns through its 51% holdings in TPSCo and shares a 300mm facility in Agrate, Italy with STMicroelectronics.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Regarding Forward-Looking Statements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Tower Semiconductor Company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Orit Shahar | +972-74-7377440 | </w:t>
      </w:r>
      <w:r>
        <w:rPr>
          <w:rFonts w:ascii="Times New Roman" w:cs="Times New Roman" w:eastAsia="Times New Roman" w:hAnsi="Times New Roman"/>
          <w:sz w:val="18"/>
          <w:szCs w:val="18"/>
          <w:u w:val="single" w:color="auto"/>
          <w:color w:val="auto"/>
        </w:rPr>
        <w:t>oritsha@towersemi.com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Tower Semiconductor 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Liat Avraham | +972-4-6506154 | </w:t>
      </w:r>
      <w:r>
        <w:rPr>
          <w:rFonts w:ascii="Times New Roman" w:cs="Times New Roman" w:eastAsia="Times New Roman" w:hAnsi="Times New Roman"/>
          <w:sz w:val="18"/>
          <w:szCs w:val="18"/>
          <w:u w:val="single" w:color="auto"/>
          <w:color w:val="auto"/>
        </w:rPr>
        <w:t>liatavra@towersemi.com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IQE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http://iqep.com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IQE is the leading global supplier of advanced compound semiconductor wafers and materials solutions that enable a diverse range of applications across:</w:t>
      </w:r>
    </w:p>
    <w:p>
      <w:pPr>
        <w:spacing w:after="0" w:line="4"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Smart Connected Devices</w:t>
      </w:r>
    </w:p>
    <w:p>
      <w:pPr>
        <w:spacing w:after="0" w:line="13"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Communications Infrastructure</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Automotive and Industrial</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Aerospace and Security</w:t>
      </w:r>
    </w:p>
    <w:p>
      <w:pPr>
        <w:spacing w:after="0" w:line="8"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As a scaled global epitaxy wafer manufacturer, IQE is uniquely positioned in this market which has high barriers to entry. IQE supplies the global market and is enabling customers to innovate at chip and OEM level. By leveraging the Group’s intellectual property portfolio including know-how and patents, it produces epitaxy wafers of superior quality, yield and unit economics.</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IQE is headquartered in Cardiff UK, with employees across manufacturing locations in the UK, US and Taiwan, and is listed on the AIM Stock Exchange in London.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IQE Contacts:</w:t>
      </w:r>
    </w:p>
    <w:p>
      <w:pPr>
        <w:spacing w:after="0" w:line="50" w:lineRule="exact"/>
        <w:rPr>
          <w:sz w:val="20"/>
          <w:szCs w:val="20"/>
          <w:color w:val="auto"/>
        </w:rPr>
      </w:pPr>
    </w:p>
    <w:p>
      <w:pPr>
        <w:ind w:left="40"/>
        <w:spacing w:after="0"/>
        <w:tabs>
          <w:tab w:leader="none" w:pos="5640" w:val="left"/>
        </w:tabs>
        <w:rPr>
          <w:sz w:val="20"/>
          <w:szCs w:val="20"/>
          <w:color w:val="auto"/>
        </w:rPr>
      </w:pPr>
      <w:r>
        <w:rPr>
          <w:rFonts w:ascii="Times New Roman" w:cs="Times New Roman" w:eastAsia="Times New Roman" w:hAnsi="Times New Roman"/>
          <w:sz w:val="18"/>
          <w:szCs w:val="18"/>
          <w:b w:val="1"/>
          <w:bCs w:val="1"/>
          <w:color w:val="auto"/>
        </w:rPr>
        <w:t>IQE plc</w:t>
      </w:r>
      <w:r>
        <w:rPr>
          <w:sz w:val="20"/>
          <w:szCs w:val="20"/>
          <w:color w:val="auto"/>
        </w:rPr>
        <w:tab/>
      </w:r>
      <w:r>
        <w:rPr>
          <w:rFonts w:ascii="Times New Roman" w:cs="Times New Roman" w:eastAsia="Times New Roman" w:hAnsi="Times New Roman"/>
          <w:sz w:val="18"/>
          <w:szCs w:val="18"/>
          <w:b w:val="1"/>
          <w:bCs w:val="1"/>
          <w:color w:val="auto"/>
        </w:rPr>
        <w:t>Deutsche Numis (Joint Broker)</w:t>
      </w:r>
    </w:p>
    <w:p>
      <w:pPr>
        <w:sectPr>
          <w:pgSz w:w="11900" w:h="16838" w:orient="portrait"/>
          <w:cols w:equalWidth="0" w:num="1">
            <w:col w:w="11240"/>
          </w:cols>
          <w:pgMar w:left="320" w:top="1440" w:right="3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+44 (0) 29 2083 9400</w:t>
            </w:r>
          </w:p>
        </w:tc>
        <w:tc>
          <w:tcPr>
            <w:tcW w:w="696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+44 (0) 20 7260 1000</w:t>
            </w:r>
          </w:p>
        </w:tc>
      </w:tr>
      <w:tr>
        <w:trPr>
          <w:trHeight w:val="216"/>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Jutta Meier</w:t>
            </w:r>
          </w:p>
        </w:tc>
        <w:tc>
          <w:tcPr>
            <w:tcW w:w="696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Hugo Rubinstein</w:t>
            </w:r>
          </w:p>
        </w:tc>
      </w:tr>
      <w:tr>
        <w:trPr>
          <w:trHeight w:val="216"/>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 Cubitt</w:t>
            </w:r>
          </w:p>
        </w:tc>
        <w:tc>
          <w:tcPr>
            <w:tcW w:w="696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Iqra Amin</w:t>
            </w:r>
          </w:p>
        </w:tc>
      </w:tr>
      <w:tr>
        <w:trPr>
          <w:trHeight w:val="234"/>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Amy Barlow</w:t>
            </w:r>
          </w:p>
        </w:tc>
        <w:tc>
          <w:tcPr>
            <w:tcW w:w="6960" w:type="dxa"/>
            <w:vAlign w:val="bottom"/>
          </w:tcPr>
          <w:p>
            <w:pPr>
              <w:spacing w:after="0"/>
              <w:rPr>
                <w:sz w:val="20"/>
                <w:szCs w:val="20"/>
                <w:color w:val="auto"/>
              </w:rPr>
            </w:pPr>
          </w:p>
        </w:tc>
      </w:tr>
      <w:tr>
        <w:trPr>
          <w:trHeight w:val="279"/>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Peel Hunt (Nomad and Joint Broker)</w:t>
            </w:r>
          </w:p>
        </w:tc>
        <w:tc>
          <w:tcPr>
            <w:tcW w:w="696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rPr>
              <w:t>Headland Consultancy (Financial PR)</w:t>
            </w:r>
          </w:p>
        </w:tc>
      </w:tr>
      <w:tr>
        <w:trPr>
          <w:trHeight w:val="216"/>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+44 (0) 20 7418 8900</w:t>
            </w:r>
          </w:p>
        </w:tc>
        <w:tc>
          <w:tcPr>
            <w:tcW w:w="696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+ 44 (0) 20 38054822</w:t>
            </w:r>
          </w:p>
        </w:tc>
      </w:tr>
      <w:tr>
        <w:trPr>
          <w:trHeight w:val="216"/>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 Cryer</w:t>
            </w:r>
          </w:p>
        </w:tc>
        <w:tc>
          <w:tcPr>
            <w:tcW w:w="696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Andy Rivett-Carnac: +44 (0) 7968 997 365</w:t>
            </w:r>
          </w:p>
        </w:tc>
      </w:tr>
      <w:tr>
        <w:trPr>
          <w:trHeight w:val="216"/>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Kate Bannatyne</w:t>
            </w:r>
          </w:p>
        </w:tc>
        <w:tc>
          <w:tcPr>
            <w:tcW w:w="696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Chloe Francklin: +44 (0)78 3497 4624</w:t>
            </w:r>
          </w:p>
        </w:tc>
      </w:tr>
      <w:tr>
        <w:trPr>
          <w:trHeight w:val="234"/>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Adam Telling</w:t>
            </w:r>
          </w:p>
        </w:tc>
        <w:tc>
          <w:tcPr>
            <w:tcW w:w="6960" w:type="dxa"/>
            <w:vAlign w:val="bottom"/>
          </w:tcPr>
          <w:p>
            <w:pPr>
              <w:spacing w:after="0"/>
              <w:rPr>
                <w:sz w:val="20"/>
                <w:szCs w:val="20"/>
                <w:color w:val="auto"/>
              </w:rPr>
            </w:pPr>
          </w:p>
        </w:tc>
      </w:tr>
      <w:tr>
        <w:trPr>
          <w:trHeight w:val="257"/>
        </w:trPr>
        <w:tc>
          <w:tcPr>
            <w:tcW w:w="4280" w:type="dxa"/>
            <w:vAlign w:val="bottom"/>
            <w:tcBorders>
              <w:bottom w:val="single" w:sz="8" w:color="auto"/>
            </w:tcBorders>
          </w:tcPr>
          <w:p>
            <w:pPr>
              <w:spacing w:after="0"/>
              <w:rPr>
                <w:sz w:val="22"/>
                <w:szCs w:val="22"/>
                <w:color w:val="auto"/>
              </w:rPr>
            </w:pPr>
          </w:p>
        </w:tc>
        <w:tc>
          <w:tcPr>
            <w:tcW w:w="6960" w:type="dxa"/>
            <w:vAlign w:val="bottom"/>
            <w:tcBorders>
              <w:bottom w:val="single" w:sz="8" w:color="auto"/>
            </w:tcBorders>
          </w:tcPr>
          <w:p>
            <w:pPr>
              <w:spacing w:after="0"/>
              <w:rPr>
                <w:sz w:val="22"/>
                <w:szCs w:val="22"/>
                <w:color w:val="auto"/>
              </w:rPr>
            </w:pPr>
          </w:p>
        </w:tc>
      </w:tr>
      <w:tr>
        <w:trPr>
          <w:trHeight w:val="95"/>
        </w:trPr>
        <w:tc>
          <w:tcPr>
            <w:tcW w:w="4280" w:type="dxa"/>
            <w:vAlign w:val="bottom"/>
            <w:tcBorders>
              <w:bottom w:val="single" w:sz="8" w:color="auto"/>
            </w:tcBorders>
          </w:tcPr>
          <w:p>
            <w:pPr>
              <w:spacing w:after="0"/>
              <w:rPr>
                <w:sz w:val="8"/>
                <w:szCs w:val="8"/>
                <w:color w:val="auto"/>
              </w:rPr>
            </w:pPr>
          </w:p>
        </w:tc>
        <w:tc>
          <w:tcPr>
            <w:tcW w:w="6960" w:type="dxa"/>
            <w:vAlign w:val="bottom"/>
            <w:tcBorders>
              <w:bottom w:val="single" w:sz="8" w:color="auto"/>
            </w:tcBorders>
          </w:tcPr>
          <w:p>
            <w:pPr>
              <w:spacing w:after="0"/>
              <w:rPr>
                <w:sz w:val="8"/>
                <w:szCs w:val="8"/>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2026-06-15T05:30:05Z</dcterms:created>
  <dcterms:modified xsi:type="dcterms:W3CDTF">2026-06-15T05:30:05Z</dcterms:modified>
</cp:coreProperties>
</file>