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FORM 6-K</w:t>
      </w:r>
    </w:p>
    <w:p>
      <w:pPr>
        <w:spacing w:after="0" w:line="347"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295"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Washington, D.C. 20549</w:t>
      </w:r>
    </w:p>
    <w:p>
      <w:pPr>
        <w:spacing w:after="0" w:line="287"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For the month July 2023 No. 1</w:t>
      </w:r>
    </w:p>
    <w:p>
      <w:pPr>
        <w:spacing w:after="0" w:line="27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TOWER SEMICONDUCTOR LTD.</w:t>
      </w:r>
    </w:p>
    <w:p>
      <w:pPr>
        <w:spacing w:after="0" w:line="42"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(Translation of registrant's name into English)</w:t>
      </w:r>
    </w:p>
    <w:p>
      <w:pPr>
        <w:spacing w:after="0" w:line="28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Ramat Gavriel Industrial Park</w:t>
      </w:r>
    </w:p>
    <w:p>
      <w:pPr>
        <w:spacing w:after="0" w:line="27" w:lineRule="exact"/>
        <w:rPr>
          <w:sz w:val="24"/>
          <w:szCs w:val="24"/>
          <w:color w:val="auto"/>
        </w:rPr>
      </w:pPr>
    </w:p>
    <w:p>
      <w:pPr>
        <w:ind w:left="3520"/>
        <w:spacing w:after="0"/>
        <w:rPr>
          <w:sz w:val="20"/>
          <w:szCs w:val="20"/>
          <w:color w:val="auto"/>
        </w:rPr>
      </w:pPr>
      <w:r>
        <w:rPr>
          <w:rFonts w:ascii="Arial" w:cs="Arial" w:eastAsia="Arial" w:hAnsi="Arial"/>
          <w:sz w:val="22"/>
          <w:szCs w:val="22"/>
          <w:b w:val="1"/>
          <w:bCs w:val="1"/>
          <w:color w:val="auto"/>
        </w:rPr>
        <w:t>P.O. Box 619, Migdal Haemek, Israel 2310502</w:t>
      </w:r>
    </w:p>
    <w:p>
      <w:pPr>
        <w:spacing w:after="0" w:line="17" w:lineRule="exact"/>
        <w:rPr>
          <w:sz w:val="24"/>
          <w:szCs w:val="24"/>
          <w:color w:val="auto"/>
        </w:rPr>
      </w:pPr>
    </w:p>
    <w:p>
      <w:pPr>
        <w:ind w:left="3960"/>
        <w:spacing w:after="0"/>
        <w:rPr>
          <w:sz w:val="20"/>
          <w:szCs w:val="20"/>
          <w:color w:val="auto"/>
        </w:rPr>
      </w:pPr>
      <w:r>
        <w:rPr>
          <w:rFonts w:ascii="Arial" w:cs="Arial" w:eastAsia="Arial" w:hAnsi="Arial"/>
          <w:sz w:val="22"/>
          <w:szCs w:val="22"/>
          <w:color w:val="auto"/>
        </w:rPr>
        <w:t>(Address of principal executive offices)</w:t>
      </w:r>
    </w:p>
    <w:p>
      <w:pPr>
        <w:spacing w:after="0" w:line="283"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Indicate by check mark whether the registrant files or will file annual reports under cover Form 20-F or Form 40-F.</w:t>
      </w:r>
    </w:p>
    <w:p>
      <w:pPr>
        <w:spacing w:after="0" w:line="233" w:lineRule="exact"/>
        <w:rPr>
          <w:sz w:val="24"/>
          <w:szCs w:val="24"/>
          <w:color w:val="auto"/>
        </w:rPr>
      </w:pPr>
    </w:p>
    <w:p>
      <w:pPr>
        <w:jc w:val="center"/>
        <w:ind w:right="-19"/>
        <w:spacing w:after="0" w:line="253" w:lineRule="exact"/>
        <w:tabs>
          <w:tab w:leader="none" w:pos="560" w:val="left"/>
        </w:tabs>
        <w:rPr>
          <w:sz w:val="20"/>
          <w:szCs w:val="20"/>
          <w:color w:val="auto"/>
        </w:rPr>
      </w:pPr>
      <w:r>
        <w:rPr>
          <w:rFonts w:ascii="Arial" w:cs="Arial" w:eastAsia="Arial" w:hAnsi="Arial"/>
          <w:sz w:val="22"/>
          <w:szCs w:val="22"/>
          <w:color w:val="auto"/>
        </w:rPr>
        <w:t xml:space="preserve">Form 20-F </w:t>
      </w:r>
      <w:r>
        <w:rPr>
          <w:rFonts w:ascii="MS PGothic" w:cs="MS PGothic" w:eastAsia="MS PGothic" w:hAnsi="MS PGothic"/>
          <w:sz w:val="22"/>
          <w:szCs w:val="22"/>
          <w:color w:val="auto"/>
        </w:rPr>
        <w:t>☒</w:t>
      </w:r>
      <w:r>
        <w:rPr>
          <w:sz w:val="20"/>
          <w:szCs w:val="20"/>
          <w:color w:val="auto"/>
        </w:rPr>
        <w:tab/>
      </w:r>
      <w:r>
        <w:rPr>
          <w:rFonts w:ascii="Arial" w:cs="Arial" w:eastAsia="Arial" w:hAnsi="Arial"/>
          <w:sz w:val="19"/>
          <w:szCs w:val="19"/>
          <w:color w:val="auto"/>
        </w:rPr>
        <w:t xml:space="preserve">Form 40-F </w:t>
      </w:r>
      <w:r>
        <w:rPr>
          <w:rFonts w:ascii="MS PGothic" w:cs="MS PGothic" w:eastAsia="MS PGothic" w:hAnsi="MS PGothic"/>
          <w:sz w:val="19"/>
          <w:szCs w:val="19"/>
          <w:color w:val="auto"/>
        </w:rPr>
        <w:t>☐</w:t>
      </w:r>
    </w:p>
    <w:p>
      <w:pPr>
        <w:spacing w:after="0" w:line="341" w:lineRule="exact"/>
        <w:rPr>
          <w:sz w:val="24"/>
          <w:szCs w:val="24"/>
          <w:color w:val="auto"/>
        </w:rPr>
      </w:pPr>
    </w:p>
    <w:p>
      <w:pPr>
        <w:ind w:firstLine="648"/>
        <w:spacing w:after="0" w:line="301" w:lineRule="auto"/>
        <w:rPr>
          <w:sz w:val="20"/>
          <w:szCs w:val="20"/>
          <w:color w:val="auto"/>
        </w:rPr>
      </w:pPr>
      <w:r>
        <w:rPr>
          <w:rFonts w:ascii="Arial" w:cs="Arial" w:eastAsia="Arial" w:hAnsi="Arial"/>
          <w:sz w:val="21"/>
          <w:szCs w:val="21"/>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50" w:lineRule="exact"/>
        <w:rPr>
          <w:sz w:val="24"/>
          <w:szCs w:val="24"/>
          <w:color w:val="auto"/>
        </w:rPr>
      </w:pPr>
    </w:p>
    <w:p>
      <w:pPr>
        <w:jc w:val="center"/>
        <w:ind w:right="-19"/>
        <w:spacing w:after="0" w:line="253" w:lineRule="exact"/>
        <w:tabs>
          <w:tab w:leader="none" w:pos="560" w:val="left"/>
        </w:tabs>
        <w:rPr>
          <w:sz w:val="20"/>
          <w:szCs w:val="20"/>
          <w:color w:val="auto"/>
        </w:rPr>
      </w:pPr>
      <w:r>
        <w:rPr>
          <w:rFonts w:ascii="Arial" w:cs="Arial" w:eastAsia="Arial" w:hAnsi="Arial"/>
          <w:sz w:val="22"/>
          <w:szCs w:val="22"/>
          <w:color w:val="auto"/>
        </w:rPr>
        <w:t xml:space="preserve">Yes </w:t>
      </w:r>
      <w:r>
        <w:rPr>
          <w:rFonts w:ascii="MS PGothic" w:cs="MS PGothic" w:eastAsia="MS PGothic" w:hAnsi="MS PGothic"/>
          <w:sz w:val="22"/>
          <w:szCs w:val="22"/>
          <w:color w:val="auto"/>
        </w:rPr>
        <w:t>☐</w:t>
      </w:r>
      <w:r>
        <w:rPr>
          <w:sz w:val="20"/>
          <w:szCs w:val="20"/>
          <w:color w:val="auto"/>
        </w:rPr>
        <w:tab/>
      </w:r>
      <w:r>
        <w:rPr>
          <w:rFonts w:ascii="Arial" w:cs="Arial" w:eastAsia="Arial" w:hAnsi="Arial"/>
          <w:sz w:val="19"/>
          <w:szCs w:val="19"/>
          <w:color w:val="auto"/>
        </w:rPr>
        <w:t xml:space="preserve">No </w:t>
      </w:r>
      <w:r>
        <w:rPr>
          <w:rFonts w:ascii="MS PGothic" w:cs="MS PGothic" w:eastAsia="MS PGothic" w:hAnsi="MS PGothic"/>
          <w:sz w:val="19"/>
          <w:szCs w:val="19"/>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332740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1" w:name="page2"/>
    <w:bookmarkEnd w:id="1"/>
    <w:p>
      <w:pPr>
        <w:jc w:val="center"/>
        <w:ind w:right="19"/>
        <w:spacing w:after="0"/>
        <w:rPr>
          <w:sz w:val="20"/>
          <w:szCs w:val="20"/>
          <w:color w:val="auto"/>
        </w:rPr>
      </w:pPr>
      <w:r>
        <w:rPr>
          <w:rFonts w:ascii="Arial" w:cs="Arial" w:eastAsia="Arial" w:hAnsi="Arial"/>
          <w:sz w:val="19"/>
          <w:szCs w:val="19"/>
          <w:b w:val="1"/>
          <w:bCs w:val="1"/>
          <w:color w:val="auto"/>
        </w:rPr>
        <w:t>On July 10, 2023, the Registrant Announces Second Quarter 2023 Earnings Release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324485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396" w:right="1440" w:bottom="1440" w:gutter="0" w:footer="0" w:header="0"/>
        </w:sectPr>
      </w:pPr>
    </w:p>
    <w:bookmarkStart w:id="2" w:name="page3"/>
    <w:bookmarkEnd w:id="2"/>
    <w:p>
      <w:pPr>
        <w:jc w:val="center"/>
        <w:ind w:right="-99"/>
        <w:spacing w:after="0"/>
        <w:rPr>
          <w:sz w:val="20"/>
          <w:szCs w:val="20"/>
          <w:color w:val="auto"/>
        </w:rPr>
      </w:pPr>
      <w:r>
        <w:rPr>
          <w:rFonts w:ascii="Arial" w:cs="Arial" w:eastAsia="Arial" w:hAnsi="Arial"/>
          <w:sz w:val="22"/>
          <w:szCs w:val="22"/>
          <w:b w:val="1"/>
          <w:bCs w:val="1"/>
          <w:color w:val="auto"/>
        </w:rPr>
        <w:t>SIGNATURES</w:t>
      </w:r>
    </w:p>
    <w:p>
      <w:pPr>
        <w:spacing w:after="0" w:line="293" w:lineRule="exact"/>
        <w:rPr>
          <w:sz w:val="20"/>
          <w:szCs w:val="20"/>
          <w:color w:val="auto"/>
        </w:rPr>
      </w:pPr>
    </w:p>
    <w:p>
      <w:pPr>
        <w:spacing w:after="0" w:line="276"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thereunto duly authorized.</w:t>
      </w:r>
    </w:p>
    <w:p>
      <w:pPr>
        <w:spacing w:after="0" w:line="218"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TOWER SEMICONDUCTOR LTD.</w:t>
      </w:r>
    </w:p>
    <w:p>
      <w:pPr>
        <w:spacing w:after="0" w:line="243" w:lineRule="exact"/>
        <w:rPr>
          <w:sz w:val="20"/>
          <w:szCs w:val="20"/>
          <w:color w:val="auto"/>
        </w:rPr>
      </w:pPr>
    </w:p>
    <w:p>
      <w:pPr>
        <w:ind w:left="780"/>
        <w:spacing w:after="0"/>
        <w:tabs>
          <w:tab w:leader="none" w:pos="5600" w:val="left"/>
        </w:tabs>
        <w:rPr>
          <w:sz w:val="20"/>
          <w:szCs w:val="20"/>
          <w:color w:val="auto"/>
        </w:rPr>
      </w:pPr>
      <w:r>
        <w:rPr>
          <w:rFonts w:ascii="Arial" w:cs="Arial" w:eastAsia="Arial" w:hAnsi="Arial"/>
          <w:sz w:val="18"/>
          <w:szCs w:val="18"/>
          <w:color w:val="auto"/>
        </w:rPr>
        <w:t>Date: July 10, 2023</w:t>
      </w:r>
      <w:r>
        <w:rPr>
          <w:sz w:val="20"/>
          <w:szCs w:val="20"/>
          <w:color w:val="auto"/>
        </w:rPr>
        <w:tab/>
      </w:r>
      <w:r>
        <w:rPr>
          <w:rFonts w:ascii="Arial" w:cs="Arial" w:eastAsia="Arial" w:hAnsi="Arial"/>
          <w:sz w:val="17"/>
          <w:szCs w:val="17"/>
          <w:color w:val="auto"/>
        </w:rPr>
        <w:t>By: /s/ Nati Somekh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23495</wp:posOffset>
            </wp:positionV>
            <wp:extent cx="249428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30"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 Nati Somekh</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Title: 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369" w:right="43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260350</wp:posOffset>
            </wp:positionV>
            <wp:extent cx="1105535" cy="643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1105535" cy="643255"/>
                    </a:xfrm>
                    <a:prstGeom prst="rect">
                      <a:avLst/>
                    </a:prstGeom>
                    <a:noFill/>
                  </pic:spPr>
                </pic:pic>
              </a:graphicData>
            </a:graphic>
          </wp:anchor>
        </w:drawing>
      </w:r>
    </w:p>
    <w:p>
      <w:pPr>
        <w:spacing w:after="0" w:line="30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Tower Semiconductor Announces Second Quarter 2023 Earnings Release Date</w:t>
      </w:r>
    </w:p>
    <w:p>
      <w:pPr>
        <w:spacing w:after="0" w:line="287" w:lineRule="exact"/>
        <w:rPr>
          <w:sz w:val="20"/>
          <w:szCs w:val="20"/>
          <w:color w:val="auto"/>
        </w:rPr>
      </w:pPr>
    </w:p>
    <w:p>
      <w:pPr>
        <w:spacing w:after="0" w:line="307" w:lineRule="auto"/>
        <w:rPr>
          <w:sz w:val="20"/>
          <w:szCs w:val="20"/>
          <w:color w:val="auto"/>
        </w:rPr>
      </w:pPr>
      <w:r>
        <w:rPr>
          <w:rFonts w:ascii="Arial" w:cs="Arial" w:eastAsia="Arial" w:hAnsi="Arial"/>
          <w:sz w:val="21"/>
          <w:szCs w:val="21"/>
          <w:b w:val="1"/>
          <w:bCs w:val="1"/>
          <w:color w:val="auto"/>
        </w:rPr>
        <w:t xml:space="preserve">MIGDAL HAEMEK, Israel – July 10, 2023 </w:t>
      </w:r>
      <w:r>
        <w:rPr>
          <w:rFonts w:ascii="Arial" w:cs="Arial" w:eastAsia="Arial" w:hAnsi="Arial"/>
          <w:sz w:val="21"/>
          <w:szCs w:val="21"/>
          <w:color w:val="auto"/>
        </w:rPr>
        <w:t>–</w:t>
      </w:r>
      <w:r>
        <w:rPr>
          <w:rFonts w:ascii="Arial" w:cs="Arial" w:eastAsia="Arial" w:hAnsi="Arial"/>
          <w:sz w:val="21"/>
          <w:szCs w:val="21"/>
          <w:b w:val="1"/>
          <w:bCs w:val="1"/>
          <w:color w:val="auto"/>
        </w:rPr>
        <w:t xml:space="preserve"> </w:t>
      </w:r>
      <w:r>
        <w:rPr>
          <w:rFonts w:ascii="Arial" w:cs="Arial" w:eastAsia="Arial" w:hAnsi="Arial"/>
          <w:sz w:val="21"/>
          <w:szCs w:val="21"/>
          <w:u w:val="single" w:color="auto"/>
          <w:color w:val="auto"/>
        </w:rPr>
        <w:t>Tower Semiconductor</w:t>
      </w:r>
      <w:r>
        <w:rPr>
          <w:rFonts w:ascii="Arial" w:cs="Arial" w:eastAsia="Arial" w:hAnsi="Arial"/>
          <w:sz w:val="21"/>
          <w:szCs w:val="21"/>
          <w:b w:val="1"/>
          <w:bCs w:val="1"/>
          <w:color w:val="auto"/>
        </w:rPr>
        <w:t xml:space="preserve"> </w:t>
      </w:r>
      <w:r>
        <w:rPr>
          <w:rFonts w:ascii="Arial" w:cs="Arial" w:eastAsia="Arial" w:hAnsi="Arial"/>
          <w:sz w:val="21"/>
          <w:szCs w:val="21"/>
          <w:color w:val="auto"/>
        </w:rPr>
        <w:t>(NASDAQ/ TASE: TSEM), the leading foundry of high</w:t>
      </w:r>
      <w:r>
        <w:rPr>
          <w:rFonts w:ascii="Arial" w:cs="Arial" w:eastAsia="Arial" w:hAnsi="Arial"/>
          <w:sz w:val="21"/>
          <w:szCs w:val="21"/>
          <w:b w:val="1"/>
          <w:bCs w:val="1"/>
          <w:color w:val="auto"/>
        </w:rPr>
        <w:t xml:space="preserve"> </w:t>
      </w:r>
      <w:r>
        <w:rPr>
          <w:rFonts w:ascii="Arial" w:cs="Arial" w:eastAsia="Arial" w:hAnsi="Arial"/>
          <w:sz w:val="21"/>
          <w:szCs w:val="21"/>
          <w:color w:val="auto"/>
        </w:rPr>
        <w:t>value analog semiconductor solutions, will issue its second quarter 2023 earnings on Wednesday, July 26, 2023.</w:t>
      </w:r>
    </w:p>
    <w:p>
      <w:pPr>
        <w:spacing w:after="0" w:line="198" w:lineRule="exact"/>
        <w:rPr>
          <w:sz w:val="20"/>
          <w:szCs w:val="20"/>
          <w:color w:val="auto"/>
        </w:rPr>
      </w:pPr>
    </w:p>
    <w:p>
      <w:pPr>
        <w:ind w:right="280"/>
        <w:spacing w:after="0" w:line="276" w:lineRule="auto"/>
        <w:rPr>
          <w:sz w:val="20"/>
          <w:szCs w:val="20"/>
          <w:color w:val="auto"/>
        </w:rPr>
      </w:pPr>
      <w:r>
        <w:rPr>
          <w:rFonts w:ascii="Arial" w:cs="Arial" w:eastAsia="Arial" w:hAnsi="Arial"/>
          <w:sz w:val="22"/>
          <w:szCs w:val="22"/>
          <w:color w:val="auto"/>
        </w:rPr>
        <w:t>In light of the previously announced transaction with Intel, Tower will not provide guidance for the third-quarter 2023 and will not host an earnings conference call.</w:t>
      </w:r>
    </w:p>
    <w:p>
      <w:pPr>
        <w:spacing w:after="0" w:line="22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Tower Semiconductor</w:t>
      </w:r>
    </w:p>
    <w:p>
      <w:pPr>
        <w:spacing w:after="0" w:line="27" w:lineRule="exact"/>
        <w:rPr>
          <w:sz w:val="20"/>
          <w:szCs w:val="20"/>
          <w:color w:val="auto"/>
        </w:rPr>
      </w:pPr>
    </w:p>
    <w:p>
      <w:pPr>
        <w:ind w:right="40"/>
        <w:spacing w:after="0" w:line="270" w:lineRule="auto"/>
        <w:rPr>
          <w:sz w:val="20"/>
          <w:szCs w:val="20"/>
          <w:color w:val="auto"/>
        </w:rPr>
      </w:pPr>
      <w:r>
        <w:rPr>
          <w:rFonts w:ascii="Arial" w:cs="Arial" w:eastAsia="Arial" w:hAnsi="Arial"/>
          <w:sz w:val="21"/>
          <w:szCs w:val="21"/>
          <w:color w:val="auto"/>
        </w:rPr>
        <w:t xml:space="preserve">Tower Semiconductor Ltd. (NASDAQ: TSEM, TASE: TSEM), the leading foundry of high-value analog semiconductor solutions, provides technology and manufacturing platforms for integrated circuits (ICs) in growing markets such as consumer, industrial, automotive, mobile, infrastructure, medical, and aerospace and defense. Tower Semiconductor focuses on creating positive and sustainable impact on the world through long-term partnerships and its advanced and innovative analog technology offering, comprised of a broad range of customizable process platforms such as SiGe, BiCMOS, mixed-signal/CMOS, RF CMOS, CMOS image sensor, non-imaging sensors, integrated power management (BCD and 700V), and MEMS. Tower Semiconductor also provides world-class design enablement for a quick and accurate design cycle as well as process transfer services including development, transfer, and optimization, to IDMs and fabless companies. To provide multi-fab sourcing and extended capacity for its customers, Tower Semiconductor owns two manufacturing facilities in Israel (150mm and 200mm), two in the U.S. (200mm), two facilities in Japan (200mm and 300mm) which it owns through its 51% holdings in TPSCo and is sharing a 300mm manufacturing facility being established in Italy with ST Microelectronics. For information, please visit: </w:t>
      </w:r>
      <w:r>
        <w:rPr>
          <w:rFonts w:ascii="Arial" w:cs="Arial" w:eastAsia="Arial" w:hAnsi="Arial"/>
          <w:sz w:val="21"/>
          <w:szCs w:val="21"/>
          <w:u w:val="single" w:color="auto"/>
          <w:color w:val="auto"/>
        </w:rPr>
        <w:t>www.towersemi.com</w:t>
      </w:r>
      <w:r>
        <w:rPr>
          <w:rFonts w:ascii="Arial" w:cs="Arial" w:eastAsia="Arial" w:hAnsi="Arial"/>
          <w:sz w:val="21"/>
          <w:szCs w:val="21"/>
          <w:color w:val="auto"/>
        </w:rPr>
        <w:t>.</w:t>
      </w:r>
    </w:p>
    <w:p>
      <w:pPr>
        <w:spacing w:after="0" w:line="24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t>
      </w:r>
    </w:p>
    <w:p>
      <w:pPr>
        <w:spacing w:after="0" w:line="28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Contact Information:</w:t>
      </w:r>
    </w:p>
    <w:p>
      <w:pPr>
        <w:spacing w:after="0" w:line="27" w:lineRule="exact"/>
        <w:rPr>
          <w:sz w:val="20"/>
          <w:szCs w:val="20"/>
          <w:color w:val="auto"/>
        </w:rPr>
      </w:pPr>
    </w:p>
    <w:p>
      <w:pPr>
        <w:spacing w:after="0"/>
        <w:rPr>
          <w:sz w:val="20"/>
          <w:szCs w:val="20"/>
          <w:color w:val="auto"/>
        </w:rPr>
      </w:pPr>
      <w:r>
        <w:rPr>
          <w:rFonts w:ascii="Arial" w:cs="Arial" w:eastAsia="Arial" w:hAnsi="Arial"/>
          <w:sz w:val="22"/>
          <w:szCs w:val="22"/>
          <w:color w:val="auto"/>
        </w:rPr>
        <w:t>Tower Semiconductor Investor Relations</w:t>
      </w:r>
    </w:p>
    <w:p>
      <w:pPr>
        <w:spacing w:after="0" w:line="17" w:lineRule="exact"/>
        <w:rPr>
          <w:sz w:val="20"/>
          <w:szCs w:val="20"/>
          <w:color w:val="auto"/>
        </w:rPr>
      </w:pPr>
    </w:p>
    <w:p>
      <w:pPr>
        <w:spacing w:after="0"/>
        <w:rPr>
          <w:sz w:val="20"/>
          <w:szCs w:val="20"/>
          <w:color w:val="auto"/>
        </w:rPr>
      </w:pPr>
      <w:r>
        <w:rPr>
          <w:rFonts w:ascii="Arial" w:cs="Arial" w:eastAsia="Arial" w:hAnsi="Arial"/>
          <w:sz w:val="22"/>
          <w:szCs w:val="22"/>
          <w:color w:val="auto"/>
        </w:rPr>
        <w:t>Noit Levy, SVP Investor Relations</w:t>
      </w:r>
    </w:p>
    <w:p>
      <w:pPr>
        <w:spacing w:after="0" w:line="17"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noitle@towersemi.com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253365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347345</wp:posOffset>
            </wp:positionV>
            <wp:extent cx="71323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2023-07-10T05:15:52Z</dcterms:created>
  <dcterms:modified xsi:type="dcterms:W3CDTF">2023-07-10T05:15:52Z</dcterms:modified>
</cp:coreProperties>
</file>