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 - - - - - - - - - - -</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SCHEDULE 13D/A</w:t>
      </w:r>
    </w:p>
    <w:p>
      <w:pPr>
        <w:spacing w:after="0" w:line="3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(AMENDMENT NO. 3)</w:t>
      </w:r>
    </w:p>
    <w:p>
      <w:pPr>
        <w:spacing w:after="0" w:line="14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 - - - - - - - -</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TOWER SEMICONDUCTOR LTD.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276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(Name of Issuer)</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ORDINARY SHARES, NIS 1.00 PAR VALUE PER SHARE</w:t>
            </w:r>
          </w:p>
        </w:tc>
        <w:tc>
          <w:tcPr>
            <w:tcW w:w="1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M87915100</w:t>
            </w:r>
          </w:p>
        </w:tc>
        <w:tc>
          <w:tcPr>
            <w:tcW w:w="0" w:type="dxa"/>
            <w:vAlign w:val="bottom"/>
          </w:tcPr>
          <w:p>
            <w:pPr>
              <w:spacing w:after="0"/>
              <w:rPr>
                <w:sz w:val="1"/>
                <w:szCs w:val="1"/>
                <w:color w:val="auto"/>
              </w:rPr>
            </w:pPr>
          </w:p>
        </w:tc>
      </w:tr>
      <w:tr>
        <w:trPr>
          <w:trHeight w:val="166"/>
        </w:trPr>
        <w:tc>
          <w:tcPr>
            <w:tcW w:w="488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70"/>
              </w:rPr>
              <w:t>- ---------------------------------------------</w:t>
            </w:r>
            <w:r>
              <w:rPr>
                <w:rFonts w:ascii="Courier New" w:cs="Courier New" w:eastAsia="Courier New" w:hAnsi="Courier New"/>
                <w:sz w:val="28"/>
                <w:szCs w:val="28"/>
                <w:color w:val="auto"/>
                <w:w w:val="70"/>
                <w:vertAlign w:val="subscript"/>
              </w:rPr>
              <w:t>(TitleofClassofSecurities)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880" w:type="dxa"/>
            <w:vAlign w:val="bottom"/>
            <w:gridSpan w:val="2"/>
            <w:vMerge w:val="continue"/>
          </w:tcPr>
          <w:p>
            <w:pPr>
              <w:spacing w:after="0"/>
              <w:rPr>
                <w:sz w:val="22"/>
                <w:szCs w:val="22"/>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(CUSIP Number)</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Noga Yatziv, Adv.</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88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Israel Corporation Ltd.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Tel</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23 Aranha Street</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Aviv 61070, Israel</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972-3-684-4517</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(Name, Address</w:t>
            </w: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 - - - - - -</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60" w:type="dxa"/>
            <w:vAlign w:val="bottom"/>
            <w:vMerge w:val="continue"/>
          </w:tcPr>
          <w:p>
            <w:pPr>
              <w:spacing w:after="0"/>
              <w:rPr>
                <w:sz w:val="16"/>
                <w:szCs w:val="16"/>
                <w:color w:val="auto"/>
              </w:rPr>
            </w:pPr>
          </w:p>
        </w:tc>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Telephone Number of Person</w:t>
            </w:r>
          </w:p>
        </w:tc>
        <w:tc>
          <w:tcPr>
            <w:tcW w:w="0" w:type="dxa"/>
            <w:vAlign w:val="bottom"/>
          </w:tcPr>
          <w:p>
            <w:pPr>
              <w:spacing w:after="0"/>
              <w:rPr>
                <w:sz w:val="1"/>
                <w:szCs w:val="1"/>
                <w:color w:val="auto"/>
              </w:rPr>
            </w:pPr>
          </w:p>
        </w:tc>
      </w:tr>
    </w:tbl>
    <w:p>
      <w:pPr>
        <w:jc w:val="center"/>
        <w:ind w:right="4540"/>
        <w:spacing w:after="0"/>
        <w:rPr>
          <w:sz w:val="20"/>
          <w:szCs w:val="20"/>
          <w:color w:val="auto"/>
        </w:rPr>
      </w:pPr>
      <w:r>
        <w:rPr>
          <w:rFonts w:ascii="Courier New" w:cs="Courier New" w:eastAsia="Courier New" w:hAnsi="Courier New"/>
          <w:sz w:val="14"/>
          <w:szCs w:val="14"/>
          <w:color w:val="auto"/>
        </w:rPr>
        <w:t>Authorized to Receive Notices and Communications)</w:t>
      </w:r>
    </w:p>
    <w:p>
      <w:pPr>
        <w:spacing w:after="0" w:line="14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April 24, 2002</w:t>
      </w:r>
    </w:p>
    <w:p>
      <w:pPr>
        <w:spacing w:after="0" w:line="33"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Event which Requires Filing of this Statement)</w:t>
      </w:r>
    </w:p>
    <w:p>
      <w:pPr>
        <w:spacing w:after="0" w:line="147" w:lineRule="exact"/>
        <w:rPr>
          <w:sz w:val="24"/>
          <w:szCs w:val="24"/>
          <w:color w:val="auto"/>
        </w:rPr>
      </w:pPr>
    </w:p>
    <w:p>
      <w:pPr>
        <w:ind w:right="4720"/>
        <w:spacing w:after="0" w:line="292" w:lineRule="auto"/>
        <w:rPr>
          <w:sz w:val="20"/>
          <w:szCs w:val="20"/>
          <w:color w:val="auto"/>
        </w:rPr>
      </w:pPr>
      <w:r>
        <w:rPr>
          <w:rFonts w:ascii="Courier New" w:cs="Courier New" w:eastAsia="Courier New" w:hAnsi="Courier New"/>
          <w:sz w:val="14"/>
          <w:szCs w:val="14"/>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56" w:lineRule="exact"/>
        <w:rPr>
          <w:sz w:val="24"/>
          <w:szCs w:val="24"/>
          <w:color w:val="auto"/>
        </w:rPr>
      </w:pPr>
    </w:p>
    <w:p>
      <w:pPr>
        <w:ind w:right="4640"/>
        <w:spacing w:after="0" w:line="313" w:lineRule="auto"/>
        <w:rPr>
          <w:sz w:val="20"/>
          <w:szCs w:val="20"/>
          <w:color w:val="auto"/>
        </w:rPr>
      </w:pPr>
      <w:r>
        <w:rPr>
          <w:rFonts w:ascii="Courier New" w:cs="Courier New" w:eastAsia="Courier New" w:hAnsi="Courier New"/>
          <w:sz w:val="14"/>
          <w:szCs w:val="14"/>
          <w:color w:val="auto"/>
        </w:rPr>
        <w:t>NOTE: Schedules filed in paper format shall include a signed original and five copies of the schedule, including all exhibits. See Rule 13d-7 for other parties to whom copies are to be sent.</w:t>
      </w:r>
    </w:p>
    <w:p>
      <w:pPr>
        <w:spacing w:after="0" w:line="42" w:lineRule="exact"/>
        <w:rPr>
          <w:sz w:val="24"/>
          <w:szCs w:val="24"/>
          <w:color w:val="auto"/>
        </w:rPr>
      </w:pPr>
    </w:p>
    <w:p>
      <w:pPr>
        <w:ind w:right="4640"/>
        <w:spacing w:after="0" w:line="284" w:lineRule="auto"/>
        <w:rPr>
          <w:sz w:val="20"/>
          <w:szCs w:val="20"/>
          <w:color w:val="auto"/>
        </w:rPr>
      </w:pPr>
      <w:r>
        <w:rPr>
          <w:rFonts w:ascii="Courier New" w:cs="Courier New" w:eastAsia="Courier New" w:hAnsi="Courier New"/>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4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(Continued on following pages)</w:t>
      </w:r>
    </w:p>
    <w:p>
      <w:pPr>
        <w:spacing w:after="0" w:line="3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(Page 1 of 34 Pages)</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Page 2 of 34</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3260" w:type="dxa"/>
            <w:vAlign w:val="bottom"/>
          </w:tcPr>
          <w:p>
            <w:pPr>
              <w:ind w:left="1280"/>
              <w:spacing w:after="0"/>
              <w:rPr>
                <w:sz w:val="20"/>
                <w:szCs w:val="20"/>
                <w:color w:val="auto"/>
              </w:rPr>
            </w:pPr>
            <w:r>
              <w:rPr>
                <w:rFonts w:ascii="Courier New" w:cs="Courier New" w:eastAsia="Courier New" w:hAnsi="Courier New"/>
                <w:sz w:val="14"/>
                <w:szCs w:val="14"/>
                <w:color w:val="auto"/>
              </w:rPr>
              <w:t>ISRAEL CORPORATION LTD.</w:t>
            </w:r>
          </w:p>
        </w:tc>
      </w:tr>
      <w:tr>
        <w:trPr>
          <w:trHeight w:val="166"/>
        </w:trPr>
        <w:tc>
          <w:tcPr>
            <w:tcW w:w="620" w:type="dxa"/>
            <w:vAlign w:val="bottom"/>
          </w:tcPr>
          <w:p>
            <w:pPr>
              <w:spacing w:after="0"/>
              <w:rPr>
                <w:sz w:val="14"/>
                <w:szCs w:val="14"/>
                <w:color w:val="auto"/>
              </w:rPr>
            </w:pPr>
          </w:p>
        </w:tc>
        <w:tc>
          <w:tcPr>
            <w:tcW w:w="42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326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3260" w:type="dxa"/>
            <w:vAlign w:val="bottom"/>
          </w:tcPr>
          <w:p>
            <w:pPr>
              <w:spacing w:after="0" w:line="20" w:lineRule="exact"/>
              <w:rPr>
                <w:sz w:val="1"/>
                <w:szCs w:val="1"/>
                <w:color w:val="auto"/>
              </w:rPr>
            </w:pPr>
          </w:p>
        </w:tc>
      </w:tr>
    </w:tbl>
    <w:p>
      <w:pPr>
        <w:spacing w:after="0" w:line="166" w:lineRule="exact"/>
        <w:rPr>
          <w:sz w:val="24"/>
          <w:szCs w:val="24"/>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------------------------------------------------------------------------------------------------------------- 2 CHECK THE APPROPRIATE BOX IF A MEMBER OF A GROUP: (A) [ ] (B) [X]</w:t>
      </w: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1980" w:hanging="1110"/>
        <w:spacing w:after="0"/>
        <w:tabs>
          <w:tab w:leader="none" w:pos="19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3"/>
          <w:szCs w:val="13"/>
          <w:color w:val="auto"/>
        </w:rPr>
        <w:t>WC</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4"/>
          <w:szCs w:val="24"/>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13,776,750</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4"/>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20,215,293</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4"/>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13,776,750</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4"/>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20,215,293</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(3)(4)</w:t>
      </w:r>
    </w:p>
    <w:p>
      <w:pPr>
        <w:sectPr>
          <w:pgSz w:w="11900" w:h="16838" w:orient="portrait"/>
          <w:cols w:equalWidth="0" w:num="1">
            <w:col w:w="11540"/>
          </w:cols>
          <w:pgMar w:left="220" w:top="204" w:right="139"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CHECK IF THE AGGREGATE AMOUNT IN ROW (11) EXCLUDES CERTAIN SHARES:</w:t>
      </w:r>
      <w:r>
        <w:rPr>
          <w:sz w:val="20"/>
          <w:szCs w:val="20"/>
          <w:color w:val="auto"/>
        </w:rPr>
        <w:tab/>
      </w: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1032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PERCENT OF CLASS REPRESENTED BY AMOUNT IN ROW (11):</w:t>
      </w:r>
      <w:r>
        <w:rPr>
          <w:sz w:val="20"/>
          <w:szCs w:val="20"/>
          <w:color w:val="auto"/>
        </w:rPr>
        <w:tab/>
      </w:r>
      <w:r>
        <w:rPr>
          <w:rFonts w:ascii="Courier New" w:cs="Courier New" w:eastAsia="Courier New" w:hAnsi="Courier New"/>
          <w:sz w:val="14"/>
          <w:szCs w:val="14"/>
          <w:color w:val="auto"/>
        </w:rPr>
        <w:t>72.38%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p>
      <w:pPr>
        <w:ind w:left="78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TYPE OF REPORTING PERSON:</w:t>
      </w:r>
      <w:r>
        <w:rPr>
          <w:sz w:val="20"/>
          <w:szCs w:val="20"/>
          <w:color w:val="auto"/>
        </w:rPr>
        <w:tab/>
      </w:r>
      <w:r>
        <w:rPr>
          <w:rFonts w:ascii="Courier New" w:cs="Courier New" w:eastAsia="Courier New" w:hAnsi="Courier New"/>
          <w:sz w:val="14"/>
          <w:szCs w:val="14"/>
          <w:color w:val="auto"/>
        </w:rPr>
        <w:t>CO</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4" w:lineRule="exact"/>
        <w:rPr>
          <w:sz w:val="20"/>
          <w:szCs w:val="20"/>
          <w:color w:val="auto"/>
        </w:rPr>
      </w:pPr>
    </w:p>
    <w:p>
      <w:pPr>
        <w:ind w:right="4980" w:firstLine="439"/>
        <w:spacing w:after="0" w:line="376" w:lineRule="auto"/>
        <w:tabs>
          <w:tab w:leader="none" w:pos="7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and warrants to purchase 1,410,320 Ordinary Shares exercisable within sixty (60) days.</w:t>
      </w:r>
    </w:p>
    <w:p>
      <w:pPr>
        <w:sectPr>
          <w:pgSz w:w="11900" w:h="16838" w:orient="portrait"/>
          <w:cols w:equalWidth="0" w:num="1">
            <w:col w:w="11540"/>
          </w:cols>
          <w:pgMar w:left="220" w:top="115" w:right="139" w:bottom="1440" w:gutter="0" w:footer="0" w:header="0"/>
        </w:sectPr>
      </w:pPr>
    </w:p>
    <w:bookmarkStart w:id="2" w:name="page3"/>
    <w:bookmarkEnd w:id="2"/>
    <w:p>
      <w:pPr>
        <w:ind w:left="-439" w:right="3679" w:firstLine="439"/>
        <w:spacing w:after="0" w:line="375" w:lineRule="auto"/>
        <w:tabs>
          <w:tab w:leader="none" w:pos="33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and warrants to purchase 2,115,129 Ordinary Shares exercisable within sixty (60) days.</w:t>
      </w:r>
    </w:p>
    <w:p>
      <w:pPr>
        <w:spacing w:after="0" w:line="1" w:lineRule="exact"/>
        <w:rPr>
          <w:rFonts w:ascii="Courier New" w:cs="Courier New" w:eastAsia="Courier New" w:hAnsi="Courier New"/>
          <w:sz w:val="14"/>
          <w:szCs w:val="14"/>
          <w:color w:val="auto"/>
        </w:rPr>
      </w:pPr>
    </w:p>
    <w:p>
      <w:pPr>
        <w:ind w:left="-439" w:right="3339" w:firstLine="439"/>
        <w:spacing w:after="0" w:line="255" w:lineRule="auto"/>
        <w:tabs>
          <w:tab w:leader="none" w:pos="33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33,992,043 Ordinary Shares (as defined in Item 1 below) are subject to a Consolidated Shareholders Agreement ("Consolidated Shareholders Agreement"), dated as of January 18, 2001, by and among Israel Corporation Ltd. and certain shareholders of Tower (as defined in Item 1 below), of which 13,776,750 Ordinary Shares are held directly by Israel Corporation Technologies (ICTech) Ltd. and 20,215,293 Ordinary Shares are held by the other parties to the Consolidated Shareholders Agreement. The Consolidated Shareholders Agreement included herein as Exhibit 4 provides for certain obligations and restrictions with respect to the voting and disposition of the Ordinary Shares held by the Shareholders (as defined in Item 3 below). The terms of the Consolidated Shareholders Agreement are hereby specifically incorporated by reference herein. Neither the filing of this Amendment No. 3 to the Schedule 13D nor any of its contents shall be deemed to constitute an admission by any Reporting Person (as defined in the Explanatory Note) that it is the beneficial owner of any of the shares of Tower covered by the Consolidated Shareholders Agreement, other than the shares held directly by such Reporting Person, for purposes of Section 13(d) of the Act (as defined in Item 2 below), or for any other purpose, and such beneficial ownership is expressly disclaimed. Each Reporting Person expressly disclaims (i) the existence of any group, and (ii) beneficial ownership with respect to any shares other than the shares held directly by such Reporting Person. See Item 5. Based on the number of Ordinary Shares of Tower outstanding as of the date hereof of 43,435,532 (according to publicly available information provided by Tower to date) the number of Ordinary Shares of Tower covered by the Consolidated Shareholders Agreement (including the number of Ordinary Shares issuable pursuant to the options and warrants referred to in footnote 3 below) represents approximately 72.38% of the outstanding Ordinary Shares. The above number of outstanding Ordinary Shares does not include 1,300,000 treasury shares held by a trustee for the benefit of Tower's employee stock option plan.</w:t>
      </w:r>
    </w:p>
    <w:p>
      <w:pPr>
        <w:spacing w:after="0" w:line="85" w:lineRule="exact"/>
        <w:rPr>
          <w:rFonts w:ascii="Courier New" w:cs="Courier New" w:eastAsia="Courier New" w:hAnsi="Courier New"/>
          <w:sz w:val="14"/>
          <w:szCs w:val="14"/>
          <w:color w:val="auto"/>
        </w:rPr>
      </w:pPr>
    </w:p>
    <w:p>
      <w:pPr>
        <w:ind w:left="-439" w:right="3679" w:firstLine="439"/>
        <w:spacing w:after="0" w:line="376" w:lineRule="auto"/>
        <w:tabs>
          <w:tab w:leader="none" w:pos="33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and warrants to purchase an aggregate of 3,525,449 Ordinary Shares exercisable within sixty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00"/>
          </w:cols>
          <w:pgMar w:left="659" w:top="4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Page 4 of 34</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5160" w:type="dxa"/>
            <w:vAlign w:val="bottom"/>
          </w:tcPr>
          <w:p>
            <w:pPr>
              <w:ind w:left="1280"/>
              <w:spacing w:after="0"/>
              <w:rPr>
                <w:sz w:val="20"/>
                <w:szCs w:val="20"/>
                <w:color w:val="auto"/>
              </w:rPr>
            </w:pPr>
            <w:r>
              <w:rPr>
                <w:rFonts w:ascii="Courier New" w:cs="Courier New" w:eastAsia="Courier New" w:hAnsi="Courier New"/>
                <w:sz w:val="14"/>
                <w:szCs w:val="14"/>
                <w:color w:val="auto"/>
              </w:rPr>
              <w:t>ISRAEL CORPORATION TECHNOLOGIES (ICTECH) LTD.</w:t>
            </w:r>
          </w:p>
        </w:tc>
      </w:tr>
      <w:tr>
        <w:trPr>
          <w:trHeight w:val="166"/>
        </w:trPr>
        <w:tc>
          <w:tcPr>
            <w:tcW w:w="620" w:type="dxa"/>
            <w:vAlign w:val="bottom"/>
          </w:tcPr>
          <w:p>
            <w:pPr>
              <w:spacing w:after="0"/>
              <w:rPr>
                <w:sz w:val="14"/>
                <w:szCs w:val="14"/>
                <w:color w:val="auto"/>
              </w:rPr>
            </w:pPr>
          </w:p>
        </w:tc>
        <w:tc>
          <w:tcPr>
            <w:tcW w:w="42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516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5160" w:type="dxa"/>
            <w:vAlign w:val="bottom"/>
          </w:tcPr>
          <w:p>
            <w:pPr>
              <w:spacing w:after="0" w:line="20" w:lineRule="exact"/>
              <w:rPr>
                <w:sz w:val="1"/>
                <w:szCs w:val="1"/>
                <w:color w:val="auto"/>
              </w:rPr>
            </w:pPr>
          </w:p>
        </w:tc>
      </w:tr>
    </w:tbl>
    <w:p>
      <w:pPr>
        <w:spacing w:after="0" w:line="166" w:lineRule="exact"/>
        <w:rPr>
          <w:sz w:val="20"/>
          <w:szCs w:val="20"/>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- 2 CHECK THE APPROPRIATE BOX IF A MEMBER OF A GROUP: (A) [ ] (B) [X]</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1980" w:hanging="1110"/>
        <w:spacing w:after="0"/>
        <w:tabs>
          <w:tab w:leader="none" w:pos="19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3"/>
          <w:szCs w:val="13"/>
          <w:color w:val="auto"/>
        </w:rPr>
        <w:t>WC</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13,776,750</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4"/>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20,215,293</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4"/>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13,776,750</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4"/>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20,215,293</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CHECK BOX IF THE AGGREGATE AMOUNT IN ROW (11)</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EXCLUDES CERTAIN SHARES: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229"/>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PERCENT OF CLASS REPRESENTED BY AMOUNT IN ROW</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72.38%</w:t>
            </w:r>
          </w:p>
        </w:tc>
      </w:tr>
      <w:tr>
        <w:trPr>
          <w:trHeight w:val="255"/>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TYPE OF REPORTING PERSON:</w:t>
            </w:r>
          </w:p>
        </w:tc>
        <w:tc>
          <w:tcPr>
            <w:tcW w:w="3280" w:type="dxa"/>
            <w:vAlign w:val="bottom"/>
          </w:tcPr>
          <w:p>
            <w:pPr>
              <w:ind w:left="1080"/>
              <w:spacing w:after="0"/>
              <w:rPr>
                <w:sz w:val="20"/>
                <w:szCs w:val="20"/>
                <w:color w:val="auto"/>
              </w:rPr>
            </w:pPr>
            <w:r>
              <w:rPr>
                <w:rFonts w:ascii="Courier New" w:cs="Courier New" w:eastAsia="Courier New" w:hAnsi="Courier New"/>
                <w:sz w:val="14"/>
                <w:szCs w:val="14"/>
                <w:color w:val="auto"/>
              </w:rPr>
              <w:t>CO</w:t>
            </w:r>
          </w:p>
        </w:tc>
        <w:tc>
          <w:tcPr>
            <w:tcW w:w="2360" w:type="dxa"/>
            <w:vAlign w:val="bottom"/>
          </w:tcPr>
          <w:p>
            <w:pPr>
              <w:spacing w:after="0"/>
              <w:rPr>
                <w:sz w:val="21"/>
                <w:szCs w:val="21"/>
                <w:color w:val="auto"/>
              </w:rPr>
            </w:pPr>
          </w:p>
        </w:tc>
      </w:tr>
    </w:tbl>
    <w:p>
      <w:pPr>
        <w:spacing w:after="0" w:line="90"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footnote (1) on Page 2.</w:t>
      </w:r>
    </w:p>
    <w:p>
      <w:pPr>
        <w:spacing w:after="0" w:line="172"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footnotes (2) and (3) on Page 3.</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footnotes (3) and (4) on Page 3.</w:t>
      </w:r>
    </w:p>
    <w:p>
      <w:pPr>
        <w:sectPr>
          <w:pgSz w:w="11900" w:h="16838" w:orient="portrait"/>
          <w:cols w:equalWidth="0" w:num="1">
            <w:col w:w="11540"/>
          </w:cols>
          <w:pgMar w:left="220" w:top="1073"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Page 5 of 34</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3960" w:type="dxa"/>
            <w:vAlign w:val="bottom"/>
          </w:tcPr>
          <w:p>
            <w:pPr>
              <w:ind w:left="1280"/>
              <w:spacing w:after="0"/>
              <w:rPr>
                <w:sz w:val="20"/>
                <w:szCs w:val="20"/>
                <w:color w:val="auto"/>
              </w:rPr>
            </w:pPr>
            <w:r>
              <w:rPr>
                <w:rFonts w:ascii="Courier New" w:cs="Courier New" w:eastAsia="Courier New" w:hAnsi="Courier New"/>
                <w:sz w:val="14"/>
                <w:szCs w:val="14"/>
                <w:color w:val="auto"/>
              </w:rPr>
              <w:t>MILLENIUM INVESTMENTS ELAD LTD.</w:t>
            </w:r>
          </w:p>
        </w:tc>
      </w:tr>
      <w:tr>
        <w:trPr>
          <w:trHeight w:val="166"/>
        </w:trPr>
        <w:tc>
          <w:tcPr>
            <w:tcW w:w="620" w:type="dxa"/>
            <w:vAlign w:val="bottom"/>
          </w:tcPr>
          <w:p>
            <w:pPr>
              <w:spacing w:after="0"/>
              <w:rPr>
                <w:sz w:val="14"/>
                <w:szCs w:val="14"/>
                <w:color w:val="auto"/>
              </w:rPr>
            </w:pPr>
          </w:p>
        </w:tc>
        <w:tc>
          <w:tcPr>
            <w:tcW w:w="42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396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3960" w:type="dxa"/>
            <w:vAlign w:val="bottom"/>
          </w:tcPr>
          <w:p>
            <w:pPr>
              <w:spacing w:after="0" w:line="20" w:lineRule="exact"/>
              <w:rPr>
                <w:sz w:val="1"/>
                <w:szCs w:val="1"/>
                <w:color w:val="auto"/>
              </w:rPr>
            </w:pPr>
          </w:p>
        </w:tc>
      </w:tr>
    </w:tbl>
    <w:p>
      <w:pPr>
        <w:spacing w:after="0" w:line="166" w:lineRule="exact"/>
        <w:rPr>
          <w:sz w:val="20"/>
          <w:szCs w:val="20"/>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- 2 CHECK THE APPROPRIATE BOX IF A MEMBER OF A GROUP: (A) [ ] (B) [X]</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1980" w:hanging="1110"/>
        <w:spacing w:after="0"/>
        <w:tabs>
          <w:tab w:leader="none" w:pos="19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4"/>
          <w:szCs w:val="14"/>
          <w:color w:val="auto"/>
        </w:rPr>
        <w:t>N.A.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CHECK BOX IF THE AGGREGATE AMOUNT IN ROW (11)</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EXCLUDES CERTAIN SHARES: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229"/>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PERCENT OF CLASS REPRESENTED BY AMOUNT IN ROW</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72.38%</w:t>
            </w:r>
          </w:p>
        </w:tc>
      </w:tr>
      <w:tr>
        <w:trPr>
          <w:trHeight w:val="255"/>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TYPE OF REPORTING PERSON:</w:t>
            </w:r>
          </w:p>
        </w:tc>
        <w:tc>
          <w:tcPr>
            <w:tcW w:w="3280" w:type="dxa"/>
            <w:vAlign w:val="bottom"/>
          </w:tcPr>
          <w:p>
            <w:pPr>
              <w:ind w:left="1080"/>
              <w:spacing w:after="0"/>
              <w:rPr>
                <w:sz w:val="20"/>
                <w:szCs w:val="20"/>
                <w:color w:val="auto"/>
              </w:rPr>
            </w:pPr>
            <w:r>
              <w:rPr>
                <w:rFonts w:ascii="Courier New" w:cs="Courier New" w:eastAsia="Courier New" w:hAnsi="Courier New"/>
                <w:sz w:val="14"/>
                <w:szCs w:val="14"/>
                <w:color w:val="auto"/>
              </w:rPr>
              <w:t>CO</w:t>
            </w:r>
          </w:p>
        </w:tc>
        <w:tc>
          <w:tcPr>
            <w:tcW w:w="2360" w:type="dxa"/>
            <w:vAlign w:val="bottom"/>
          </w:tcPr>
          <w:p>
            <w:pPr>
              <w:spacing w:after="0"/>
              <w:rPr>
                <w:sz w:val="21"/>
                <w:szCs w:val="21"/>
                <w:color w:val="auto"/>
              </w:rPr>
            </w:pPr>
          </w:p>
        </w:tc>
      </w:tr>
    </w:tbl>
    <w:p>
      <w:pPr>
        <w:spacing w:after="0" w:line="90"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footnotes (3) and (4) on Page 3.</w:t>
      </w:r>
    </w:p>
    <w:p>
      <w:pPr>
        <w:sectPr>
          <w:pgSz w:w="11900" w:h="16838" w:orient="portrait"/>
          <w:cols w:equalWidth="0" w:num="1">
            <w:col w:w="11540"/>
          </w:cols>
          <w:pgMar w:left="220" w:top="411"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spacing w:after="0"/>
              <w:rPr>
                <w:sz w:val="20"/>
                <w:szCs w:val="20"/>
                <w:color w:val="auto"/>
              </w:rPr>
            </w:pPr>
            <w:r>
              <w:rPr>
                <w:rFonts w:ascii="Courier New" w:cs="Courier New" w:eastAsia="Courier New" w:hAnsi="Courier New"/>
                <w:sz w:val="28"/>
                <w:szCs w:val="28"/>
                <w:color w:val="auto"/>
                <w:w w:val="83"/>
                <w:vertAlign w:val="subscript"/>
              </w:rPr>
              <w:t>M87915</w:t>
            </w:r>
            <w:r>
              <w:rPr>
                <w:rFonts w:ascii="Courier New" w:cs="Courier New" w:eastAsia="Courier New" w:hAnsi="Courier New"/>
                <w:sz w:val="14"/>
                <w:szCs w:val="14"/>
                <w:color w:val="auto"/>
                <w:w w:val="83"/>
              </w:rPr>
              <w:t>----------------------------------------------</w:t>
            </w:r>
            <w:r>
              <w:rPr>
                <w:rFonts w:ascii="Courier New" w:cs="Courier New" w:eastAsia="Courier New" w:hAnsi="Courier New"/>
                <w:sz w:val="28"/>
                <w:szCs w:val="28"/>
                <w:color w:val="auto"/>
                <w:w w:val="83"/>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940" w:type="dxa"/>
            <w:vAlign w:val="bottom"/>
            <w:vMerge w:val="continue"/>
          </w:tcPr>
          <w:p>
            <w:pPr>
              <w:spacing w:after="0"/>
              <w:rPr>
                <w:sz w:val="21"/>
                <w:szCs w:val="21"/>
                <w:color w:val="auto"/>
              </w:rPr>
            </w:pPr>
          </w:p>
        </w:tc>
        <w:tc>
          <w:tcPr>
            <w:tcW w:w="43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Page 6 of 34</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tabs>
          <w:tab w:leader="none" w:pos="8520" w:val="left"/>
        </w:tabs>
        <w:rPr>
          <w:sz w:val="20"/>
          <w:szCs w:val="20"/>
          <w:color w:val="auto"/>
        </w:rPr>
      </w:pPr>
      <w:r>
        <w:rPr>
          <w:rFonts w:ascii="Courier New" w:cs="Courier New" w:eastAsia="Courier New" w:hAnsi="Courier New"/>
          <w:sz w:val="14"/>
          <w:szCs w:val="14"/>
          <w:color w:val="auto"/>
        </w:rPr>
        <w:t>- ---------------------------------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4380" w:type="dxa"/>
            <w:vAlign w:val="bottom"/>
          </w:tcPr>
          <w:p>
            <w:pPr>
              <w:ind w:left="1280"/>
              <w:spacing w:after="0"/>
              <w:rPr>
                <w:sz w:val="20"/>
                <w:szCs w:val="20"/>
                <w:color w:val="auto"/>
              </w:rPr>
            </w:pPr>
            <w:r>
              <w:rPr>
                <w:rFonts w:ascii="Courier New" w:cs="Courier New" w:eastAsia="Courier New" w:hAnsi="Courier New"/>
                <w:sz w:val="14"/>
                <w:szCs w:val="14"/>
                <w:color w:val="auto"/>
              </w:rPr>
              <w:t>OFER BROTHERS PROPERTIES (1957) LTD.</w:t>
            </w:r>
          </w:p>
        </w:tc>
      </w:tr>
      <w:tr>
        <w:trPr>
          <w:trHeight w:val="166"/>
        </w:trPr>
        <w:tc>
          <w:tcPr>
            <w:tcW w:w="620" w:type="dxa"/>
            <w:vAlign w:val="bottom"/>
          </w:tcPr>
          <w:p>
            <w:pPr>
              <w:spacing w:after="0"/>
              <w:rPr>
                <w:sz w:val="14"/>
                <w:szCs w:val="14"/>
                <w:color w:val="auto"/>
              </w:rPr>
            </w:pPr>
          </w:p>
        </w:tc>
        <w:tc>
          <w:tcPr>
            <w:tcW w:w="42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438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4380" w:type="dxa"/>
            <w:vAlign w:val="bottom"/>
          </w:tcPr>
          <w:p>
            <w:pPr>
              <w:spacing w:after="0" w:line="20" w:lineRule="exact"/>
              <w:rPr>
                <w:sz w:val="1"/>
                <w:szCs w:val="1"/>
                <w:color w:val="auto"/>
              </w:rPr>
            </w:pPr>
          </w:p>
        </w:tc>
      </w:tr>
    </w:tbl>
    <w:p>
      <w:pPr>
        <w:spacing w:after="0" w:line="166" w:lineRule="exact"/>
        <w:rPr>
          <w:sz w:val="20"/>
          <w:szCs w:val="20"/>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- 2 CHECK THE APPROPRIATE BOX IF A MEMBER OF A GROUP: (A) [ ] (B) [X]</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1980" w:hanging="1110"/>
        <w:spacing w:after="0"/>
        <w:tabs>
          <w:tab w:leader="none" w:pos="19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4"/>
          <w:szCs w:val="14"/>
          <w:color w:val="auto"/>
        </w:rPr>
        <w:t>N.A.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CHECK BOX IF THE AGGREGATE AMOUNT IN ROW (11)</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EXCLUDES CERTAIN SHARES: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229"/>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PERCENT OF CLASS REPRESENTED BY AMOUNT IN ROW</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72.38%</w:t>
            </w:r>
          </w:p>
        </w:tc>
      </w:tr>
      <w:tr>
        <w:trPr>
          <w:trHeight w:val="255"/>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TYPE OF REPORTING PERSON:</w:t>
            </w:r>
          </w:p>
        </w:tc>
        <w:tc>
          <w:tcPr>
            <w:tcW w:w="3280" w:type="dxa"/>
            <w:vAlign w:val="bottom"/>
          </w:tcPr>
          <w:p>
            <w:pPr>
              <w:ind w:left="1080"/>
              <w:spacing w:after="0"/>
              <w:rPr>
                <w:sz w:val="20"/>
                <w:szCs w:val="20"/>
                <w:color w:val="auto"/>
              </w:rPr>
            </w:pPr>
            <w:r>
              <w:rPr>
                <w:rFonts w:ascii="Courier New" w:cs="Courier New" w:eastAsia="Courier New" w:hAnsi="Courier New"/>
                <w:sz w:val="14"/>
                <w:szCs w:val="14"/>
                <w:color w:val="auto"/>
              </w:rPr>
              <w:t>CO</w:t>
            </w:r>
          </w:p>
        </w:tc>
        <w:tc>
          <w:tcPr>
            <w:tcW w:w="2360" w:type="dxa"/>
            <w:vAlign w:val="bottom"/>
          </w:tcPr>
          <w:p>
            <w:pPr>
              <w:spacing w:after="0"/>
              <w:rPr>
                <w:sz w:val="21"/>
                <w:szCs w:val="21"/>
                <w:color w:val="auto"/>
              </w:rPr>
            </w:pPr>
          </w:p>
        </w:tc>
      </w:tr>
    </w:tbl>
    <w:p>
      <w:pPr>
        <w:spacing w:after="0" w:line="90"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footnotes (3) and (4) on Page 3.</w:t>
      </w:r>
    </w:p>
    <w:p>
      <w:pPr>
        <w:sectPr>
          <w:pgSz w:w="11900" w:h="16838" w:orient="portrait"/>
          <w:cols w:equalWidth="0" w:num="1">
            <w:col w:w="11540"/>
          </w:cols>
          <w:pgMar w:left="220" w:top="411" w:right="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Page 7 of 34</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3260" w:type="dxa"/>
            <w:vAlign w:val="bottom"/>
          </w:tcPr>
          <w:p>
            <w:pPr>
              <w:ind w:left="1280"/>
              <w:spacing w:after="0"/>
              <w:rPr>
                <w:sz w:val="20"/>
                <w:szCs w:val="20"/>
                <w:color w:val="auto"/>
              </w:rPr>
            </w:pPr>
            <w:r>
              <w:rPr>
                <w:rFonts w:ascii="Courier New" w:cs="Courier New" w:eastAsia="Courier New" w:hAnsi="Courier New"/>
                <w:sz w:val="14"/>
                <w:szCs w:val="14"/>
                <w:color w:val="auto"/>
              </w:rPr>
              <w:t>MASHAT INVESTMENTS LTD.</w:t>
            </w:r>
          </w:p>
        </w:tc>
      </w:tr>
      <w:tr>
        <w:trPr>
          <w:trHeight w:val="166"/>
        </w:trPr>
        <w:tc>
          <w:tcPr>
            <w:tcW w:w="620" w:type="dxa"/>
            <w:vAlign w:val="bottom"/>
          </w:tcPr>
          <w:p>
            <w:pPr>
              <w:spacing w:after="0"/>
              <w:rPr>
                <w:sz w:val="14"/>
                <w:szCs w:val="14"/>
                <w:color w:val="auto"/>
              </w:rPr>
            </w:pPr>
          </w:p>
        </w:tc>
        <w:tc>
          <w:tcPr>
            <w:tcW w:w="42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326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3260" w:type="dxa"/>
            <w:vAlign w:val="bottom"/>
          </w:tcPr>
          <w:p>
            <w:pPr>
              <w:spacing w:after="0" w:line="20" w:lineRule="exact"/>
              <w:rPr>
                <w:sz w:val="1"/>
                <w:szCs w:val="1"/>
                <w:color w:val="auto"/>
              </w:rPr>
            </w:pPr>
          </w:p>
        </w:tc>
      </w:tr>
    </w:tbl>
    <w:p>
      <w:pPr>
        <w:spacing w:after="0" w:line="166" w:lineRule="exact"/>
        <w:rPr>
          <w:sz w:val="20"/>
          <w:szCs w:val="20"/>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- 2 CHECK THE APPROPRIATE BOX IF A MEMBER OF A GROUP: (A) [ ] (B) [X]</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1980" w:hanging="1110"/>
        <w:spacing w:after="0"/>
        <w:tabs>
          <w:tab w:leader="none" w:pos="19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4"/>
          <w:szCs w:val="14"/>
          <w:color w:val="auto"/>
        </w:rPr>
        <w:t>N.A.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CHECK BOX IF THE AGGREGATE AMOUNT IN ROW (11)</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EXCLUDES CERTAIN SHARES: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229"/>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PERCENT OF CLASS REPRESENTED BY AMOUNT IN ROW</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72.38%</w:t>
            </w:r>
          </w:p>
        </w:tc>
      </w:tr>
      <w:tr>
        <w:trPr>
          <w:trHeight w:val="255"/>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TYPE OF REPORTING PERSON:</w:t>
            </w:r>
          </w:p>
        </w:tc>
        <w:tc>
          <w:tcPr>
            <w:tcW w:w="3280" w:type="dxa"/>
            <w:vAlign w:val="bottom"/>
          </w:tcPr>
          <w:p>
            <w:pPr>
              <w:ind w:left="1080"/>
              <w:spacing w:after="0"/>
              <w:rPr>
                <w:sz w:val="20"/>
                <w:szCs w:val="20"/>
                <w:color w:val="auto"/>
              </w:rPr>
            </w:pPr>
            <w:r>
              <w:rPr>
                <w:rFonts w:ascii="Courier New" w:cs="Courier New" w:eastAsia="Courier New" w:hAnsi="Courier New"/>
                <w:sz w:val="14"/>
                <w:szCs w:val="14"/>
                <w:color w:val="auto"/>
              </w:rPr>
              <w:t>CO</w:t>
            </w:r>
          </w:p>
        </w:tc>
        <w:tc>
          <w:tcPr>
            <w:tcW w:w="2360" w:type="dxa"/>
            <w:vAlign w:val="bottom"/>
          </w:tcPr>
          <w:p>
            <w:pPr>
              <w:spacing w:after="0"/>
              <w:rPr>
                <w:sz w:val="21"/>
                <w:szCs w:val="21"/>
                <w:color w:val="auto"/>
              </w:rPr>
            </w:pPr>
          </w:p>
        </w:tc>
      </w:tr>
    </w:tbl>
    <w:p>
      <w:pPr>
        <w:spacing w:after="0" w:line="90"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footnotes (3) and (4) on Page 3.</w:t>
      </w:r>
    </w:p>
    <w:p>
      <w:pPr>
        <w:sectPr>
          <w:pgSz w:w="11900" w:h="16838" w:orient="portrait"/>
          <w:cols w:equalWidth="0" w:num="1">
            <w:col w:w="11540"/>
          </w:cols>
          <w:pgMar w:left="220" w:top="411" w:right="1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Page 8 of 34</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3520" w:type="dxa"/>
            <w:vAlign w:val="bottom"/>
          </w:tcPr>
          <w:p>
            <w:pPr>
              <w:ind w:left="1280"/>
              <w:spacing w:after="0"/>
              <w:rPr>
                <w:sz w:val="20"/>
                <w:szCs w:val="20"/>
                <w:color w:val="auto"/>
              </w:rPr>
            </w:pPr>
            <w:r>
              <w:rPr>
                <w:rFonts w:ascii="Courier New" w:cs="Courier New" w:eastAsia="Courier New" w:hAnsi="Courier New"/>
                <w:sz w:val="14"/>
                <w:szCs w:val="14"/>
                <w:color w:val="auto"/>
              </w:rPr>
              <w:t>OFER (SHIPS HOLDINGS) LTD.</w:t>
            </w:r>
          </w:p>
        </w:tc>
      </w:tr>
      <w:tr>
        <w:trPr>
          <w:trHeight w:val="166"/>
        </w:trPr>
        <w:tc>
          <w:tcPr>
            <w:tcW w:w="620" w:type="dxa"/>
            <w:vAlign w:val="bottom"/>
          </w:tcPr>
          <w:p>
            <w:pPr>
              <w:spacing w:after="0"/>
              <w:rPr>
                <w:sz w:val="14"/>
                <w:szCs w:val="14"/>
                <w:color w:val="auto"/>
              </w:rPr>
            </w:pPr>
          </w:p>
        </w:tc>
        <w:tc>
          <w:tcPr>
            <w:tcW w:w="42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352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3520" w:type="dxa"/>
            <w:vAlign w:val="bottom"/>
          </w:tcPr>
          <w:p>
            <w:pPr>
              <w:spacing w:after="0" w:line="20" w:lineRule="exact"/>
              <w:rPr>
                <w:sz w:val="1"/>
                <w:szCs w:val="1"/>
                <w:color w:val="auto"/>
              </w:rPr>
            </w:pPr>
          </w:p>
        </w:tc>
      </w:tr>
    </w:tbl>
    <w:p>
      <w:pPr>
        <w:spacing w:after="0" w:line="166" w:lineRule="exact"/>
        <w:rPr>
          <w:sz w:val="20"/>
          <w:szCs w:val="20"/>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- 2 CHECK THE APPROPRIATE BOX IF A MEMBER OF A GROUP: (A) [ ] (B) [X]</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1980" w:hanging="1110"/>
        <w:spacing w:after="0"/>
        <w:tabs>
          <w:tab w:leader="none" w:pos="198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4"/>
          <w:szCs w:val="14"/>
          <w:color w:val="auto"/>
        </w:rPr>
        <w:t>N.A.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CHECK BOX IF THE AGGREGATE AMOUNT IN ROW (11)</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EXCLUDES CERTAIN SHARES: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229"/>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PERCENT OF CLASS REPRESENTED BY AMOUNT IN ROW</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72.38%</w:t>
            </w:r>
          </w:p>
        </w:tc>
      </w:tr>
      <w:tr>
        <w:trPr>
          <w:trHeight w:val="255"/>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TYPE OF REPORTING PERSON:</w:t>
            </w:r>
          </w:p>
        </w:tc>
        <w:tc>
          <w:tcPr>
            <w:tcW w:w="3280" w:type="dxa"/>
            <w:vAlign w:val="bottom"/>
          </w:tcPr>
          <w:p>
            <w:pPr>
              <w:ind w:left="1080"/>
              <w:spacing w:after="0"/>
              <w:rPr>
                <w:sz w:val="20"/>
                <w:szCs w:val="20"/>
                <w:color w:val="auto"/>
              </w:rPr>
            </w:pPr>
            <w:r>
              <w:rPr>
                <w:rFonts w:ascii="Courier New" w:cs="Courier New" w:eastAsia="Courier New" w:hAnsi="Courier New"/>
                <w:sz w:val="14"/>
                <w:szCs w:val="14"/>
                <w:color w:val="auto"/>
              </w:rPr>
              <w:t>CO</w:t>
            </w:r>
          </w:p>
        </w:tc>
        <w:tc>
          <w:tcPr>
            <w:tcW w:w="2360" w:type="dxa"/>
            <w:vAlign w:val="bottom"/>
          </w:tcPr>
          <w:p>
            <w:pPr>
              <w:spacing w:after="0"/>
              <w:rPr>
                <w:sz w:val="21"/>
                <w:szCs w:val="21"/>
                <w:color w:val="auto"/>
              </w:rPr>
            </w:pPr>
          </w:p>
        </w:tc>
      </w:tr>
    </w:tbl>
    <w:p>
      <w:pPr>
        <w:spacing w:after="0" w:line="90"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footnotes (3) and (4) on Page 3.</w:t>
      </w:r>
    </w:p>
    <w:p>
      <w:pPr>
        <w:sectPr>
          <w:pgSz w:w="11900" w:h="16838" w:orient="portrait"/>
          <w:cols w:equalWidth="0" w:num="1">
            <w:col w:w="11540"/>
          </w:cols>
          <w:pgMar w:left="220" w:top="411" w:right="1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Page 9 of 34</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3220" w:type="dxa"/>
            <w:vAlign w:val="bottom"/>
          </w:tcPr>
          <w:p>
            <w:pPr>
              <w:ind w:left="1340"/>
              <w:spacing w:after="0"/>
              <w:rPr>
                <w:sz w:val="20"/>
                <w:szCs w:val="20"/>
                <w:color w:val="auto"/>
              </w:rPr>
            </w:pPr>
            <w:r>
              <w:rPr>
                <w:rFonts w:ascii="Courier New" w:cs="Courier New" w:eastAsia="Courier New" w:hAnsi="Courier New"/>
                <w:sz w:val="14"/>
                <w:szCs w:val="14"/>
                <w:color w:val="auto"/>
              </w:rPr>
              <w:t>L.Y.N. (HOLDINGS) LTD.</w:t>
            </w:r>
          </w:p>
        </w:tc>
      </w:tr>
      <w:tr>
        <w:trPr>
          <w:trHeight w:val="166"/>
        </w:trPr>
        <w:tc>
          <w:tcPr>
            <w:tcW w:w="620" w:type="dxa"/>
            <w:vAlign w:val="bottom"/>
          </w:tcPr>
          <w:p>
            <w:pPr>
              <w:spacing w:after="0"/>
              <w:rPr>
                <w:sz w:val="14"/>
                <w:szCs w:val="14"/>
                <w:color w:val="auto"/>
              </w:rPr>
            </w:pPr>
          </w:p>
        </w:tc>
        <w:tc>
          <w:tcPr>
            <w:tcW w:w="426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322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3220" w:type="dxa"/>
            <w:vAlign w:val="bottom"/>
          </w:tcPr>
          <w:p>
            <w:pPr>
              <w:spacing w:after="0" w:line="20" w:lineRule="exact"/>
              <w:rPr>
                <w:sz w:val="1"/>
                <w:szCs w:val="1"/>
                <w:color w:val="auto"/>
              </w:rPr>
            </w:pPr>
          </w:p>
        </w:tc>
      </w:tr>
    </w:tbl>
    <w:p>
      <w:pPr>
        <w:spacing w:after="0" w:line="166" w:lineRule="exact"/>
        <w:rPr>
          <w:sz w:val="20"/>
          <w:szCs w:val="20"/>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- 2 CHECK THE APPROPRIATE BOX IF A MEMBER OF A GROUP: (A) [ ] (B) [X]</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1980" w:hanging="1110"/>
        <w:spacing w:after="0"/>
        <w:tabs>
          <w:tab w:leader="none" w:pos="198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4"/>
          <w:szCs w:val="14"/>
          <w:color w:val="auto"/>
        </w:rPr>
        <w:t>N.A.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CHECK BOX IF THE AGGREGATE AMOUNT IN ROW (11)</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EXCLUDES CERTAIN SHARES: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229"/>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PERCENT OF CLASS REPRESENTED BY AMOUNT IN ROW</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72.38%</w:t>
            </w:r>
          </w:p>
        </w:tc>
      </w:tr>
      <w:tr>
        <w:trPr>
          <w:trHeight w:val="255"/>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TYPE OF REPORTING PERSON:</w:t>
            </w:r>
          </w:p>
        </w:tc>
        <w:tc>
          <w:tcPr>
            <w:tcW w:w="3280" w:type="dxa"/>
            <w:vAlign w:val="bottom"/>
          </w:tcPr>
          <w:p>
            <w:pPr>
              <w:ind w:left="1080"/>
              <w:spacing w:after="0"/>
              <w:rPr>
                <w:sz w:val="20"/>
                <w:szCs w:val="20"/>
                <w:color w:val="auto"/>
              </w:rPr>
            </w:pPr>
            <w:r>
              <w:rPr>
                <w:rFonts w:ascii="Courier New" w:cs="Courier New" w:eastAsia="Courier New" w:hAnsi="Courier New"/>
                <w:sz w:val="14"/>
                <w:szCs w:val="14"/>
                <w:color w:val="auto"/>
              </w:rPr>
              <w:t>CO</w:t>
            </w:r>
          </w:p>
        </w:tc>
        <w:tc>
          <w:tcPr>
            <w:tcW w:w="2360" w:type="dxa"/>
            <w:vAlign w:val="bottom"/>
          </w:tcPr>
          <w:p>
            <w:pPr>
              <w:spacing w:after="0"/>
              <w:rPr>
                <w:sz w:val="21"/>
                <w:szCs w:val="21"/>
                <w:color w:val="auto"/>
              </w:rPr>
            </w:pPr>
          </w:p>
        </w:tc>
      </w:tr>
    </w:tbl>
    <w:p>
      <w:pPr>
        <w:spacing w:after="0" w:line="90"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footnotes (3) and (4) on Page 3.</w:t>
      </w:r>
    </w:p>
    <w:p>
      <w:pPr>
        <w:sectPr>
          <w:pgSz w:w="11900" w:h="16838" w:orient="portrait"/>
          <w:cols w:equalWidth="0" w:num="1">
            <w:col w:w="11540"/>
          </w:cols>
          <w:pgMar w:left="220" w:top="411" w:right="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Page 10 of 34</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REPORTING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3000" w:type="dxa"/>
            <w:vAlign w:val="bottom"/>
          </w:tcPr>
          <w:p>
            <w:pPr>
              <w:ind w:left="1280"/>
              <w:spacing w:after="0"/>
              <w:rPr>
                <w:sz w:val="20"/>
                <w:szCs w:val="20"/>
                <w:color w:val="auto"/>
              </w:rPr>
            </w:pPr>
            <w:r>
              <w:rPr>
                <w:rFonts w:ascii="Courier New" w:cs="Courier New" w:eastAsia="Courier New" w:hAnsi="Courier New"/>
                <w:sz w:val="14"/>
                <w:szCs w:val="14"/>
                <w:color w:val="auto"/>
              </w:rPr>
              <w:t>ORO INVESTMENTS LTD.</w:t>
            </w:r>
          </w:p>
        </w:tc>
      </w:tr>
      <w:tr>
        <w:trPr>
          <w:trHeight w:val="166"/>
        </w:trPr>
        <w:tc>
          <w:tcPr>
            <w:tcW w:w="620" w:type="dxa"/>
            <w:vAlign w:val="bottom"/>
          </w:tcPr>
          <w:p>
            <w:pPr>
              <w:spacing w:after="0"/>
              <w:rPr>
                <w:sz w:val="14"/>
                <w:szCs w:val="14"/>
                <w:color w:val="auto"/>
              </w:rPr>
            </w:pPr>
          </w:p>
        </w:tc>
        <w:tc>
          <w:tcPr>
            <w:tcW w:w="422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3000" w:type="dxa"/>
            <w:vAlign w:val="bottom"/>
          </w:tcPr>
          <w:p>
            <w:pPr>
              <w:spacing w:after="0"/>
              <w:rPr>
                <w:sz w:val="14"/>
                <w:szCs w:val="14"/>
                <w:color w:val="auto"/>
              </w:rPr>
            </w:pPr>
          </w:p>
        </w:tc>
      </w:tr>
      <w:tr>
        <w:trPr>
          <w:trHeight w:val="0"/>
        </w:trPr>
        <w:tc>
          <w:tcPr>
            <w:tcW w:w="620" w:type="dxa"/>
            <w:vAlign w:val="bottom"/>
          </w:tcPr>
          <w:p>
            <w:pPr>
              <w:spacing w:after="0" w:line="20" w:lineRule="exact"/>
              <w:rPr>
                <w:sz w:val="1"/>
                <w:szCs w:val="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000000000</w:t>
            </w:r>
          </w:p>
        </w:tc>
        <w:tc>
          <w:tcPr>
            <w:tcW w:w="3000" w:type="dxa"/>
            <w:vAlign w:val="bottom"/>
          </w:tcPr>
          <w:p>
            <w:pPr>
              <w:spacing w:after="0" w:line="20" w:lineRule="exact"/>
              <w:rPr>
                <w:sz w:val="1"/>
                <w:szCs w:val="1"/>
                <w:color w:val="auto"/>
              </w:rPr>
            </w:pPr>
          </w:p>
        </w:tc>
      </w:tr>
    </w:tbl>
    <w:p>
      <w:pPr>
        <w:spacing w:after="0" w:line="166" w:lineRule="exact"/>
        <w:rPr>
          <w:sz w:val="20"/>
          <w:szCs w:val="20"/>
          <w:color w:val="auto"/>
        </w:rPr>
      </w:pPr>
    </w:p>
    <w:p>
      <w:pPr>
        <w:ind w:left="860" w:hanging="860"/>
        <w:spacing w:after="0" w:line="337" w:lineRule="auto"/>
        <w:rPr>
          <w:sz w:val="20"/>
          <w:szCs w:val="20"/>
          <w:color w:val="auto"/>
        </w:rPr>
      </w:pPr>
      <w:r>
        <w:rPr>
          <w:rFonts w:ascii="Courier New" w:cs="Courier New" w:eastAsia="Courier New" w:hAnsi="Courier New"/>
          <w:sz w:val="14"/>
          <w:szCs w:val="14"/>
          <w:color w:val="auto"/>
        </w:rPr>
        <w:t>- ---------------------- ----------------------------------------------------------------------------------------------------------- - 2 CHECK THE APPROPRIATE BOX IF A MEMBER OF A GROUP: (A) [ ] (B) [X]</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1980" w:hanging="1110"/>
        <w:spacing w:after="0"/>
        <w:tabs>
          <w:tab w:leader="none" w:pos="198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4"/>
          <w:szCs w:val="14"/>
          <w:color w:val="auto"/>
        </w:rPr>
        <w:t>N.A.</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860"/>
        <w:spacing w:after="0"/>
        <w:tabs>
          <w:tab w:leader="none" w:pos="1960" w:val="left"/>
          <w:tab w:leader="none" w:pos="11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860"/>
        <w:spacing w:after="0"/>
        <w:tabs>
          <w:tab w:leader="none" w:pos="1960" w:val="left"/>
          <w:tab w:leader="none" w:pos="69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14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4740" w:type="dxa"/>
            <w:vAlign w:val="bottom"/>
          </w:tcPr>
          <w:p>
            <w:pPr>
              <w:ind w:left="780"/>
              <w:spacing w:after="0"/>
              <w:rPr>
                <w:sz w:val="20"/>
                <w:szCs w:val="20"/>
                <w:color w:val="auto"/>
              </w:rPr>
            </w:pPr>
            <w:r>
              <w:rPr>
                <w:rFonts w:ascii="Courier New" w:cs="Courier New" w:eastAsia="Courier New" w:hAnsi="Courier New"/>
                <w:sz w:val="14"/>
                <w:szCs w:val="14"/>
                <w:color w:val="auto"/>
              </w:rPr>
              <w:t>33,992,043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780"/>
        <w:spacing w:after="0"/>
        <w:tabs>
          <w:tab w:leader="none" w:pos="1960" w:val="left"/>
          <w:tab w:leader="none" w:pos="7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4"/>
          <w:szCs w:val="14"/>
          <w:color w:val="auto"/>
        </w:rPr>
        <w:t>33,992,043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CHECK BOX IF THE AGGREGATE AMOUNT IN ROW (11)</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EXCLUDES CERTAIN SHARES: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229"/>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PERCENT OF CLASS REPRESENTED BY AMOUNT IN ROW</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72.38%</w:t>
            </w:r>
          </w:p>
        </w:tc>
      </w:tr>
      <w:tr>
        <w:trPr>
          <w:trHeight w:val="255"/>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r>
      <w:tr>
        <w:trPr>
          <w:trHeight w:val="242"/>
        </w:trPr>
        <w:tc>
          <w:tcPr>
            <w:tcW w:w="140" w:type="dxa"/>
            <w:vAlign w:val="bottom"/>
          </w:tcPr>
          <w:p>
            <w:pPr>
              <w:spacing w:after="0"/>
              <w:rPr>
                <w:sz w:val="21"/>
                <w:szCs w:val="21"/>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4420" w:type="dxa"/>
            <w:vAlign w:val="bottom"/>
          </w:tcPr>
          <w:p>
            <w:pPr>
              <w:ind w:left="500"/>
              <w:spacing w:after="0"/>
              <w:rPr>
                <w:sz w:val="20"/>
                <w:szCs w:val="20"/>
                <w:color w:val="auto"/>
              </w:rPr>
            </w:pPr>
            <w:r>
              <w:rPr>
                <w:rFonts w:ascii="Courier New" w:cs="Courier New" w:eastAsia="Courier New" w:hAnsi="Courier New"/>
                <w:sz w:val="14"/>
                <w:szCs w:val="14"/>
                <w:color w:val="auto"/>
              </w:rPr>
              <w:t>TYPE OF REPORTING PERSON:</w:t>
            </w:r>
          </w:p>
        </w:tc>
        <w:tc>
          <w:tcPr>
            <w:tcW w:w="3280" w:type="dxa"/>
            <w:vAlign w:val="bottom"/>
          </w:tcPr>
          <w:p>
            <w:pPr>
              <w:ind w:left="1080"/>
              <w:spacing w:after="0"/>
              <w:rPr>
                <w:sz w:val="20"/>
                <w:szCs w:val="20"/>
                <w:color w:val="auto"/>
              </w:rPr>
            </w:pPr>
            <w:r>
              <w:rPr>
                <w:rFonts w:ascii="Courier New" w:cs="Courier New" w:eastAsia="Courier New" w:hAnsi="Courier New"/>
                <w:sz w:val="14"/>
                <w:szCs w:val="14"/>
                <w:color w:val="auto"/>
              </w:rPr>
              <w:t>CO</w:t>
            </w:r>
          </w:p>
        </w:tc>
        <w:tc>
          <w:tcPr>
            <w:tcW w:w="2360" w:type="dxa"/>
            <w:vAlign w:val="bottom"/>
          </w:tcPr>
          <w:p>
            <w:pPr>
              <w:spacing w:after="0"/>
              <w:rPr>
                <w:sz w:val="21"/>
                <w:szCs w:val="21"/>
                <w:color w:val="auto"/>
              </w:rPr>
            </w:pPr>
          </w:p>
        </w:tc>
      </w:tr>
    </w:tbl>
    <w:p>
      <w:pPr>
        <w:spacing w:after="0" w:line="90"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footnotes (3) and (4) on Page 3.</w:t>
      </w:r>
    </w:p>
    <w:p>
      <w:pPr>
        <w:sectPr>
          <w:pgSz w:w="11900" w:h="16838" w:orient="portrait"/>
          <w:cols w:equalWidth="0" w:num="1">
            <w:col w:w="11540"/>
          </w:cols>
          <w:pgMar w:left="220" w:top="411"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EXPLANATORY NOTE</w:t>
      </w:r>
    </w:p>
    <w:p>
      <w:pPr>
        <w:spacing w:after="0" w:line="173" w:lineRule="exact"/>
        <w:rPr>
          <w:sz w:val="20"/>
          <w:szCs w:val="20"/>
          <w:color w:val="auto"/>
        </w:rPr>
      </w:pPr>
    </w:p>
    <w:p>
      <w:pPr>
        <w:ind w:right="3419"/>
        <w:spacing w:after="0" w:line="261" w:lineRule="auto"/>
        <w:rPr>
          <w:sz w:val="20"/>
          <w:szCs w:val="20"/>
          <w:color w:val="auto"/>
        </w:rPr>
      </w:pPr>
      <w:r>
        <w:rPr>
          <w:rFonts w:ascii="Courier New" w:cs="Courier New" w:eastAsia="Courier New" w:hAnsi="Courier New"/>
          <w:sz w:val="14"/>
          <w:szCs w:val="14"/>
          <w:color w:val="auto"/>
        </w:rPr>
        <w:t>This Amendment No. 3 (this "Amendment") to Schedule 13D (the "Schedule 13D") is being filed on behalf of Israel Corporation Ltd. ("Israel Corporation"), Israel Corporation Technologies (ICTech) Ltd. ("ICTech"), formerly known as Hashkahon Investment Company Ltd., Millennium Investments Elad Ltd., Ofer Brothers Properties (1957) Ltd., Mashat Investments Ltd., Ofer (Ships Holdings) Ltd., L.Y.N. (Holdings) Ltd. and Oro Investments Ltd. (hereinafter collectively, the "Reporting Persons"). Pursuant to Rule 13d-2(e) of the Act, this Amendment amends and restates the Schedule 13D as amended to date, in its entirety. The percentage of Ordinary Shares (as defined below) reported in this Amendment as being beneficially owned by the Reporting Persons and any other information disclosed herein (other than descriptions of agreements and transactions to which any Reporting Person is a party) is based on publicly available information provided by Tower Semiconductor Ltd. or other third parties.</w:t>
      </w:r>
    </w:p>
    <w:p>
      <w:pPr>
        <w:spacing w:after="0" w:line="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SECURITY AND ISSUER.</w:t>
      </w:r>
    </w:p>
    <w:p>
      <w:pPr>
        <w:spacing w:after="0" w:line="173" w:lineRule="exact"/>
        <w:rPr>
          <w:sz w:val="20"/>
          <w:szCs w:val="20"/>
          <w:color w:val="auto"/>
        </w:rPr>
      </w:pPr>
    </w:p>
    <w:p>
      <w:pPr>
        <w:ind w:right="3419" w:firstLine="947"/>
        <w:spacing w:after="0" w:line="282" w:lineRule="auto"/>
        <w:rPr>
          <w:sz w:val="20"/>
          <w:szCs w:val="20"/>
          <w:color w:val="auto"/>
        </w:rPr>
      </w:pPr>
      <w:r>
        <w:rPr>
          <w:rFonts w:ascii="Courier New" w:cs="Courier New" w:eastAsia="Courier New" w:hAnsi="Courier New"/>
          <w:sz w:val="14"/>
          <w:szCs w:val="14"/>
          <w:color w:val="auto"/>
        </w:rPr>
        <w:t>The name of the issuer to which this Amendment relates is Tower Semiconductor Ltd. ("Tower"). Its principal executive offices are located at Ramat Gavriel Industrial Park, P.O. Box 619, Migdal Haemek, 23105 Israel. This Amendment relates to Tower's Ordinary Shares, NIS 1.00 par value per share (the "Ordinary Shares").</w:t>
      </w:r>
    </w:p>
    <w:p>
      <w:pPr>
        <w:spacing w:after="0" w:line="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IDENTITY AND BACKGROUND</w:t>
      </w:r>
    </w:p>
    <w:p>
      <w:pPr>
        <w:spacing w:after="0" w:line="173" w:lineRule="exact"/>
        <w:rPr>
          <w:sz w:val="20"/>
          <w:szCs w:val="20"/>
          <w:color w:val="auto"/>
        </w:rPr>
      </w:pPr>
    </w:p>
    <w:p>
      <w:pPr>
        <w:ind w:right="3339" w:firstLine="947"/>
        <w:spacing w:after="0" w:line="256" w:lineRule="auto"/>
        <w:rPr>
          <w:sz w:val="20"/>
          <w:szCs w:val="20"/>
          <w:color w:val="auto"/>
        </w:rPr>
      </w:pPr>
      <w:r>
        <w:rPr>
          <w:rFonts w:ascii="Courier New" w:cs="Courier New" w:eastAsia="Courier New" w:hAnsi="Courier New"/>
          <w:sz w:val="14"/>
          <w:szCs w:val="14"/>
          <w:color w:val="auto"/>
        </w:rPr>
        <w:t>(a)-(c), (f) Israel Corporation is a holding company organized as a corporation under the laws of the State of Israel that engages primarily in the chemicals, high technology, communications, shipping, oil and energy industries, with its principal place of business located at 23 Aranha Street, Tel Aviv 61070, Israel. ICTech is a holding company organized as a corporation under the laws of the State of Israel that engages primarily in high technology investments, with its principal place of business located at 23 Aranha Street, Tel Aviv 61070, Israel. Ofer Brothers Properties (1957) Ltd. is a corporation organized under the laws of the State of Israel that manages and owns, directly or indirectly, real estate properties, including hotels and commercial and retail centers, with its principal place of business located at 6 Ramat Yam Street, Herzliya Pituach 46851, Israel. Ofer (Ships Holdings) Ltd. is a corporation organized under the laws of the State of Israel that owns, charters and operates ships, with its principal place of business located at 2 HaNamal Street, Haifa 33031, Israel. L.Y.N. (Holdings) Ltd. is a holding company organized as a corporation under the laws of the State of Israel that holds securities in companies engaged primarily in real estate, banking, energy and shipping, with its principal place of business located at 2 HaNamal Street, Haifa 33031, Israel. All other Reporting Persons are holding and management companies organized as corporations under the laws of the State of Israel, with their principal place of business at 2 HaNamal Street, Haifa 33031, Israel.</w:t>
      </w:r>
    </w:p>
    <w:p>
      <w:pPr>
        <w:spacing w:after="0" w:line="92" w:lineRule="exact"/>
        <w:rPr>
          <w:sz w:val="20"/>
          <w:szCs w:val="20"/>
          <w:color w:val="auto"/>
        </w:rPr>
      </w:pPr>
    </w:p>
    <w:p>
      <w:pPr>
        <w:ind w:right="3859" w:firstLine="947"/>
        <w:spacing w:after="0" w:line="376" w:lineRule="auto"/>
        <w:rPr>
          <w:sz w:val="20"/>
          <w:szCs w:val="20"/>
          <w:color w:val="auto"/>
        </w:rPr>
      </w:pPr>
      <w:r>
        <w:rPr>
          <w:rFonts w:ascii="Courier New" w:cs="Courier New" w:eastAsia="Courier New" w:hAnsi="Courier New"/>
          <w:sz w:val="14"/>
          <w:szCs w:val="14"/>
          <w:color w:val="auto"/>
        </w:rPr>
        <w:t>The name, business address, present principal occupation or employment, and citizenship of each director and executive officer of each</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25" w:right="1440" w:bottom="1440" w:gutter="0" w:footer="0" w:header="0"/>
        </w:sectPr>
      </w:pPr>
    </w:p>
    <w:bookmarkStart w:id="11" w:name="page12"/>
    <w:bookmarkEnd w:id="11"/>
    <w:p>
      <w:pPr>
        <w:ind w:right="3599"/>
        <w:spacing w:after="0" w:line="375" w:lineRule="auto"/>
        <w:rPr>
          <w:sz w:val="20"/>
          <w:szCs w:val="20"/>
          <w:color w:val="auto"/>
        </w:rPr>
      </w:pPr>
      <w:r>
        <w:rPr>
          <w:rFonts w:ascii="Courier New" w:cs="Courier New" w:eastAsia="Courier New" w:hAnsi="Courier New"/>
          <w:sz w:val="14"/>
          <w:szCs w:val="14"/>
          <w:color w:val="auto"/>
        </w:rPr>
        <w:t>Reporting Person are set forth on Schedule A attached hereto. The information contained in Schedule A is incorporated herein in its entirety by reference.</w:t>
      </w:r>
    </w:p>
    <w:p>
      <w:pPr>
        <w:spacing w:after="0" w:line="1" w:lineRule="exact"/>
        <w:rPr>
          <w:sz w:val="20"/>
          <w:szCs w:val="20"/>
          <w:color w:val="auto"/>
        </w:rPr>
      </w:pPr>
    </w:p>
    <w:p>
      <w:pPr>
        <w:ind w:right="3339" w:firstLine="947"/>
        <w:spacing w:after="0" w:line="261" w:lineRule="auto"/>
        <w:rPr>
          <w:sz w:val="20"/>
          <w:szCs w:val="20"/>
          <w:color w:val="auto"/>
        </w:rPr>
      </w:pPr>
      <w:r>
        <w:rPr>
          <w:rFonts w:ascii="Courier New" w:cs="Courier New" w:eastAsia="Courier New" w:hAnsi="Courier New"/>
          <w:sz w:val="14"/>
          <w:szCs w:val="14"/>
          <w:color w:val="auto"/>
        </w:rPr>
        <w:t>To the best knowledge of the Reporting Persons, set forth in Schedule B are the name, business address, present principal occupation or employment and citizenship and the name, and address of any corporation or other organization in which such employment is conducted, of the directors and executive officers, as of the date hereof, of each corporation which, together with Israel Corporation, may be deemed to constitute a "group" within the meaning of Section 13(d)(3) of the Securities Exchange Act of 1934, as amended (the "Act"), although neither the fact of this filing nor anything contained herein shall be deemed to be an admission by any Reporting Person that a group exists. Each Reporting Person expressly disclaims (i) the existence of any group and (ii) beneficial ownership with respect to any Ordinary Shares other than the shares held directly by such Reporting Person, if any. The information contained in Schedule B is incorporated herein in its entirety by reference.</w:t>
      </w:r>
    </w:p>
    <w:p>
      <w:pPr>
        <w:spacing w:after="0" w:line="77" w:lineRule="exact"/>
        <w:rPr>
          <w:sz w:val="20"/>
          <w:szCs w:val="20"/>
          <w:color w:val="auto"/>
        </w:rPr>
      </w:pPr>
    </w:p>
    <w:p>
      <w:pPr>
        <w:ind w:right="3339" w:firstLine="947"/>
        <w:spacing w:after="0" w:line="282" w:lineRule="auto"/>
        <w:rPr>
          <w:sz w:val="20"/>
          <w:szCs w:val="20"/>
          <w:color w:val="auto"/>
        </w:rPr>
      </w:pPr>
      <w:r>
        <w:rPr>
          <w:rFonts w:ascii="Courier New" w:cs="Courier New" w:eastAsia="Courier New" w:hAnsi="Courier New"/>
          <w:sz w:val="14"/>
          <w:szCs w:val="14"/>
          <w:color w:val="auto"/>
        </w:rPr>
        <w:t>The Reporting Persons have been informed that SanDisk Corporation, Inc. ("SanDisk") is a Delaware corporation that designs, manufactures and markets flash memory storage products that are used in a wide variety of electronic systems and that SanDisk's principal office is located at 140 Caspian Court, Sunnyvale, California 94089.</w:t>
      </w:r>
    </w:p>
    <w:p>
      <w:pPr>
        <w:spacing w:after="0" w:line="62" w:lineRule="exact"/>
        <w:rPr>
          <w:sz w:val="20"/>
          <w:szCs w:val="20"/>
          <w:color w:val="auto"/>
        </w:rPr>
      </w:pPr>
    </w:p>
    <w:p>
      <w:pPr>
        <w:ind w:right="3419" w:firstLine="947"/>
        <w:spacing w:after="0" w:line="275" w:lineRule="auto"/>
        <w:rPr>
          <w:sz w:val="20"/>
          <w:szCs w:val="20"/>
          <w:color w:val="auto"/>
        </w:rPr>
      </w:pPr>
      <w:r>
        <w:rPr>
          <w:rFonts w:ascii="Courier New" w:cs="Courier New" w:eastAsia="Courier New" w:hAnsi="Courier New"/>
          <w:sz w:val="14"/>
          <w:szCs w:val="14"/>
          <w:color w:val="auto"/>
        </w:rPr>
        <w:t>The Reporting Persons have been informed that Alliance Semiconductor Corporation ("Alliance") is a Delaware corporation that designs, develops and markets high performance memory and memory intensive logic products to personal computers, networking, telecommunications, instrumentation and consumer markets and that Alliance's principal executive office is located at 2575 Augustine Drive, Santa Clara, California 95054.</w:t>
      </w:r>
    </w:p>
    <w:p>
      <w:pPr>
        <w:spacing w:after="0" w:line="69" w:lineRule="exact"/>
        <w:rPr>
          <w:sz w:val="20"/>
          <w:szCs w:val="20"/>
          <w:color w:val="auto"/>
        </w:rPr>
      </w:pPr>
    </w:p>
    <w:p>
      <w:pPr>
        <w:ind w:right="3419" w:firstLine="947"/>
        <w:spacing w:after="0" w:line="282" w:lineRule="auto"/>
        <w:rPr>
          <w:sz w:val="20"/>
          <w:szCs w:val="20"/>
          <w:color w:val="auto"/>
        </w:rPr>
      </w:pPr>
      <w:r>
        <w:rPr>
          <w:rFonts w:ascii="Courier New" w:cs="Courier New" w:eastAsia="Courier New" w:hAnsi="Courier New"/>
          <w:sz w:val="14"/>
          <w:szCs w:val="14"/>
          <w:color w:val="auto"/>
        </w:rPr>
        <w:t>The Reporting Persons have been informed that Macronix International Co., Ltd. ("Macronix") is a Taiwanese corporation that is a provider of customer/application drive non-volatile memory requiring state-of-the-art technology and that Macronix's principal executive office is located at 6F, No. 196, Sec 2, Cheng Kuo North Road, Taipei, Taiwan, R.O.C.</w:t>
      </w:r>
    </w:p>
    <w:p>
      <w:pPr>
        <w:spacing w:after="0" w:line="62" w:lineRule="exact"/>
        <w:rPr>
          <w:sz w:val="20"/>
          <w:szCs w:val="20"/>
          <w:color w:val="auto"/>
        </w:rPr>
      </w:pPr>
    </w:p>
    <w:p>
      <w:pPr>
        <w:ind w:right="3339" w:firstLine="947"/>
        <w:spacing w:after="0" w:line="266" w:lineRule="auto"/>
        <w:rPr>
          <w:sz w:val="20"/>
          <w:szCs w:val="20"/>
          <w:color w:val="auto"/>
        </w:rPr>
      </w:pPr>
      <w:r>
        <w:rPr>
          <w:rFonts w:ascii="Courier New" w:cs="Courier New" w:eastAsia="Courier New" w:hAnsi="Courier New"/>
          <w:sz w:val="14"/>
          <w:szCs w:val="14"/>
          <w:color w:val="auto"/>
        </w:rPr>
        <w:t>(d)-(e) None of the Reporting Persons, nor to the best knowledge of the Reporting Persons, any of the persons listed on Schedule A hereto has, during the last five years, (i) been convicted in a criminal proceeding (excluding traffic violations or similar misdemeanors), or (ii) been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74" w:lineRule="exact"/>
        <w:rPr>
          <w:sz w:val="20"/>
          <w:szCs w:val="20"/>
          <w:color w:val="auto"/>
        </w:rPr>
      </w:pPr>
    </w:p>
    <w:p>
      <w:pPr>
        <w:ind w:right="3419" w:firstLine="947"/>
        <w:spacing w:after="0" w:line="292" w:lineRule="auto"/>
        <w:rPr>
          <w:sz w:val="20"/>
          <w:szCs w:val="20"/>
          <w:color w:val="auto"/>
        </w:rPr>
      </w:pPr>
      <w:r>
        <w:rPr>
          <w:rFonts w:ascii="Courier New" w:cs="Courier New" w:eastAsia="Courier New" w:hAnsi="Courier New"/>
          <w:sz w:val="14"/>
          <w:szCs w:val="14"/>
          <w:color w:val="auto"/>
        </w:rPr>
        <w:t>The Reporting Persons have been informed that neither SanDisk, Alliance or Macronix, nor any of the persons named in Schedule B to this Amendment, has, during the past five years, (i) been convicted in a criminal proceeding (excluding traffic violations or similar misdemeanors), or (ii) been</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25" w:right="1440" w:bottom="1440" w:gutter="0" w:footer="0" w:header="0"/>
        </w:sectPr>
      </w:pPr>
    </w:p>
    <w:bookmarkStart w:id="12" w:name="page13"/>
    <w:bookmarkEnd w:id="12"/>
    <w:p>
      <w:pPr>
        <w:ind w:right="3419"/>
        <w:spacing w:after="0" w:line="282" w:lineRule="auto"/>
        <w:rPr>
          <w:sz w:val="20"/>
          <w:szCs w:val="20"/>
          <w:color w:val="auto"/>
        </w:rPr>
      </w:pPr>
      <w:r>
        <w:rPr>
          <w:rFonts w:ascii="Courier New" w:cs="Courier New" w:eastAsia="Courier New" w:hAnsi="Courier New"/>
          <w:sz w:val="14"/>
          <w:szCs w:val="14"/>
          <w:color w:val="auto"/>
        </w:rPr>
        <w:t>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ORDINARY SHARES BY THE REPORTING PERSONS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DSSI Agreement</w:t>
      </w:r>
    </w:p>
    <w:p>
      <w:pPr>
        <w:spacing w:after="0" w:line="173" w:lineRule="exact"/>
        <w:rPr>
          <w:sz w:val="20"/>
          <w:szCs w:val="20"/>
          <w:color w:val="auto"/>
        </w:rPr>
      </w:pPr>
    </w:p>
    <w:p>
      <w:pPr>
        <w:ind w:right="3339" w:firstLine="1378"/>
        <w:spacing w:after="0" w:line="268" w:lineRule="auto"/>
        <w:rPr>
          <w:sz w:val="20"/>
          <w:szCs w:val="20"/>
          <w:color w:val="auto"/>
        </w:rPr>
      </w:pPr>
      <w:r>
        <w:rPr>
          <w:rFonts w:ascii="Courier New" w:cs="Courier New" w:eastAsia="Courier New" w:hAnsi="Courier New"/>
          <w:sz w:val="14"/>
          <w:szCs w:val="14"/>
          <w:color w:val="auto"/>
        </w:rPr>
        <w:t>On January 25, 2000, Israel Corporation consummated the purchase of 4,219,164 Ordinary Shares from Tower Semiconductor Holdings 1993 Ltd. ("Holdings") at a price per share of $9.50, for an aggregate purchase price of $40,082,058. On such date, Holdings also issued a dividend to Israel Corporation of 1,200,000 Ordinary Shares. Prior to the acquisition, Israel Corporation and Data Systems &amp; Software Inc. ("DSSI") owned 40% and 60% of the outstanding stock of Holdings, respectively. Simultaneously with these transactions, Israel Corporation sold its shares of Holdings to DSSI for $4,786,823.</w:t>
      </w:r>
    </w:p>
    <w:p>
      <w:pPr>
        <w:spacing w:after="0" w:line="7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Acquisition of Ordinary Shares From Rafi Levin</w:t>
      </w:r>
    </w:p>
    <w:p>
      <w:pPr>
        <w:spacing w:after="0" w:line="173" w:lineRule="exact"/>
        <w:rPr>
          <w:sz w:val="20"/>
          <w:szCs w:val="20"/>
          <w:color w:val="auto"/>
        </w:rPr>
      </w:pPr>
    </w:p>
    <w:p>
      <w:pPr>
        <w:ind w:right="3339" w:firstLine="1378"/>
        <w:spacing w:after="0" w:line="292" w:lineRule="auto"/>
        <w:rPr>
          <w:sz w:val="20"/>
          <w:szCs w:val="20"/>
          <w:color w:val="auto"/>
        </w:rPr>
      </w:pPr>
      <w:r>
        <w:rPr>
          <w:rFonts w:ascii="Courier New" w:cs="Courier New" w:eastAsia="Courier New" w:hAnsi="Courier New"/>
          <w:sz w:val="14"/>
          <w:szCs w:val="14"/>
          <w:color w:val="auto"/>
        </w:rPr>
        <w:t>On May 3, 2000, Israel Corporation entered into an agreement with Rafi Levin, Co-CEO of Tower, to acquire therefrom 80,496 Ordinary Shares of Tower for an aggregate purchase price of $1,554,579. The transaction was completed on July 13, 2000.</w:t>
      </w:r>
    </w:p>
    <w:p>
      <w:pPr>
        <w:spacing w:after="0" w:line="5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2000 Open Market Acquisitions of Ordinary Shares</w:t>
      </w:r>
    </w:p>
    <w:p>
      <w:pPr>
        <w:spacing w:after="0" w:line="173" w:lineRule="exact"/>
        <w:rPr>
          <w:sz w:val="20"/>
          <w:szCs w:val="20"/>
          <w:color w:val="auto"/>
        </w:rPr>
      </w:pPr>
    </w:p>
    <w:p>
      <w:pPr>
        <w:ind w:right="3339" w:firstLine="1378"/>
        <w:spacing w:after="0" w:line="313" w:lineRule="auto"/>
        <w:rPr>
          <w:sz w:val="20"/>
          <w:szCs w:val="20"/>
          <w:color w:val="auto"/>
        </w:rPr>
      </w:pPr>
      <w:r>
        <w:rPr>
          <w:rFonts w:ascii="Courier New" w:cs="Courier New" w:eastAsia="Courier New" w:hAnsi="Courier New"/>
          <w:sz w:val="14"/>
          <w:szCs w:val="14"/>
          <w:color w:val="auto"/>
        </w:rPr>
        <w:t>From May 17, 2000 to October 30, 2000, Israel Corporation acquired in open market transactions an aggregate of 168,500 additional Ordinary Shares for an aggregate purchase price of $3,354,656.</w:t>
      </w:r>
    </w:p>
    <w:p>
      <w:pPr>
        <w:spacing w:after="0" w:line="4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Share Purchase Agreements and Additional Purchase Agreements</w:t>
      </w:r>
    </w:p>
    <w:p>
      <w:pPr>
        <w:spacing w:after="0" w:line="173" w:lineRule="exact"/>
        <w:rPr>
          <w:sz w:val="20"/>
          <w:szCs w:val="20"/>
          <w:color w:val="auto"/>
        </w:rPr>
      </w:pPr>
    </w:p>
    <w:p>
      <w:pPr>
        <w:ind w:right="3419" w:firstLine="1378"/>
        <w:spacing w:after="0" w:line="262" w:lineRule="auto"/>
        <w:rPr>
          <w:sz w:val="20"/>
          <w:szCs w:val="20"/>
          <w:color w:val="auto"/>
        </w:rPr>
      </w:pPr>
      <w:r>
        <w:rPr>
          <w:rFonts w:ascii="Courier New" w:cs="Courier New" w:eastAsia="Courier New" w:hAnsi="Courier New"/>
          <w:sz w:val="14"/>
          <w:szCs w:val="14"/>
          <w:color w:val="auto"/>
        </w:rPr>
        <w:t>During 2000 and 2001, Tower entered into various Share Purchase Agreements and Additional Purchase Agreements with each of Israel Corporation, SanDisk, Alliance, Macronix and certain other parties, to secure financing for the construction of Fab 2. Pursuant to these agreements, Israel Corporation agreed to invest an aggregate amount of approximately $50,000,000 and each of SanDisk, Alliance and Macronix agreed to invest an aggregate amount of approximately $75,000,000. The agreements with each of SanDisk, Alliance and Macronix provide that a portion of the investment will be made as an equity investment in Tower and the remainder as credit to be applied primarily against future wafers purchases from Fab 2 production. Tower agreed, subject to certain conditions, to reserve for each of SanDisk, Alliance and Macronix a certain portion of the Fab 2 wafer production capacity for a period of 10 years. A more</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25" w:right="1440" w:bottom="1440" w:gutter="0" w:footer="0" w:header="0"/>
        </w:sectPr>
      </w:pPr>
    </w:p>
    <w:bookmarkStart w:id="13" w:name="page14"/>
    <w:bookmarkEnd w:id="13"/>
    <w:p>
      <w:pPr>
        <w:jc w:val="both"/>
        <w:ind w:right="3679"/>
        <w:spacing w:after="0" w:line="313" w:lineRule="auto"/>
        <w:rPr>
          <w:sz w:val="20"/>
          <w:szCs w:val="20"/>
          <w:color w:val="auto"/>
        </w:rPr>
      </w:pPr>
      <w:r>
        <w:rPr>
          <w:rFonts w:ascii="Courier New" w:cs="Courier New" w:eastAsia="Courier New" w:hAnsi="Courier New"/>
          <w:sz w:val="14"/>
          <w:szCs w:val="14"/>
          <w:color w:val="auto"/>
        </w:rPr>
        <w:t>detailed description of the investments made pursuant to the Share Purchase Agreements and Additional Purchase Agreements, including the acquisitions of Ordinary Shares thereunder, is set forth below.</w:t>
      </w:r>
    </w:p>
    <w:p>
      <w:pPr>
        <w:spacing w:after="0" w:line="4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Share Purchase Agreements</w:t>
      </w:r>
    </w:p>
    <w:p>
      <w:pPr>
        <w:spacing w:after="0" w:line="173" w:lineRule="exact"/>
        <w:rPr>
          <w:sz w:val="20"/>
          <w:szCs w:val="20"/>
          <w:color w:val="auto"/>
        </w:rPr>
      </w:pPr>
    </w:p>
    <w:p>
      <w:pPr>
        <w:ind w:right="3339" w:firstLine="1378"/>
        <w:spacing w:after="0" w:line="282" w:lineRule="auto"/>
        <w:rPr>
          <w:sz w:val="20"/>
          <w:szCs w:val="20"/>
          <w:color w:val="auto"/>
        </w:rPr>
      </w:pPr>
      <w:r>
        <w:rPr>
          <w:rFonts w:ascii="Courier New" w:cs="Courier New" w:eastAsia="Courier New" w:hAnsi="Courier New"/>
          <w:sz w:val="14"/>
          <w:szCs w:val="14"/>
          <w:color w:val="auto"/>
        </w:rPr>
        <w:t>On July 4, 2000, SanDisk entered into a share purchase agreement with Tower to purchase 866,551 Ordinary Shares in a private transaction for an aggregate purchase price of $11,215,068. An additional investment amount of approximately $8.8 million was established as credit to be applied primarily against future wafers purchases from Fab 2 production.</w:t>
      </w:r>
    </w:p>
    <w:p>
      <w:pPr>
        <w:spacing w:after="0" w:line="62" w:lineRule="exact"/>
        <w:rPr>
          <w:sz w:val="20"/>
          <w:szCs w:val="20"/>
          <w:color w:val="auto"/>
        </w:rPr>
      </w:pPr>
    </w:p>
    <w:p>
      <w:pPr>
        <w:ind w:right="3419" w:firstLine="1378"/>
        <w:spacing w:after="0" w:line="282" w:lineRule="auto"/>
        <w:rPr>
          <w:sz w:val="20"/>
          <w:szCs w:val="20"/>
          <w:color w:val="auto"/>
        </w:rPr>
      </w:pPr>
      <w:r>
        <w:rPr>
          <w:rFonts w:ascii="Courier New" w:cs="Courier New" w:eastAsia="Courier New" w:hAnsi="Courier New"/>
          <w:sz w:val="14"/>
          <w:szCs w:val="14"/>
          <w:color w:val="auto"/>
        </w:rPr>
        <w:t>On August 29, 2000, Alliance entered into a share purchase agreement with Tower to purchase 866,551 Ordinary Shares in a private transaction for an aggregate purchase price of $11,215,068. An additional investment amount of approximately $8.8 million was established as credit to be applied primarily against future wafers purchases from Fab 2 production.</w:t>
      </w:r>
    </w:p>
    <w:p>
      <w:pPr>
        <w:spacing w:after="0" w:line="62" w:lineRule="exact"/>
        <w:rPr>
          <w:sz w:val="20"/>
          <w:szCs w:val="20"/>
          <w:color w:val="auto"/>
        </w:rPr>
      </w:pPr>
    </w:p>
    <w:p>
      <w:pPr>
        <w:ind w:right="3419" w:firstLine="1378"/>
        <w:spacing w:after="0" w:line="282" w:lineRule="auto"/>
        <w:rPr>
          <w:sz w:val="20"/>
          <w:szCs w:val="20"/>
          <w:color w:val="auto"/>
        </w:rPr>
      </w:pPr>
      <w:r>
        <w:rPr>
          <w:rFonts w:ascii="Courier New" w:cs="Courier New" w:eastAsia="Courier New" w:hAnsi="Courier New"/>
          <w:sz w:val="14"/>
          <w:szCs w:val="14"/>
          <w:color w:val="auto"/>
        </w:rPr>
        <w:t>On December 12, 2000, Macronix entered into a share purchase agreement with Tower to purchase 866,551 Ordinary Shares in a private transaction for an aggregate purchase price of $11,215,068. An additional investment amount of approximately $8.8 million was established as credit to be applied primarily against future wafers purchases from Fab 2 production.</w:t>
      </w:r>
    </w:p>
    <w:p>
      <w:pPr>
        <w:spacing w:after="0" w:line="62"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On December 12, 2000, Israel Corporation entered into a share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agreement (the "Purchase Agreement") with Tower to purchase 1,030,220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in a private transaction for an aggregate purchase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$13,333,300. The foregoing summary of the Purchase Agreement is qualified in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entirety by reference to the Purchase Agreement included as Exhibit 1 to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and incorporated herein in its entirety by reference.</w:t>
      </w:r>
    </w:p>
    <w:p>
      <w:pPr>
        <w:spacing w:after="0" w:line="147" w:lineRule="exact"/>
        <w:rPr>
          <w:sz w:val="20"/>
          <w:szCs w:val="20"/>
          <w:color w:val="auto"/>
        </w:rPr>
      </w:pPr>
    </w:p>
    <w:p>
      <w:pPr>
        <w:ind w:right="3419" w:firstLine="1378"/>
        <w:spacing w:after="0" w:line="282" w:lineRule="auto"/>
        <w:rPr>
          <w:sz w:val="20"/>
          <w:szCs w:val="20"/>
          <w:color w:val="auto"/>
        </w:rPr>
      </w:pPr>
      <w:r>
        <w:rPr>
          <w:rFonts w:ascii="Courier New" w:cs="Courier New" w:eastAsia="Courier New" w:hAnsi="Courier New"/>
          <w:sz w:val="14"/>
          <w:szCs w:val="14"/>
          <w:color w:val="auto"/>
        </w:rPr>
        <w:t>Effective January 26, 2001, Tower satisfied the closing conditions of the share purchase agreements it entered into with each of Israel Corporation, SanDisk, Alliance and Macronix (each a "Shareholder" and collectively the "Shareholders"), pursuant to which the Shareholders purchased an aggregate of 3,629,873 Ordinary Shares.</w:t>
      </w:r>
    </w:p>
    <w:p>
      <w:pPr>
        <w:spacing w:after="0" w:line="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Transfer of Ordinary Shares to ICTech</w:t>
      </w:r>
    </w:p>
    <w:p>
      <w:pPr>
        <w:spacing w:after="0" w:line="173" w:lineRule="exact"/>
        <w:rPr>
          <w:sz w:val="20"/>
          <w:szCs w:val="20"/>
          <w:color w:val="auto"/>
        </w:rPr>
      </w:pPr>
    </w:p>
    <w:p>
      <w:pPr>
        <w:ind w:right="3339" w:firstLine="1378"/>
        <w:spacing w:after="0" w:line="313" w:lineRule="auto"/>
        <w:rPr>
          <w:sz w:val="20"/>
          <w:szCs w:val="20"/>
          <w:color w:val="auto"/>
        </w:rPr>
      </w:pPr>
      <w:r>
        <w:rPr>
          <w:rFonts w:ascii="Courier New" w:cs="Courier New" w:eastAsia="Courier New" w:hAnsi="Courier New"/>
          <w:sz w:val="14"/>
          <w:szCs w:val="14"/>
          <w:color w:val="auto"/>
        </w:rPr>
        <w:t>Effective as of January 31, 2001, Israel Corporation transferred all of its beneficial ownership in the Ordinary Shares to ICTech, its wholly owned subsidiary.</w:t>
      </w:r>
    </w:p>
    <w:p>
      <w:pPr>
        <w:spacing w:after="0" w:line="4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Additional Purchase Agreements</w:t>
      </w:r>
    </w:p>
    <w:p>
      <w:pPr>
        <w:spacing w:after="0" w:line="173" w:lineRule="exact"/>
        <w:rPr>
          <w:sz w:val="20"/>
          <w:szCs w:val="20"/>
          <w:color w:val="auto"/>
        </w:rPr>
      </w:pPr>
    </w:p>
    <w:p>
      <w:pPr>
        <w:ind w:right="3519" w:firstLine="1378"/>
        <w:spacing w:after="0" w:line="313" w:lineRule="auto"/>
        <w:rPr>
          <w:sz w:val="20"/>
          <w:szCs w:val="20"/>
          <w:color w:val="auto"/>
        </w:rPr>
      </w:pPr>
      <w:r>
        <w:rPr>
          <w:rFonts w:ascii="Courier New" w:cs="Courier New" w:eastAsia="Courier New" w:hAnsi="Courier New"/>
          <w:sz w:val="14"/>
          <w:szCs w:val="14"/>
          <w:color w:val="auto"/>
        </w:rPr>
        <w:t>On December 12, 2000, pursuant and in addition to the Purchase Agreement, Israel Corporation and Tower entered into an Additional Purchase Obligation Agreement (the "Additional Purchase Agreement").</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25" w:right="1440" w:bottom="1440" w:gutter="0" w:footer="0" w:header="0"/>
        </w:sectPr>
      </w:pPr>
    </w:p>
    <w:bookmarkStart w:id="14" w:name="page15"/>
    <w:bookmarkEnd w:id="14"/>
    <w:p>
      <w:pPr>
        <w:ind w:right="3419" w:firstLine="1378"/>
        <w:spacing w:after="0" w:line="260" w:lineRule="auto"/>
        <w:rPr>
          <w:sz w:val="20"/>
          <w:szCs w:val="20"/>
          <w:color w:val="auto"/>
        </w:rPr>
      </w:pPr>
      <w:r>
        <w:rPr>
          <w:rFonts w:ascii="Courier New" w:cs="Courier New" w:eastAsia="Courier New" w:hAnsi="Courier New"/>
          <w:sz w:val="14"/>
          <w:szCs w:val="14"/>
          <w:color w:val="auto"/>
        </w:rPr>
        <w:t>Under the terms of Section 2 of the Additional Purchase Agreement, Tower delivered to Israel Corporation five warrants providing Israel Corporation with the right to exercise immediately such warrants and requiring it to exercise such warrants within thirty (30) days of the satisfaction of the milestones specified in Section 5 of the Additional Purchase Agreement. These warrants entitled Israel Corporation to purchase additional Ordinary Shares for an aggregate purchase price of $36,666,700. Four of these warrants were exercised by ICTech as described below. As of the date hereof, Israel Corporation has the right to exercise the remaining fifth warrant immediately and to purchase up to 586,666 Ordinary Shares in accordance with the terms of such warrant for an aggregate purchase price of $7,333,340. The foregoing summary of the Additional Purchase Agreement is qualified in its entirety by reference to the Additional Purchase Agreement included as Exhibit 2 hereto and incorporated herein in its entirety by reference.</w:t>
      </w:r>
    </w:p>
    <w:p>
      <w:pPr>
        <w:spacing w:after="0" w:line="79" w:lineRule="exact"/>
        <w:rPr>
          <w:sz w:val="20"/>
          <w:szCs w:val="20"/>
          <w:color w:val="auto"/>
        </w:rPr>
      </w:pPr>
    </w:p>
    <w:p>
      <w:pPr>
        <w:ind w:right="3339" w:firstLine="1378"/>
        <w:spacing w:after="0" w:line="292" w:lineRule="auto"/>
        <w:rPr>
          <w:sz w:val="20"/>
          <w:szCs w:val="20"/>
          <w:color w:val="auto"/>
        </w:rPr>
      </w:pPr>
      <w:r>
        <w:rPr>
          <w:rFonts w:ascii="Courier New" w:cs="Courier New" w:eastAsia="Courier New" w:hAnsi="Courier New"/>
          <w:sz w:val="14"/>
          <w:szCs w:val="14"/>
          <w:color w:val="auto"/>
        </w:rPr>
        <w:t>To the best knowledge of the Reporting Persons, each of SanDisk, Alliance and Macronix entered into an additional purchase agreement in substantially the same form and upon substantially the same terms as the Additional Purchase Agreement.</w:t>
      </w:r>
    </w:p>
    <w:p>
      <w:pPr>
        <w:spacing w:after="0" w:line="56" w:lineRule="exact"/>
        <w:rPr>
          <w:sz w:val="20"/>
          <w:szCs w:val="20"/>
          <w:color w:val="auto"/>
        </w:rPr>
      </w:pPr>
    </w:p>
    <w:p>
      <w:pPr>
        <w:ind w:right="3419" w:firstLine="1378"/>
        <w:spacing w:after="0" w:line="282" w:lineRule="auto"/>
        <w:rPr>
          <w:sz w:val="20"/>
          <w:szCs w:val="20"/>
          <w:color w:val="auto"/>
        </w:rPr>
      </w:pPr>
      <w:r>
        <w:rPr>
          <w:rFonts w:ascii="Courier New" w:cs="Courier New" w:eastAsia="Courier New" w:hAnsi="Courier New"/>
          <w:sz w:val="14"/>
          <w:szCs w:val="14"/>
          <w:color w:val="auto"/>
        </w:rPr>
        <w:t>In March 2001, Tower satisfied the conditions of the first milestone and accordingly pursuant to the provisions of the additional purchase agreements, each of ICTech, SanDisk, Alliance and Macronix was required to exercise its first warrant. In connection with the exercise of the first warrant, Tower issued to:</w:t>
      </w:r>
    </w:p>
    <w:p>
      <w:pPr>
        <w:spacing w:after="0" w:line="62" w:lineRule="exact"/>
        <w:rPr>
          <w:sz w:val="20"/>
          <w:szCs w:val="20"/>
          <w:color w:val="auto"/>
        </w:rPr>
      </w:pPr>
    </w:p>
    <w:p>
      <w:pPr>
        <w:ind w:left="2080" w:right="4019" w:hanging="694"/>
        <w:spacing w:after="0" w:line="375" w:lineRule="auto"/>
        <w:tabs>
          <w:tab w:leader="none" w:pos="20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ICTech, 554,069 Ordinary Shares for an aggregate purchase price of $7,333,340; and</w:t>
      </w:r>
    </w:p>
    <w:p>
      <w:pPr>
        <w:spacing w:after="0" w:line="1" w:lineRule="exact"/>
        <w:rPr>
          <w:rFonts w:ascii="Courier New" w:cs="Courier New" w:eastAsia="Courier New" w:hAnsi="Courier New"/>
          <w:sz w:val="14"/>
          <w:szCs w:val="14"/>
          <w:color w:val="auto"/>
        </w:rPr>
      </w:pPr>
    </w:p>
    <w:p>
      <w:pPr>
        <w:ind w:left="2080" w:right="3339" w:hanging="694"/>
        <w:spacing w:after="0" w:line="313" w:lineRule="auto"/>
        <w:tabs>
          <w:tab w:leader="none" w:pos="20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SanDisk, Alliance and Macronix, 366,690 Ordinary Shares for an aggregate purchase price of $4,853,296 paid by each such entity.</w:t>
      </w:r>
    </w:p>
    <w:p>
      <w:pPr>
        <w:spacing w:after="0" w:line="42" w:lineRule="exact"/>
        <w:rPr>
          <w:sz w:val="20"/>
          <w:szCs w:val="20"/>
          <w:color w:val="auto"/>
        </w:rPr>
      </w:pPr>
    </w:p>
    <w:p>
      <w:pPr>
        <w:ind w:right="3519" w:firstLine="1378"/>
        <w:spacing w:after="0" w:line="292" w:lineRule="auto"/>
        <w:rPr>
          <w:sz w:val="20"/>
          <w:szCs w:val="20"/>
          <w:color w:val="auto"/>
        </w:rPr>
      </w:pPr>
      <w:r>
        <w:rPr>
          <w:rFonts w:ascii="Courier New" w:cs="Courier New" w:eastAsia="Courier New" w:hAnsi="Courier New"/>
          <w:sz w:val="14"/>
          <w:szCs w:val="14"/>
          <w:color w:val="auto"/>
        </w:rPr>
        <w:t>An additional investment amount of approximately $6.1 million, paid to Tower by each of SanDisk, Alliance and Macronix, was established as credit to be applied primarily against future wafers purchases from Fab 2 production.</w:t>
      </w:r>
    </w:p>
    <w:p>
      <w:pPr>
        <w:spacing w:after="0" w:line="56" w:lineRule="exact"/>
        <w:rPr>
          <w:sz w:val="20"/>
          <w:szCs w:val="20"/>
          <w:color w:val="auto"/>
        </w:rPr>
      </w:pPr>
    </w:p>
    <w:p>
      <w:pPr>
        <w:ind w:right="3419" w:firstLine="1378"/>
        <w:spacing w:after="0" w:line="282" w:lineRule="auto"/>
        <w:rPr>
          <w:sz w:val="20"/>
          <w:szCs w:val="20"/>
          <w:color w:val="auto"/>
        </w:rPr>
      </w:pPr>
      <w:r>
        <w:rPr>
          <w:rFonts w:ascii="Courier New" w:cs="Courier New" w:eastAsia="Courier New" w:hAnsi="Courier New"/>
          <w:sz w:val="14"/>
          <w:szCs w:val="14"/>
          <w:color w:val="auto"/>
        </w:rPr>
        <w:t>In May 2001, Tower satisfied the conditions of the second milestone and accordingly pursuant to the provisions of the additional purchase agreements, each of ICTech, SanDisk, Alliance and Macronix was required to exercise its second warrant. In connection with the exercise of the second warrant, Tower issued to:</w:t>
      </w:r>
    </w:p>
    <w:p>
      <w:pPr>
        <w:spacing w:after="0" w:line="62" w:lineRule="exact"/>
        <w:rPr>
          <w:sz w:val="20"/>
          <w:szCs w:val="20"/>
          <w:color w:val="auto"/>
        </w:rPr>
      </w:pPr>
    </w:p>
    <w:p>
      <w:pPr>
        <w:ind w:left="2080" w:right="4019" w:hanging="694"/>
        <w:spacing w:after="0" w:line="375" w:lineRule="auto"/>
        <w:tabs>
          <w:tab w:leader="none" w:pos="20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ICTech, 586,667 Ordinary Shares for an aggregate purchase price of $7,333,340; and</w:t>
      </w:r>
    </w:p>
    <w:p>
      <w:pPr>
        <w:spacing w:after="0" w:line="1" w:lineRule="exact"/>
        <w:rPr>
          <w:rFonts w:ascii="Courier New" w:cs="Courier New" w:eastAsia="Courier New" w:hAnsi="Courier New"/>
          <w:sz w:val="14"/>
          <w:szCs w:val="14"/>
          <w:color w:val="auto"/>
        </w:rPr>
      </w:pPr>
    </w:p>
    <w:p>
      <w:pPr>
        <w:ind w:left="2080" w:right="3339" w:hanging="694"/>
        <w:spacing w:after="0" w:line="313" w:lineRule="auto"/>
        <w:tabs>
          <w:tab w:leader="none" w:pos="20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SanDisk, Alliance and Macronix, 366,690 Ordinary Shares for an aggregate purchase price of $4,583,625 paid by each such entity.</w:t>
      </w:r>
    </w:p>
    <w:p>
      <w:pPr>
        <w:spacing w:after="0" w:line="42" w:lineRule="exact"/>
        <w:rPr>
          <w:sz w:val="20"/>
          <w:szCs w:val="20"/>
          <w:color w:val="auto"/>
        </w:rPr>
      </w:pPr>
    </w:p>
    <w:p>
      <w:pPr>
        <w:ind w:right="3519" w:firstLine="1378"/>
        <w:spacing w:after="0" w:line="292" w:lineRule="auto"/>
        <w:rPr>
          <w:sz w:val="20"/>
          <w:szCs w:val="20"/>
          <w:color w:val="auto"/>
        </w:rPr>
      </w:pPr>
      <w:r>
        <w:rPr>
          <w:rFonts w:ascii="Courier New" w:cs="Courier New" w:eastAsia="Courier New" w:hAnsi="Courier New"/>
          <w:sz w:val="14"/>
          <w:szCs w:val="14"/>
          <w:color w:val="auto"/>
        </w:rPr>
        <w:t>An additional investment amount of approximately $6.4 million, paid to Tower by each of SanDisk, Alliance and Macronix, was established as credit to be applied primarily against future wafers purchases from Fab 2 production.</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25" w:right="1440" w:bottom="1440" w:gutter="0" w:footer="0" w:header="0"/>
        </w:sectPr>
      </w:pPr>
    </w:p>
    <w:bookmarkStart w:id="15" w:name="page16"/>
    <w:bookmarkEnd w:id="15"/>
    <w:p>
      <w:pPr>
        <w:ind w:right="3419" w:firstLine="1378"/>
        <w:spacing w:after="0" w:line="275" w:lineRule="auto"/>
        <w:rPr>
          <w:sz w:val="20"/>
          <w:szCs w:val="20"/>
          <w:color w:val="auto"/>
        </w:rPr>
      </w:pPr>
      <w:r>
        <w:rPr>
          <w:rFonts w:ascii="Courier New" w:cs="Courier New" w:eastAsia="Courier New" w:hAnsi="Courier New"/>
          <w:sz w:val="14"/>
          <w:szCs w:val="14"/>
          <w:color w:val="auto"/>
        </w:rPr>
        <w:t>In September 2001, Tower, SanDisk, Alliance and Macronix agreed to convert approximately $48.4 million of previously established credits applicable against future purchases of wafers from Fab 2 production into Ordinary Shares, at a price of $12.75 per share. Accordingly, Tower issued 1,284,007 Ordinary Shares to SanDisk and 1,255,848 Ordinary Shares to each of Alliance and Macronix.</w:t>
      </w:r>
    </w:p>
    <w:p>
      <w:pPr>
        <w:spacing w:after="0" w:line="69" w:lineRule="exact"/>
        <w:rPr>
          <w:sz w:val="20"/>
          <w:szCs w:val="20"/>
          <w:color w:val="auto"/>
        </w:rPr>
      </w:pPr>
    </w:p>
    <w:p>
      <w:pPr>
        <w:ind w:right="3339" w:firstLine="1378"/>
        <w:spacing w:after="0" w:line="292" w:lineRule="auto"/>
        <w:rPr>
          <w:sz w:val="20"/>
          <w:szCs w:val="20"/>
          <w:color w:val="auto"/>
        </w:rPr>
      </w:pPr>
      <w:r>
        <w:rPr>
          <w:rFonts w:ascii="Courier New" w:cs="Courier New" w:eastAsia="Courier New" w:hAnsi="Courier New"/>
          <w:sz w:val="14"/>
          <w:szCs w:val="14"/>
          <w:color w:val="auto"/>
        </w:rPr>
        <w:t>In March 2002, the additional purchase agreements were amended to provide for the advance of an installment originally related to the third and fourth milestones, subject to approval of the general meeting of Tower's shareholders, which approval was obtained in April 2002.</w:t>
      </w:r>
    </w:p>
    <w:p>
      <w:pPr>
        <w:spacing w:after="0" w:line="56" w:lineRule="exact"/>
        <w:rPr>
          <w:sz w:val="20"/>
          <w:szCs w:val="20"/>
          <w:color w:val="auto"/>
        </w:rPr>
      </w:pPr>
    </w:p>
    <w:p>
      <w:pPr>
        <w:ind w:right="3339" w:firstLine="1378"/>
        <w:spacing w:after="0" w:line="292" w:lineRule="auto"/>
        <w:rPr>
          <w:sz w:val="20"/>
          <w:szCs w:val="20"/>
          <w:color w:val="auto"/>
        </w:rPr>
      </w:pPr>
      <w:r>
        <w:rPr>
          <w:rFonts w:ascii="Courier New" w:cs="Courier New" w:eastAsia="Courier New" w:hAnsi="Courier New"/>
          <w:sz w:val="14"/>
          <w:szCs w:val="14"/>
          <w:color w:val="auto"/>
        </w:rPr>
        <w:t>In April 2002, pursuant to the additional purchase agreements, as amended, each of ICTech, SanDisk, Alliance and Macronix exercised its third warrant. In connection with the amendment and the exercise of the third warrant, Tower issued to:</w:t>
      </w:r>
    </w:p>
    <w:p>
      <w:pPr>
        <w:spacing w:after="0" w:line="56" w:lineRule="exact"/>
        <w:rPr>
          <w:sz w:val="20"/>
          <w:szCs w:val="20"/>
          <w:color w:val="auto"/>
        </w:rPr>
      </w:pPr>
    </w:p>
    <w:p>
      <w:pPr>
        <w:ind w:left="2080" w:right="3859" w:hanging="694"/>
        <w:spacing w:after="0" w:line="375" w:lineRule="auto"/>
        <w:tabs>
          <w:tab w:leader="none" w:pos="20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ICTech, 1,190,477 Ordinary Shares for an aggregate purchase price of $7,333,340; and</w:t>
      </w:r>
    </w:p>
    <w:p>
      <w:pPr>
        <w:spacing w:after="0" w:line="1" w:lineRule="exact"/>
        <w:rPr>
          <w:rFonts w:ascii="Courier New" w:cs="Courier New" w:eastAsia="Courier New" w:hAnsi="Courier New"/>
          <w:sz w:val="14"/>
          <w:szCs w:val="14"/>
          <w:color w:val="auto"/>
        </w:rPr>
      </w:pPr>
    </w:p>
    <w:p>
      <w:pPr>
        <w:ind w:left="2080" w:right="3859" w:hanging="694"/>
        <w:spacing w:after="0" w:line="313" w:lineRule="auto"/>
        <w:tabs>
          <w:tab w:leader="none" w:pos="20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SanDisk, Alliance and Macronix, 1,071,497 Ordinary Shares for an aggregate purchase price of $6,600,420 paid by each such entity.</w:t>
      </w:r>
    </w:p>
    <w:p>
      <w:pPr>
        <w:spacing w:after="0" w:line="42" w:lineRule="exact"/>
        <w:rPr>
          <w:sz w:val="20"/>
          <w:szCs w:val="20"/>
          <w:color w:val="auto"/>
        </w:rPr>
      </w:pPr>
    </w:p>
    <w:p>
      <w:pPr>
        <w:ind w:right="3519" w:firstLine="1378"/>
        <w:spacing w:after="0" w:line="292" w:lineRule="auto"/>
        <w:rPr>
          <w:sz w:val="20"/>
          <w:szCs w:val="20"/>
          <w:color w:val="auto"/>
        </w:rPr>
      </w:pPr>
      <w:r>
        <w:rPr>
          <w:rFonts w:ascii="Courier New" w:cs="Courier New" w:eastAsia="Courier New" w:hAnsi="Courier New"/>
          <w:sz w:val="14"/>
          <w:szCs w:val="14"/>
          <w:color w:val="auto"/>
        </w:rPr>
        <w:t>An additional investment amount of approximately $4.4 million, paid to Tower by each of SanDisk, Alliance and Macronix, was established as credit to be applied primarily against future wafers purchases from Fab 2 production.</w:t>
      </w:r>
    </w:p>
    <w:p>
      <w:pPr>
        <w:spacing w:after="0" w:line="56" w:lineRule="exact"/>
        <w:rPr>
          <w:sz w:val="20"/>
          <w:szCs w:val="20"/>
          <w:color w:val="auto"/>
        </w:rPr>
      </w:pPr>
    </w:p>
    <w:p>
      <w:pPr>
        <w:ind w:right="3419" w:firstLine="1378"/>
        <w:spacing w:after="0" w:line="292" w:lineRule="auto"/>
        <w:rPr>
          <w:sz w:val="20"/>
          <w:szCs w:val="20"/>
          <w:color w:val="auto"/>
        </w:rPr>
      </w:pPr>
      <w:r>
        <w:rPr>
          <w:rFonts w:ascii="Courier New" w:cs="Courier New" w:eastAsia="Courier New" w:hAnsi="Courier New"/>
          <w:sz w:val="14"/>
          <w:szCs w:val="14"/>
          <w:color w:val="auto"/>
        </w:rPr>
        <w:t>In October 2002, pursuant to the provisions of the additional purchase agreements, as amended, each of ICTech, SanDisk, Alliance and Macronix exercised its fourth warrant. In connection with the exercise of the fourth warrant, Tower issued to:</w:t>
      </w:r>
    </w:p>
    <w:p>
      <w:pPr>
        <w:spacing w:after="0" w:line="56" w:lineRule="exact"/>
        <w:rPr>
          <w:sz w:val="20"/>
          <w:szCs w:val="20"/>
          <w:color w:val="auto"/>
        </w:rPr>
      </w:pPr>
    </w:p>
    <w:p>
      <w:pPr>
        <w:ind w:left="2080" w:right="3859" w:hanging="694"/>
        <w:spacing w:after="0" w:line="375" w:lineRule="auto"/>
        <w:tabs>
          <w:tab w:leader="none" w:pos="20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ICTech, 1,494,161 Ordinary Shares for an aggregate purchase price of $7,333,340; and</w:t>
      </w:r>
    </w:p>
    <w:p>
      <w:pPr>
        <w:spacing w:after="0" w:line="1" w:lineRule="exact"/>
        <w:rPr>
          <w:rFonts w:ascii="Courier New" w:cs="Courier New" w:eastAsia="Courier New" w:hAnsi="Courier New"/>
          <w:sz w:val="14"/>
          <w:szCs w:val="14"/>
          <w:color w:val="auto"/>
        </w:rPr>
      </w:pPr>
    </w:p>
    <w:p>
      <w:pPr>
        <w:ind w:left="2080" w:right="3859" w:hanging="694"/>
        <w:spacing w:after="0" w:line="313" w:lineRule="auto"/>
        <w:tabs>
          <w:tab w:leader="none" w:pos="20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SanDisk, Alliance and Macronix, 1,344,829 Ordinary Shares for an aggregate purchase price of $6,600,420 paid by each such entity.</w:t>
      </w:r>
    </w:p>
    <w:p>
      <w:pPr>
        <w:spacing w:after="0" w:line="42" w:lineRule="exact"/>
        <w:rPr>
          <w:sz w:val="20"/>
          <w:szCs w:val="20"/>
          <w:color w:val="auto"/>
        </w:rPr>
      </w:pPr>
    </w:p>
    <w:p>
      <w:pPr>
        <w:ind w:right="3519" w:firstLine="1378"/>
        <w:spacing w:after="0" w:line="292" w:lineRule="auto"/>
        <w:rPr>
          <w:sz w:val="20"/>
          <w:szCs w:val="20"/>
          <w:color w:val="auto"/>
        </w:rPr>
      </w:pPr>
      <w:r>
        <w:rPr>
          <w:rFonts w:ascii="Courier New" w:cs="Courier New" w:eastAsia="Courier New" w:hAnsi="Courier New"/>
          <w:sz w:val="14"/>
          <w:szCs w:val="14"/>
          <w:color w:val="auto"/>
        </w:rPr>
        <w:t>An additional investment amount of approximately $4.4 million, paid to Tower by each of SanDisk, Alliance and Macronix, was established as credit to be applied primarily against future wafers purchases from Fab 2 production.</w:t>
      </w:r>
    </w:p>
    <w:p>
      <w:pPr>
        <w:spacing w:after="0" w:line="5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2001 Open Market Acquisitions of Ordinary Shares</w:t>
      </w:r>
    </w:p>
    <w:p>
      <w:pPr>
        <w:spacing w:after="0" w:line="173" w:lineRule="exact"/>
        <w:rPr>
          <w:sz w:val="20"/>
          <w:szCs w:val="20"/>
          <w:color w:val="auto"/>
        </w:rPr>
      </w:pPr>
    </w:p>
    <w:p>
      <w:pPr>
        <w:jc w:val="both"/>
        <w:ind w:right="3679" w:firstLine="1378"/>
        <w:spacing w:after="0" w:line="313" w:lineRule="auto"/>
        <w:rPr>
          <w:sz w:val="20"/>
          <w:szCs w:val="20"/>
          <w:color w:val="auto"/>
        </w:rPr>
      </w:pPr>
      <w:r>
        <w:rPr>
          <w:rFonts w:ascii="Courier New" w:cs="Courier New" w:eastAsia="Courier New" w:hAnsi="Courier New"/>
          <w:sz w:val="14"/>
          <w:szCs w:val="14"/>
          <w:color w:val="auto"/>
        </w:rPr>
        <w:t>In the second half of 2001, ICTech purchased an aggregate of 12,329 Ordinary Shares in open market transactions for an aggregate purchase price of $71,737.</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25" w:right="1440" w:bottom="1440" w:gutter="0" w:footer="0" w:header="0"/>
        </w:sectPr>
      </w:pPr>
    </w:p>
    <w:bookmarkStart w:id="16" w:name="page17"/>
    <w:bookmarkEnd w:id="16"/>
    <w:p>
      <w:pPr>
        <w:ind w:left="960"/>
        <w:spacing w:after="0"/>
        <w:rPr>
          <w:sz w:val="20"/>
          <w:szCs w:val="20"/>
          <w:color w:val="auto"/>
        </w:rPr>
      </w:pPr>
      <w:r>
        <w:rPr>
          <w:rFonts w:ascii="Courier New" w:cs="Courier New" w:eastAsia="Courier New" w:hAnsi="Courier New"/>
          <w:sz w:val="14"/>
          <w:szCs w:val="14"/>
          <w:color w:val="auto"/>
        </w:rPr>
        <w:t>Rights Offering</w:t>
      </w:r>
    </w:p>
    <w:p>
      <w:pPr>
        <w:spacing w:after="0" w:line="173" w:lineRule="exact"/>
        <w:rPr>
          <w:sz w:val="20"/>
          <w:szCs w:val="20"/>
          <w:color w:val="auto"/>
        </w:rPr>
      </w:pPr>
    </w:p>
    <w:p>
      <w:pPr>
        <w:ind w:right="3339" w:firstLine="1378"/>
        <w:spacing w:after="0" w:line="264" w:lineRule="auto"/>
        <w:rPr>
          <w:sz w:val="20"/>
          <w:szCs w:val="20"/>
          <w:color w:val="auto"/>
        </w:rPr>
      </w:pPr>
      <w:r>
        <w:rPr>
          <w:rFonts w:ascii="Courier New" w:cs="Courier New" w:eastAsia="Courier New" w:hAnsi="Courier New"/>
          <w:sz w:val="14"/>
          <w:szCs w:val="14"/>
          <w:color w:val="auto"/>
        </w:rPr>
        <w:t>On September 30, 2002, Tower commenced a rights offering pursuant to which shareholders and Tower employees who hold options to purchase Ordinary Shares were offered one right for each 4.94 Ordinary Shares or employee options held thereby. Each right entitled its holder to purchase, at a subscription price of $5.00, one Ordinary Share and 0.45 warrant. Each whole warrant entitles its holder to purchase, at any time prior to October 31, 2006, one Ordinary Share at an exercise price of $7.50 per share. ICTech, SanDisk, Alliance and Macronix committed to purchase certain percentages of their rights in connection with the rights offering. Accordingly, in October 2002, Tower issued to:</w:t>
      </w:r>
    </w:p>
    <w:p>
      <w:pPr>
        <w:spacing w:after="0" w:line="252" w:lineRule="exact"/>
        <w:rPr>
          <w:sz w:val="20"/>
          <w:szCs w:val="20"/>
          <w:color w:val="auto"/>
        </w:rPr>
      </w:pPr>
    </w:p>
    <w:p>
      <w:pPr>
        <w:ind w:left="2080" w:right="3939" w:hanging="694"/>
        <w:spacing w:after="0" w:line="375" w:lineRule="auto"/>
        <w:tabs>
          <w:tab w:leader="none" w:pos="20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ICTech, 1,830,347 Ordinary Shares and warrants to purchase 823,654 Ordinary Shares;</w:t>
      </w:r>
    </w:p>
    <w:p>
      <w:pPr>
        <w:spacing w:after="0" w:line="1" w:lineRule="exact"/>
        <w:rPr>
          <w:rFonts w:ascii="Courier New" w:cs="Courier New" w:eastAsia="Courier New" w:hAnsi="Courier New"/>
          <w:sz w:val="14"/>
          <w:szCs w:val="14"/>
          <w:color w:val="auto"/>
        </w:rPr>
      </w:pPr>
    </w:p>
    <w:p>
      <w:pPr>
        <w:ind w:left="2080" w:right="4019" w:hanging="694"/>
        <w:spacing w:after="0" w:line="375" w:lineRule="auto"/>
        <w:tabs>
          <w:tab w:leader="none" w:pos="20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Sandisk, 800,695 Ordinary Shares and warrants to purchase 360,312 Ordinary Shares;</w:t>
      </w:r>
    </w:p>
    <w:p>
      <w:pPr>
        <w:spacing w:after="0" w:line="1" w:lineRule="exact"/>
        <w:rPr>
          <w:rFonts w:ascii="Courier New" w:cs="Courier New" w:eastAsia="Courier New" w:hAnsi="Courier New"/>
          <w:sz w:val="14"/>
          <w:szCs w:val="14"/>
          <w:color w:val="auto"/>
        </w:rPr>
      </w:pPr>
    </w:p>
    <w:p>
      <w:pPr>
        <w:ind w:left="2080" w:right="3939" w:hanging="694"/>
        <w:spacing w:after="0" w:line="375" w:lineRule="auto"/>
        <w:tabs>
          <w:tab w:leader="none" w:pos="20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Alliance, 794,995 Ordinary Shares and warrants to purchase 357,747 Ordinary Shares; and</w:t>
      </w:r>
    </w:p>
    <w:p>
      <w:pPr>
        <w:spacing w:after="0" w:line="1" w:lineRule="exact"/>
        <w:rPr>
          <w:rFonts w:ascii="Courier New" w:cs="Courier New" w:eastAsia="Courier New" w:hAnsi="Courier New"/>
          <w:sz w:val="14"/>
          <w:szCs w:val="14"/>
          <w:color w:val="auto"/>
        </w:rPr>
      </w:pPr>
    </w:p>
    <w:p>
      <w:pPr>
        <w:ind w:left="2080" w:right="3939" w:hanging="694"/>
        <w:spacing w:after="0" w:line="375" w:lineRule="auto"/>
        <w:tabs>
          <w:tab w:leader="none" w:pos="20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Macronix, 660,000 Ordinary Shares and warrants to purchase 297,000 Ordinary Shares.</w:t>
      </w:r>
    </w:p>
    <w:p>
      <w:pPr>
        <w:spacing w:after="0" w:line="1" w:lineRule="exact"/>
        <w:rPr>
          <w:sz w:val="20"/>
          <w:szCs w:val="20"/>
          <w:color w:val="auto"/>
        </w:rPr>
      </w:pPr>
    </w:p>
    <w:p>
      <w:pPr>
        <w:ind w:right="3599" w:firstLine="1378"/>
        <w:spacing w:after="0" w:line="282" w:lineRule="auto"/>
        <w:rPr>
          <w:sz w:val="20"/>
          <w:szCs w:val="20"/>
          <w:color w:val="auto"/>
        </w:rPr>
      </w:pPr>
      <w:r>
        <w:rPr>
          <w:rFonts w:ascii="Courier New" w:cs="Courier New" w:eastAsia="Courier New" w:hAnsi="Courier New"/>
          <w:sz w:val="14"/>
          <w:szCs w:val="14"/>
          <w:color w:val="auto"/>
        </w:rPr>
        <w:t>The securities purchased by ICTech, Sandisk, Alliance and Macronix were issued in a transaction pursuant to an exemption from the registration requirements of the Securities Act of 1933. These securities are restricted securities and are not transferable absent registration or an applicable exemption therefrom.</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 AGREEMENT</w:t>
      </w:r>
    </w:p>
    <w:p>
      <w:pPr>
        <w:spacing w:after="0" w:line="173" w:lineRule="exact"/>
        <w:rPr>
          <w:sz w:val="20"/>
          <w:szCs w:val="20"/>
          <w:color w:val="auto"/>
        </w:rPr>
      </w:pPr>
    </w:p>
    <w:p>
      <w:pPr>
        <w:ind w:right="3339" w:firstLine="1378"/>
        <w:spacing w:after="0" w:line="292" w:lineRule="auto"/>
        <w:rPr>
          <w:sz w:val="20"/>
          <w:szCs w:val="20"/>
          <w:color w:val="auto"/>
        </w:rPr>
      </w:pPr>
      <w:r>
        <w:rPr>
          <w:rFonts w:ascii="Courier New" w:cs="Courier New" w:eastAsia="Courier New" w:hAnsi="Courier New"/>
          <w:sz w:val="14"/>
          <w:szCs w:val="14"/>
          <w:color w:val="auto"/>
        </w:rPr>
        <w:t>On January 18, 2001, Israel Corporation entered into a registration rights agreement (the "Registration Rights Agreement") by and among Tower, Israel Corporation, SanDisk, Alliance, Macronix and QuickLogic Corporation ("QuickLogic").</w:t>
      </w:r>
    </w:p>
    <w:p>
      <w:pPr>
        <w:spacing w:after="0" w:line="56" w:lineRule="exact"/>
        <w:rPr>
          <w:sz w:val="20"/>
          <w:szCs w:val="20"/>
          <w:color w:val="auto"/>
        </w:rPr>
      </w:pPr>
    </w:p>
    <w:p>
      <w:pPr>
        <w:ind w:right="3339" w:firstLine="1378"/>
        <w:spacing w:after="0" w:line="264" w:lineRule="auto"/>
        <w:rPr>
          <w:sz w:val="20"/>
          <w:szCs w:val="20"/>
          <w:color w:val="auto"/>
        </w:rPr>
      </w:pPr>
      <w:r>
        <w:rPr>
          <w:rFonts w:ascii="Courier New" w:cs="Courier New" w:eastAsia="Courier New" w:hAnsi="Courier New"/>
          <w:sz w:val="14"/>
          <w:szCs w:val="14"/>
          <w:color w:val="auto"/>
        </w:rPr>
        <w:t>Under the terms of the Registration Rights Agreement, (i) each of SanDisk, Alliance and Macronix has demand and piggy-back registration rights and (ii) QuickLogic has piggy-back registration rights, with respect to Ordinary Shares purchased thereby pursuant to their share purchase agreements and additional purchase agreements. Israel Corporation has demand and piggy-back registration rights with respect to Ordinary Shares held by it as of the closing of the Purchase Agreement. The foregoing summary of the Registration Rights Agreement is qualified in its entirety by reference to the Registration Rights Agreement included as Exhibit 3 to this Amendment and incorporated herein in its entirety by reference.</w:t>
      </w: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2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SHAREHOLDERS AGREEMENTS</w:t>
      </w:r>
    </w:p>
    <w:p>
      <w:pPr>
        <w:spacing w:after="0" w:line="173" w:lineRule="exact"/>
        <w:rPr>
          <w:sz w:val="20"/>
          <w:szCs w:val="20"/>
          <w:color w:val="auto"/>
        </w:rPr>
      </w:pPr>
    </w:p>
    <w:p>
      <w:pPr>
        <w:ind w:right="3519" w:firstLine="1378"/>
        <w:spacing w:after="0" w:line="275" w:lineRule="auto"/>
        <w:rPr>
          <w:sz w:val="20"/>
          <w:szCs w:val="20"/>
          <w:color w:val="auto"/>
        </w:rPr>
      </w:pPr>
      <w:r>
        <w:rPr>
          <w:rFonts w:ascii="Courier New" w:cs="Courier New" w:eastAsia="Courier New" w:hAnsi="Courier New"/>
          <w:sz w:val="14"/>
          <w:szCs w:val="14"/>
          <w:color w:val="auto"/>
        </w:rPr>
        <w:t>On August 13, 2000, Israel Corporation entered into a Shareholders Agreement (the "Shareholders Agreement") with SanDisk. On January 18, 2001, Israel Corporation entered into the Consolidated Shareholders Agreement (the "Consolidated Shareholders Agreement") by and among Israel Corporation, SanDisk, Alliance and Macronix, such Consolidated Shareholders Agreement superseding the Shareholders Agreement.</w:t>
      </w:r>
    </w:p>
    <w:p>
      <w:pPr>
        <w:spacing w:after="0" w:line="69" w:lineRule="exact"/>
        <w:rPr>
          <w:sz w:val="20"/>
          <w:szCs w:val="20"/>
          <w:color w:val="auto"/>
        </w:rPr>
      </w:pPr>
    </w:p>
    <w:p>
      <w:pPr>
        <w:ind w:right="3339" w:firstLine="1378"/>
        <w:spacing w:after="0" w:line="254" w:lineRule="auto"/>
        <w:rPr>
          <w:sz w:val="20"/>
          <w:szCs w:val="20"/>
          <w:color w:val="auto"/>
        </w:rPr>
      </w:pPr>
      <w:r>
        <w:rPr>
          <w:rFonts w:ascii="Courier New" w:cs="Courier New" w:eastAsia="Courier New" w:hAnsi="Courier New"/>
          <w:sz w:val="14"/>
          <w:szCs w:val="14"/>
          <w:color w:val="auto"/>
        </w:rPr>
        <w:t>Under the terms of the Consolidated Shareholders Agreement, the Shareholders have agreed to vote (or cause to be voted) at general meetings of shareholders all of their respective Ordinary Shares, in the manner set forth in Section 2 thereof, (i) for the election to the board of directors of Tower (the "Board") of (a) nominees designated by each Shareholder to the Board, (b) nominees recommended by the Board, (c) a member of management of Tower, and (d) such other directors as agreed to by Shareholders; (ii) for the election of a nominee of Israel Corporation, who will be one of the nominees in clause (i)(a) above, as chairman of the Board; (iii) for any other resolution which is necessary in order to facilitate the elections specified in clauses (i) through</w:t>
      </w:r>
    </w:p>
    <w:p>
      <w:pPr>
        <w:spacing w:after="0" w:line="4" w:lineRule="exact"/>
        <w:rPr>
          <w:sz w:val="20"/>
          <w:szCs w:val="20"/>
          <w:color w:val="auto"/>
        </w:rPr>
      </w:pPr>
    </w:p>
    <w:p>
      <w:pPr>
        <w:ind w:right="3339" w:firstLine="8"/>
        <w:spacing w:after="0" w:line="256" w:lineRule="auto"/>
        <w:tabs>
          <w:tab w:leader="none" w:pos="51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paragraph; and (iv) against the election of any other person to the Board. In addition, pursuant to Section 3, and subject to certain exceptions as set forth therein, each Shareholder has agreed to certain restrictions on its ability to transfer Ordinary Shares for three years, and has agreed to retain a minimum number of Ordinary Shares for a period of five years. Furthermore, pursuant to Section 4, each Shareholder has a right of first offer with respect to any Ordinary Shares any other Shareholder proposes to transfer. Moreover, subject to the provisions of Section 3, the proposed transfer by any Shareholder of Ordinary Shares to certain specified parties is subject to a right of first refusal, as provided in Section 5. Finally, to the extent the right of first refusal with respect to the proposed transfer of Ordinary Shares pursuant to Section 4 or Section 5, as described above, is not fully exercised, each Shareholder shall have a right of co-sale as provided in Section 6. The foregoing summary of the Consolidated Shareholders Agreement is qualified in its entirety by reference to the Consolidated Shareholders Agreement included as Exhibit 4 to this Amendment and incorporated herein in its entirety by reference.</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NOMINATION LETTER</w:t>
      </w:r>
    </w:p>
    <w:p>
      <w:pPr>
        <w:spacing w:after="0" w:line="173" w:lineRule="exact"/>
        <w:rPr>
          <w:sz w:val="20"/>
          <w:szCs w:val="20"/>
          <w:color w:val="auto"/>
        </w:rPr>
      </w:pPr>
    </w:p>
    <w:p>
      <w:pPr>
        <w:ind w:right="3339" w:firstLine="1378"/>
        <w:spacing w:after="0" w:line="262" w:lineRule="auto"/>
        <w:rPr>
          <w:sz w:val="20"/>
          <w:szCs w:val="20"/>
          <w:color w:val="auto"/>
        </w:rPr>
      </w:pPr>
      <w:r>
        <w:rPr>
          <w:rFonts w:ascii="Courier New" w:cs="Courier New" w:eastAsia="Courier New" w:hAnsi="Courier New"/>
          <w:sz w:val="14"/>
          <w:szCs w:val="14"/>
          <w:color w:val="auto"/>
        </w:rPr>
        <w:t>Effective as of January 26, 2001, Israel Corporation granted to Mr. Zvi Ephrat ("Ephrat"), as Trustee, certain rights and obligations with respect to the voting of a certain amount of the Ordinary Shares held by Israel Corporation or its controlled subsidiary. Pursuant to the terms of the Trustee Nomination Letter, for so long as Tower continues to owe money to Bank Hapoalim, B.M. and Bank Leumi Le'Israel Ltd. (the "Banks") pursuant to the Facility Agreement, dated January 18, 2001, between Tower and the Banks, the number of Ordinary Shares owned by Israel Corporation in excess of the aggregate number of Ordinary Shares held by the Tower Investors (as defined below) from time to time (the "Excess Shares") shall be voted by Ephrat as provided in clauses (i), (ii) and (iii) below. For purposes of this Item 4, the Tower Investors shall mean, at any time, the four largest strategic investors in Tower.</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25" w:right="1440" w:bottom="1440" w:gutter="0" w:footer="0" w:header="0"/>
        </w:sectPr>
      </w:pPr>
    </w:p>
    <w:bookmarkStart w:id="18" w:name="page19"/>
    <w:bookmarkEnd w:id="18"/>
    <w:p>
      <w:pPr>
        <w:jc w:val="both"/>
        <w:ind w:right="3419" w:firstLine="1386"/>
        <w:spacing w:after="0" w:line="292" w:lineRule="auto"/>
        <w:tabs>
          <w:tab w:leader="none" w:pos="172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general meeting of Tower shareholders, where the three Tower Investors with the largest shareholdings in Tower consent to or oppose any proposed resolution, Ephrat shall refrain from voting counter to the position of such Tower Investors;</w:t>
      </w:r>
    </w:p>
    <w:p>
      <w:pPr>
        <w:spacing w:after="0" w:line="56" w:lineRule="exact"/>
        <w:rPr>
          <w:rFonts w:ascii="Courier New" w:cs="Courier New" w:eastAsia="Courier New" w:hAnsi="Courier New"/>
          <w:sz w:val="14"/>
          <w:szCs w:val="14"/>
          <w:color w:val="auto"/>
        </w:rPr>
      </w:pPr>
    </w:p>
    <w:p>
      <w:pPr>
        <w:ind w:right="3339" w:firstLine="1386"/>
        <w:spacing w:after="0" w:line="292" w:lineRule="auto"/>
        <w:tabs>
          <w:tab w:leader="none" w:pos="180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Ephrat shall vote the Excess Shares against the adoption of any of the following resolutions pursuant to a General Meeting of Tower shareholders, to the extent Ephrat is directed to do so by Israel Corporation:</w:t>
      </w:r>
    </w:p>
    <w:p>
      <w:pPr>
        <w:spacing w:after="0" w:line="56" w:lineRule="exact"/>
        <w:rPr>
          <w:rFonts w:ascii="Courier New" w:cs="Courier New" w:eastAsia="Courier New" w:hAnsi="Courier New"/>
          <w:sz w:val="14"/>
          <w:szCs w:val="14"/>
          <w:color w:val="auto"/>
        </w:rPr>
      </w:pPr>
    </w:p>
    <w:p>
      <w:pPr>
        <w:ind w:left="2080" w:hanging="349"/>
        <w:spacing w:after="0"/>
        <w:tabs>
          <w:tab w:leader="none" w:pos="20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issuance of means of control in</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Tower;</w:t>
      </w:r>
    </w:p>
    <w:p>
      <w:pPr>
        <w:spacing w:after="0" w:line="146" w:lineRule="exact"/>
        <w:rPr>
          <w:rFonts w:ascii="Courier New" w:cs="Courier New" w:eastAsia="Courier New" w:hAnsi="Courier New"/>
          <w:sz w:val="14"/>
          <w:szCs w:val="14"/>
          <w:color w:val="auto"/>
        </w:rPr>
      </w:pPr>
    </w:p>
    <w:p>
      <w:pPr>
        <w:ind w:right="3339" w:firstLine="1731"/>
        <w:spacing w:after="0" w:line="292" w:lineRule="auto"/>
        <w:tabs>
          <w:tab w:leader="none" w:pos="2067"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sale or liquidation of a majority of Tower's business or a substantial change in the majority of Tower's business, including the merger of Tower with another corporation or the splitting of Tower into several corporations; and</w:t>
      </w:r>
    </w:p>
    <w:p>
      <w:pPr>
        <w:spacing w:after="0" w:line="56" w:lineRule="exact"/>
        <w:rPr>
          <w:rFonts w:ascii="Courier New" w:cs="Courier New" w:eastAsia="Courier New" w:hAnsi="Courier New"/>
          <w:sz w:val="14"/>
          <w:szCs w:val="14"/>
          <w:color w:val="auto"/>
        </w:rPr>
      </w:pPr>
    </w:p>
    <w:p>
      <w:pPr>
        <w:ind w:right="3339" w:firstLine="1731"/>
        <w:spacing w:after="0" w:line="282" w:lineRule="auto"/>
        <w:tabs>
          <w:tab w:leader="none" w:pos="2067"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certain changes in the Articles of Association of Tower, including an increase or reduction in registered share capital, recapitalizations, changes in voting or other rights, or changes in the composition or methods of or prerequisites for nomination of the Board of Directors and its Chairman.</w:t>
      </w:r>
    </w:p>
    <w:p>
      <w:pPr>
        <w:spacing w:after="0" w:line="62" w:lineRule="exact"/>
        <w:rPr>
          <w:rFonts w:ascii="Courier New" w:cs="Courier New" w:eastAsia="Courier New" w:hAnsi="Courier New"/>
          <w:sz w:val="14"/>
          <w:szCs w:val="14"/>
          <w:color w:val="auto"/>
        </w:rPr>
      </w:pPr>
    </w:p>
    <w:p>
      <w:pPr>
        <w:ind w:right="3339" w:firstLine="1386"/>
        <w:spacing w:after="0" w:line="292" w:lineRule="auto"/>
        <w:tabs>
          <w:tab w:leader="none" w:pos="18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directions of Israel Corporation with respect to (A) the appointment of an accountant to Tower or (B) a resolution for which the three Tower Investors with the largest shareholdings in Tower do not vote unanimously.</w:t>
      </w:r>
    </w:p>
    <w:p>
      <w:pPr>
        <w:spacing w:after="0" w:line="56" w:lineRule="exact"/>
        <w:rPr>
          <w:sz w:val="20"/>
          <w:szCs w:val="20"/>
          <w:color w:val="auto"/>
        </w:rPr>
      </w:pPr>
    </w:p>
    <w:p>
      <w:pPr>
        <w:ind w:right="3419" w:firstLine="1378"/>
        <w:spacing w:after="0" w:line="292" w:lineRule="auto"/>
        <w:rPr>
          <w:sz w:val="20"/>
          <w:szCs w:val="20"/>
          <w:color w:val="auto"/>
        </w:rPr>
      </w:pPr>
      <w:r>
        <w:rPr>
          <w:rFonts w:ascii="Courier New" w:cs="Courier New" w:eastAsia="Courier New" w:hAnsi="Courier New"/>
          <w:sz w:val="14"/>
          <w:szCs w:val="14"/>
          <w:color w:val="auto"/>
        </w:rPr>
        <w:t>In March 2002, ICTech was notified that the aggregate number of Ordinary Shares held by the Tower Investors exceeded the aggregate number of Ordinary Shares held by ICTech and accordingly no Ordinary Shares remained subject to the trust arrangement with Mr. Ephrat.</w:t>
      </w:r>
    </w:p>
    <w:p>
      <w:pPr>
        <w:spacing w:after="0" w:line="56" w:lineRule="exact"/>
        <w:rPr>
          <w:sz w:val="20"/>
          <w:szCs w:val="20"/>
          <w:color w:val="auto"/>
        </w:rPr>
      </w:pPr>
    </w:p>
    <w:p>
      <w:pPr>
        <w:ind w:right="3599" w:firstLine="1378"/>
        <w:spacing w:after="0" w:line="292" w:lineRule="auto"/>
        <w:rPr>
          <w:sz w:val="20"/>
          <w:szCs w:val="20"/>
          <w:color w:val="auto"/>
        </w:rPr>
      </w:pPr>
      <w:r>
        <w:rPr>
          <w:rFonts w:ascii="Courier New" w:cs="Courier New" w:eastAsia="Courier New" w:hAnsi="Courier New"/>
          <w:sz w:val="14"/>
          <w:szCs w:val="14"/>
          <w:color w:val="auto"/>
        </w:rPr>
        <w:t>The acquisitions of Ordinary Shares by Israel Corporation and ICTech were funded out of working capital. The Reporting Persons have no knowledge as to the source of funds used by SanDisk, Alliance or Macronix to purchase such shares.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ORDINARY SHARES BY DIRECTORS AND EXECUTIVE OFFICERS</w:t>
      </w:r>
    </w:p>
    <w:p>
      <w:pPr>
        <w:spacing w:after="0" w:line="173" w:lineRule="exact"/>
        <w:rPr>
          <w:sz w:val="20"/>
          <w:szCs w:val="20"/>
          <w:color w:val="auto"/>
        </w:rPr>
      </w:pPr>
    </w:p>
    <w:p>
      <w:pPr>
        <w:ind w:right="3339" w:firstLine="1378"/>
        <w:spacing w:after="0" w:line="292" w:lineRule="auto"/>
        <w:rPr>
          <w:sz w:val="20"/>
          <w:szCs w:val="20"/>
          <w:color w:val="auto"/>
        </w:rPr>
      </w:pPr>
      <w:r>
        <w:rPr>
          <w:rFonts w:ascii="Courier New" w:cs="Courier New" w:eastAsia="Courier New" w:hAnsi="Courier New"/>
          <w:sz w:val="14"/>
          <w:szCs w:val="14"/>
          <w:color w:val="auto"/>
        </w:rPr>
        <w:t>On November 6, 2001, Idan Ofer acquired in open market transactions 15,000 Ordinary Shares for an aggregate purchase price of approximately $66,750. The source of funds used to acquire these Ordinary Shares was his personal funds.</w:t>
      </w:r>
    </w:p>
    <w:p>
      <w:pPr>
        <w:spacing w:after="0" w:line="56" w:lineRule="exact"/>
        <w:rPr>
          <w:sz w:val="20"/>
          <w:szCs w:val="20"/>
          <w:color w:val="auto"/>
        </w:rPr>
      </w:pPr>
    </w:p>
    <w:p>
      <w:pPr>
        <w:ind w:right="3339" w:firstLine="1378"/>
        <w:spacing w:after="0" w:line="292" w:lineRule="auto"/>
        <w:rPr>
          <w:sz w:val="20"/>
          <w:szCs w:val="20"/>
          <w:color w:val="auto"/>
        </w:rPr>
      </w:pPr>
      <w:r>
        <w:rPr>
          <w:rFonts w:ascii="Courier New" w:cs="Courier New" w:eastAsia="Courier New" w:hAnsi="Courier New"/>
          <w:sz w:val="14"/>
          <w:szCs w:val="14"/>
          <w:color w:val="auto"/>
        </w:rPr>
        <w:t>On July 31, 2001, Tower issued to Idan Ofer, options to purchase Ordinary Shares pursuant to Tower's stock option plans as compensation for his services as a Tower director, of which options to purchase 20,000 Ordinary Shares are exercisable within sixty (60) days.</w:t>
      </w:r>
    </w:p>
    <w:p>
      <w:pPr>
        <w:spacing w:after="0" w:line="56" w:lineRule="exact"/>
        <w:rPr>
          <w:sz w:val="20"/>
          <w:szCs w:val="20"/>
          <w:color w:val="auto"/>
        </w:rPr>
      </w:pPr>
    </w:p>
    <w:p>
      <w:pPr>
        <w:ind w:right="3519" w:firstLine="1378"/>
        <w:spacing w:after="0" w:line="376" w:lineRule="auto"/>
        <w:rPr>
          <w:sz w:val="20"/>
          <w:szCs w:val="20"/>
          <w:color w:val="auto"/>
        </w:rPr>
      </w:pPr>
      <w:r>
        <w:rPr>
          <w:rFonts w:ascii="Courier New" w:cs="Courier New" w:eastAsia="Courier New" w:hAnsi="Courier New"/>
          <w:sz w:val="14"/>
          <w:szCs w:val="14"/>
          <w:color w:val="auto"/>
        </w:rPr>
        <w:t>From September 2000 to September 2001, Tower issued to Ehud Hillman, options to purchase Ordinary Shares pursuant to Tower's stocks option</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25" w:right="1440" w:bottom="1440" w:gutter="0" w:footer="0" w:header="0"/>
        </w:sectPr>
      </w:pPr>
    </w:p>
    <w:bookmarkStart w:id="19" w:name="page20"/>
    <w:bookmarkEnd w:id="19"/>
    <w:p>
      <w:pPr>
        <w:ind w:right="3419"/>
        <w:spacing w:after="0" w:line="375" w:lineRule="auto"/>
        <w:rPr>
          <w:sz w:val="20"/>
          <w:szCs w:val="20"/>
          <w:color w:val="auto"/>
        </w:rPr>
      </w:pPr>
      <w:r>
        <w:rPr>
          <w:rFonts w:ascii="Courier New" w:cs="Courier New" w:eastAsia="Courier New" w:hAnsi="Courier New"/>
          <w:sz w:val="14"/>
          <w:szCs w:val="14"/>
          <w:color w:val="auto"/>
        </w:rPr>
        <w:t>plans as compensation for his services as a Tower director, of which options to purchase 67,666 Ordinary Shares are exercisable within sixty (60) days.</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PURPOSE OF TRANSACTION.</w:t>
      </w:r>
    </w:p>
    <w:p>
      <w:pPr>
        <w:spacing w:after="0" w:line="173" w:lineRule="exact"/>
        <w:rPr>
          <w:sz w:val="20"/>
          <w:szCs w:val="20"/>
          <w:color w:val="auto"/>
        </w:rPr>
      </w:pPr>
    </w:p>
    <w:p>
      <w:pPr>
        <w:ind w:right="3419" w:firstLine="947"/>
        <w:spacing w:after="0" w:line="271" w:lineRule="auto"/>
        <w:rPr>
          <w:sz w:val="20"/>
          <w:szCs w:val="20"/>
          <w:color w:val="auto"/>
        </w:rPr>
      </w:pPr>
      <w:r>
        <w:rPr>
          <w:rFonts w:ascii="Courier New" w:cs="Courier New" w:eastAsia="Courier New" w:hAnsi="Courier New"/>
          <w:sz w:val="14"/>
          <w:szCs w:val="14"/>
          <w:color w:val="auto"/>
        </w:rPr>
        <w:t>The purpose of the acquisition of Ordinary Shares by Israel Corporation and ICTech was to increase the holdings of Israel Corporation through ICTech in Tower and maintain its proportionate interest in the issued and outstanding share capital of Tower. Idan Ofer acquired his Ordinary Shares for investment purposes. Tower issued to each of Idan Ofer and Ehud Hillman options to purchase Ordinary Shares as compensation for their services as Tower directors. Future plans - N.A.</w:t>
      </w:r>
    </w:p>
    <w:p>
      <w:pPr>
        <w:spacing w:after="0" w:line="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INTEREST IN SECURITIES OF THE ISSUER.</w:t>
      </w:r>
    </w:p>
    <w:p>
      <w:pPr>
        <w:spacing w:after="0" w:line="173" w:lineRule="exact"/>
        <w:rPr>
          <w:sz w:val="20"/>
          <w:szCs w:val="20"/>
          <w:color w:val="auto"/>
        </w:rPr>
      </w:pPr>
    </w:p>
    <w:p>
      <w:pPr>
        <w:ind w:right="3339" w:firstLine="947"/>
        <w:spacing w:after="0" w:line="259" w:lineRule="auto"/>
        <w:rPr>
          <w:sz w:val="20"/>
          <w:szCs w:val="20"/>
          <w:color w:val="auto"/>
        </w:rPr>
      </w:pPr>
      <w:r>
        <w:rPr>
          <w:rFonts w:ascii="Courier New" w:cs="Courier New" w:eastAsia="Courier New" w:hAnsi="Courier New"/>
          <w:sz w:val="14"/>
          <w:szCs w:val="14"/>
          <w:color w:val="auto"/>
        </w:rPr>
        <w:t>(a)-(b) As a result of the Consolidated Shareholder Agreement, each party thereto may be deemed to be the beneficial owner of at least 33,992,043 Ordinary Shares. Such shares constitute approximately 72.38% of the outstanding Ordinary Shares, based on the capitalization of the Tower as of the date hereof (according to publicly available information provided by Tower to date) and calculated in accordance with Rule 13d-3(d)(i) of the Act. Such beneficial ownership is based on the ownership, by each of Israel Corporation, SanDisk, Alliance and Macronix of 12,366,430, 6,100,959, 6,067,100 and 5,932,105 Ordinary Shares, respectively, and the right of each of Israel Corporation, SanDisk, Alliance and Macronix to purchase an additional 1,410,320, 727,002, 724,437 and 663,690 Ordinary Shares, respectively, exercisable within sixty (60) days of the date hereof. The Reporting Persons (other than Israel Corporation and ICTech) and the directors and executive officers thereof named in Schedule A hereto, directly and indirectly, own approximately 60% of the outstanding equity of, and voting power in, Israel Corporation.</w:t>
      </w:r>
    </w:p>
    <w:p>
      <w:pPr>
        <w:spacing w:after="0" w:line="83" w:lineRule="exact"/>
        <w:rPr>
          <w:sz w:val="20"/>
          <w:szCs w:val="20"/>
          <w:color w:val="auto"/>
        </w:rPr>
      </w:pPr>
    </w:p>
    <w:p>
      <w:pPr>
        <w:ind w:right="3339" w:firstLine="947"/>
        <w:spacing w:after="0" w:line="260" w:lineRule="auto"/>
        <w:rPr>
          <w:sz w:val="20"/>
          <w:szCs w:val="20"/>
          <w:color w:val="auto"/>
        </w:rPr>
      </w:pPr>
      <w:r>
        <w:rPr>
          <w:rFonts w:ascii="Courier New" w:cs="Courier New" w:eastAsia="Courier New" w:hAnsi="Courier New"/>
          <w:sz w:val="14"/>
          <w:szCs w:val="14"/>
          <w:color w:val="auto"/>
        </w:rPr>
        <w:t>Israel Corporation and ICTech may be deemed to have the shared power to vote and dispose of the Ordinary Shares held by ICTech and the other Shareholders pursuant to the Consolidated Shareholders Agreement with respect to those matters described in Item 3 above. However, Israel Corporation and ICTech</w:t>
      </w:r>
    </w:p>
    <w:p>
      <w:pPr>
        <w:spacing w:after="0" w:line="1" w:lineRule="exact"/>
        <w:rPr>
          <w:sz w:val="20"/>
          <w:szCs w:val="20"/>
          <w:color w:val="auto"/>
        </w:rPr>
      </w:pPr>
    </w:p>
    <w:p>
      <w:pPr>
        <w:ind w:right="3339" w:firstLine="8"/>
        <w:spacing w:after="0" w:line="250"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not entitled to any rights as shareholders of Tower as to the Ordinary Shares covered by the Consolidated Shareholders Agreement and which are not held directly by ICTech or subject to a mandatory obligation of Israel Corporation or ICTech to purchase such shares within sixty (60) days of the date hereof and</w:t>
      </w:r>
    </w:p>
    <w:p>
      <w:pPr>
        <w:spacing w:after="0" w:line="1" w:lineRule="exact"/>
        <w:rPr>
          <w:rFonts w:ascii="Courier New" w:cs="Courier New" w:eastAsia="Courier New" w:hAnsi="Courier New"/>
          <w:sz w:val="14"/>
          <w:szCs w:val="14"/>
          <w:color w:val="auto"/>
        </w:rPr>
      </w:pPr>
    </w:p>
    <w:p>
      <w:pPr>
        <w:ind w:right="3519" w:firstLine="8"/>
        <w:spacing w:after="0" w:line="279" w:lineRule="auto"/>
        <w:tabs>
          <w:tab w:leader="none" w:pos="43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disclaim beneficial ownership of the Ordinary Shares which are covered by the Consolidated Shareholders Agreement and which are not held directly by ICTech or subject to a mandatory obligation of Israel Corporation or ICTech to purchase such shares.</w:t>
      </w:r>
    </w:p>
    <w:p>
      <w:pPr>
        <w:spacing w:after="0" w:line="65" w:lineRule="exact"/>
        <w:rPr>
          <w:sz w:val="20"/>
          <w:szCs w:val="20"/>
          <w:color w:val="auto"/>
        </w:rPr>
      </w:pPr>
    </w:p>
    <w:p>
      <w:pPr>
        <w:ind w:right="3339" w:firstLine="947"/>
        <w:spacing w:after="0" w:line="275" w:lineRule="auto"/>
        <w:rPr>
          <w:sz w:val="20"/>
          <w:szCs w:val="20"/>
          <w:color w:val="auto"/>
        </w:rPr>
      </w:pPr>
      <w:r>
        <w:rPr>
          <w:rFonts w:ascii="Courier New" w:cs="Courier New" w:eastAsia="Courier New" w:hAnsi="Courier New"/>
          <w:sz w:val="14"/>
          <w:szCs w:val="14"/>
          <w:color w:val="auto"/>
        </w:rPr>
        <w:t>Except as disclosed herein, none of the Reporting Persons, nor, to the best of their knowledge, any of their directors and executive officers or any of the persons listed on Schedule A hereto, beneficially owns any securities of Tower or presently has a right to acquire any securities of Tower. Each director and executive officer named in Schedule A hereto, disclaims beneficial ownership of any Ordinary Shares beneficially owned by the Reporting Persons.</w:t>
      </w: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25" w:right="1440" w:bottom="1440" w:gutter="0" w:footer="0" w:header="0"/>
        </w:sectPr>
      </w:pPr>
    </w:p>
    <w:bookmarkStart w:id="20" w:name="page21"/>
    <w:bookmarkEnd w:id="20"/>
    <w:p>
      <w:pPr>
        <w:ind w:right="3519" w:firstLine="947"/>
        <w:spacing w:after="0" w:line="313" w:lineRule="auto"/>
        <w:rPr>
          <w:sz w:val="20"/>
          <w:szCs w:val="20"/>
          <w:color w:val="auto"/>
        </w:rPr>
      </w:pPr>
      <w:r>
        <w:rPr>
          <w:rFonts w:ascii="Courier New" w:cs="Courier New" w:eastAsia="Courier New" w:hAnsi="Courier New"/>
          <w:sz w:val="14"/>
          <w:szCs w:val="14"/>
          <w:color w:val="auto"/>
        </w:rPr>
        <w:t>Israel Corporation has the sole power to vote or to direct the vote and the sole power to dispose or to direct the disposition of all Ordinary Shares that it indirectly beneficially owns through ICTech.</w:t>
      </w:r>
    </w:p>
    <w:p>
      <w:pPr>
        <w:spacing w:after="0" w:line="42" w:lineRule="exact"/>
        <w:rPr>
          <w:sz w:val="20"/>
          <w:szCs w:val="20"/>
          <w:color w:val="auto"/>
        </w:rPr>
      </w:pPr>
    </w:p>
    <w:p>
      <w:pPr>
        <w:ind w:right="3419" w:firstLine="947"/>
        <w:spacing w:after="0" w:line="313" w:lineRule="auto"/>
        <w:rPr>
          <w:sz w:val="20"/>
          <w:szCs w:val="20"/>
          <w:color w:val="auto"/>
        </w:rPr>
      </w:pPr>
      <w:r>
        <w:rPr>
          <w:rFonts w:ascii="Courier New" w:cs="Courier New" w:eastAsia="Courier New" w:hAnsi="Courier New"/>
          <w:sz w:val="14"/>
          <w:szCs w:val="14"/>
          <w:color w:val="auto"/>
        </w:rPr>
        <w:t>ICTech has the sole power to vote or to direct the vote and the sole power to dispose or to direct the disposition of all Ordinary Shares that it beneficially owns.</w:t>
      </w:r>
    </w:p>
    <w:p>
      <w:pPr>
        <w:spacing w:after="0" w:line="42" w:lineRule="exact"/>
        <w:rPr>
          <w:sz w:val="20"/>
          <w:szCs w:val="20"/>
          <w:color w:val="auto"/>
        </w:rPr>
      </w:pPr>
    </w:p>
    <w:p>
      <w:pPr>
        <w:ind w:right="3519" w:firstLine="947"/>
        <w:spacing w:after="0" w:line="313" w:lineRule="auto"/>
        <w:rPr>
          <w:sz w:val="20"/>
          <w:szCs w:val="20"/>
          <w:color w:val="auto"/>
        </w:rPr>
      </w:pPr>
      <w:r>
        <w:rPr>
          <w:rFonts w:ascii="Courier New" w:cs="Courier New" w:eastAsia="Courier New" w:hAnsi="Courier New"/>
          <w:sz w:val="14"/>
          <w:szCs w:val="14"/>
          <w:color w:val="auto"/>
        </w:rPr>
        <w:t>Each of Idan Ofer and Ehud Hillman has the sole power to vote or to direct the vote and the sole power to dispose or to direct the disposition of all Ordinary Shares that he beneficially owns.</w:t>
      </w:r>
    </w:p>
    <w:p>
      <w:pPr>
        <w:spacing w:after="0" w:line="42" w:lineRule="exact"/>
        <w:rPr>
          <w:sz w:val="20"/>
          <w:szCs w:val="20"/>
          <w:color w:val="auto"/>
        </w:rPr>
      </w:pPr>
    </w:p>
    <w:p>
      <w:pPr>
        <w:ind w:right="3339" w:firstLine="947"/>
        <w:spacing w:after="0" w:line="282" w:lineRule="auto"/>
        <w:rPr>
          <w:sz w:val="20"/>
          <w:szCs w:val="20"/>
          <w:color w:val="auto"/>
        </w:rPr>
      </w:pPr>
      <w:r>
        <w:rPr>
          <w:rFonts w:ascii="Courier New" w:cs="Courier New" w:eastAsia="Courier New" w:hAnsi="Courier New"/>
          <w:sz w:val="14"/>
          <w:szCs w:val="14"/>
          <w:color w:val="auto"/>
        </w:rPr>
        <w:t>Except as disclosed herein, neither the Reporting Persons, nor, to the best of their knowledge, any of their directors or executive officers presently has the power to vote or to direct the vote or to dispose of or direct the disposition of any of the securities which they do not currently own but may be deemed to beneficially own.</w:t>
      </w:r>
    </w:p>
    <w:p>
      <w:pPr>
        <w:spacing w:after="0" w:line="62" w:lineRule="exact"/>
        <w:rPr>
          <w:sz w:val="20"/>
          <w:szCs w:val="20"/>
          <w:color w:val="auto"/>
        </w:rPr>
      </w:pPr>
    </w:p>
    <w:p>
      <w:pPr>
        <w:ind w:right="3339" w:firstLine="956"/>
        <w:spacing w:after="0" w:line="292" w:lineRule="auto"/>
        <w:tabs>
          <w:tab w:leader="none" w:pos="12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above, neither the Reporting Persons, nor, to the best of their knowledge, any of their directors or executive officers, has effected any transaction in any securities of Tower during the past sixty (60) days.</w:t>
      </w:r>
    </w:p>
    <w:p>
      <w:pPr>
        <w:spacing w:after="0" w:line="56" w:lineRule="exact"/>
        <w:rPr>
          <w:rFonts w:ascii="Courier New" w:cs="Courier New" w:eastAsia="Courier New" w:hAnsi="Courier New"/>
          <w:sz w:val="14"/>
          <w:szCs w:val="14"/>
          <w:color w:val="auto"/>
        </w:rPr>
      </w:pPr>
    </w:p>
    <w:p>
      <w:pPr>
        <w:ind w:right="3519" w:firstLine="956"/>
        <w:spacing w:after="0" w:line="292" w:lineRule="auto"/>
        <w:tabs>
          <w:tab w:leader="none" w:pos="12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except for Israel Corporation through ICTech is known to have the right to receive or the power to direct the receipt of dividends from, or the proceeds from the sale of, securities held directly by ICTech and covered by this statement.</w:t>
      </w:r>
    </w:p>
    <w:p>
      <w:pPr>
        <w:spacing w:after="0" w:line="56" w:lineRule="exact"/>
        <w:rPr>
          <w:rFonts w:ascii="Courier New" w:cs="Courier New" w:eastAsia="Courier New" w:hAnsi="Courier New"/>
          <w:sz w:val="14"/>
          <w:szCs w:val="14"/>
          <w:color w:val="auto"/>
        </w:rPr>
      </w:pPr>
    </w:p>
    <w:p>
      <w:pPr>
        <w:ind w:right="3419" w:firstLine="956"/>
        <w:spacing w:after="0" w:line="292" w:lineRule="auto"/>
        <w:tabs>
          <w:tab w:leader="none" w:pos="12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6, 2000, Or Point Ltd. transferred all of its equity interest in Israel Corporation to Ofer (Ships Holdings) Ltd. and ceased to be the beneficial owner of more than 5% of the Ordinary Shares. As a result, Or Point Ltd. is no longer a Reporting Person.</w:t>
      </w:r>
    </w:p>
    <w:p>
      <w:pPr>
        <w:spacing w:after="0" w:line="56" w:lineRule="exact"/>
        <w:rPr>
          <w:sz w:val="20"/>
          <w:szCs w:val="20"/>
          <w:color w:val="auto"/>
        </w:rPr>
      </w:pPr>
    </w:p>
    <w:p>
      <w:pPr>
        <w:ind w:left="960" w:right="3339" w:hanging="946"/>
        <w:spacing w:after="0" w:line="375" w:lineRule="auto"/>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CONTRACTS, ARRANGEMENTS, UNDERSTANDINGS OR RELATIONSHIPS WITH RESPECT TO SECURITIES OF THE ISSUER.</w:t>
      </w:r>
    </w:p>
    <w:p>
      <w:pPr>
        <w:spacing w:after="0" w:line="1" w:lineRule="exact"/>
        <w:rPr>
          <w:sz w:val="20"/>
          <w:szCs w:val="20"/>
          <w:color w:val="auto"/>
        </w:rPr>
      </w:pPr>
    </w:p>
    <w:p>
      <w:pPr>
        <w:ind w:right="3339" w:firstLine="947"/>
        <w:spacing w:after="0" w:line="263" w:lineRule="auto"/>
        <w:rPr>
          <w:sz w:val="20"/>
          <w:szCs w:val="20"/>
          <w:color w:val="auto"/>
        </w:rPr>
      </w:pPr>
      <w:r>
        <w:rPr>
          <w:rFonts w:ascii="Courier New" w:cs="Courier New" w:eastAsia="Courier New" w:hAnsi="Courier New"/>
          <w:sz w:val="14"/>
          <w:szCs w:val="14"/>
          <w:color w:val="auto"/>
        </w:rPr>
        <w:t>Other than the Purchase Agreement, Additional Purchase Agreement, the Registration Rights Agreement, the Consolidated Shareholders Agreement and the Trustee Nomination Letter (including the termination thereof) described above and incorporated herein in its entirety by reference, to the knowledge of the Reporting Persons, there are no contracts, arrangements, understandings or relationships (legal or otherwise) among the persons named in Item 2 and between such persons and any person with respect to any securities of the Tower, including but not limited to transfer or voting of any of the securities, finder's fees, joint ventures, loan or option arrangements, puts or calls, guarantees of profits, division of profits or loss, or the giving or withholding of proxies.</w:t>
      </w:r>
    </w:p>
    <w:p>
      <w:pPr>
        <w:spacing w:after="0" w:line="25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MATERIALS TO BE FILED AS EXHIBITS.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following exhibits are filed herewith:</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25" w:right="1440" w:bottom="1440" w:gutter="0" w:footer="0" w:header="0"/>
        </w:sectPr>
      </w:pPr>
    </w:p>
    <w:bookmarkStart w:id="21" w:name="page22"/>
    <w:bookmarkEnd w:id="21"/>
    <w:p>
      <w:pPr>
        <w:ind w:left="440"/>
        <w:spacing w:after="0"/>
        <w:rPr>
          <w:sz w:val="20"/>
          <w:szCs w:val="20"/>
          <w:color w:val="auto"/>
        </w:rPr>
      </w:pPr>
      <w:r>
        <w:rPr>
          <w:rFonts w:ascii="Courier New" w:cs="Courier New" w:eastAsia="Courier New" w:hAnsi="Courier New"/>
          <w:sz w:val="14"/>
          <w:szCs w:val="14"/>
          <w:color w:val="auto"/>
        </w:rPr>
        <w:t>Exhibit No.</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1380" w:space="600"/>
            <w:col w:w="8259"/>
          </w:cols>
          <w:pgMar w:left="220" w:top="425" w:right="1440" w:bottom="1440" w:gutter="0" w:footer="0" w:header="0"/>
        </w:sectPr>
      </w:pPr>
    </w:p>
    <w:p>
      <w:pPr>
        <w:ind w:left="2080" w:right="3339" w:hanging="694"/>
        <w:spacing w:after="0" w:line="313" w:lineRule="auto"/>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Purchase Agreement, dated as of December 12, 2000, between Israel Corporation Ltd. and Tower Semiconductor Ltd.*</w:t>
      </w:r>
    </w:p>
    <w:p>
      <w:pPr>
        <w:spacing w:after="0" w:line="42" w:lineRule="exact"/>
        <w:rPr>
          <w:rFonts w:ascii="Courier New" w:cs="Courier New" w:eastAsia="Courier New" w:hAnsi="Courier New"/>
          <w:sz w:val="14"/>
          <w:szCs w:val="14"/>
          <w:color w:val="auto"/>
        </w:rPr>
      </w:pPr>
    </w:p>
    <w:p>
      <w:pPr>
        <w:ind w:left="2080" w:right="3519" w:hanging="694"/>
        <w:spacing w:after="0" w:line="313" w:lineRule="auto"/>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Purchase Obligation Agreement, dated as of December 12, 2000, between Israel Corporation Ltd. and Tower Semiconductor Ltd.*</w:t>
      </w:r>
    </w:p>
    <w:p>
      <w:pPr>
        <w:spacing w:after="0" w:line="42" w:lineRule="exact"/>
        <w:rPr>
          <w:rFonts w:ascii="Courier New" w:cs="Courier New" w:eastAsia="Courier New" w:hAnsi="Courier New"/>
          <w:sz w:val="14"/>
          <w:szCs w:val="14"/>
          <w:color w:val="auto"/>
        </w:rPr>
      </w:pPr>
    </w:p>
    <w:p>
      <w:pPr>
        <w:ind w:left="2080" w:right="3519" w:hanging="694"/>
        <w:spacing w:after="0" w:line="292" w:lineRule="auto"/>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Agreement, dated as of January 18, 2001, by and among Israel Corporation Ltd., SanDisk Corporation, Alliance Semiconductor Ltd., Macronix International Co., Ltd. and QuickLogic Corporation.*</w:t>
      </w:r>
    </w:p>
    <w:p>
      <w:pPr>
        <w:spacing w:after="0" w:line="56" w:lineRule="exact"/>
        <w:rPr>
          <w:rFonts w:ascii="Courier New" w:cs="Courier New" w:eastAsia="Courier New" w:hAnsi="Courier New"/>
          <w:sz w:val="14"/>
          <w:szCs w:val="14"/>
          <w:color w:val="auto"/>
        </w:rPr>
      </w:pPr>
    </w:p>
    <w:p>
      <w:pPr>
        <w:ind w:left="2080" w:right="3339" w:hanging="694"/>
        <w:spacing w:after="0" w:line="292" w:lineRule="auto"/>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Shareholders Agreement, dated as of January 18, 2001, by and among Israel Corporation Ltd., SanDisk Corporation, Alliance Semiconductor Ltd. and Macronix International Co., Ltd.*</w:t>
      </w:r>
    </w:p>
    <w:p>
      <w:pPr>
        <w:spacing w:after="0" w:line="56" w:lineRule="exact"/>
        <w:rPr>
          <w:rFonts w:ascii="Courier New" w:cs="Courier New" w:eastAsia="Courier New" w:hAnsi="Courier New"/>
          <w:sz w:val="14"/>
          <w:szCs w:val="14"/>
          <w:color w:val="auto"/>
        </w:rPr>
      </w:pPr>
    </w:p>
    <w:p>
      <w:pPr>
        <w:ind w:left="2080" w:right="3859" w:hanging="694"/>
        <w:spacing w:after="0" w:line="375" w:lineRule="auto"/>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Nomination Letter, dated January 25, 2001, between Zvi Ephrat and Israel Corporation Ltd.*</w:t>
      </w:r>
    </w:p>
    <w:p>
      <w:pPr>
        <w:spacing w:after="0" w:line="1" w:lineRule="exact"/>
        <w:rPr>
          <w:rFonts w:ascii="Courier New" w:cs="Courier New" w:eastAsia="Courier New" w:hAnsi="Courier New"/>
          <w:sz w:val="14"/>
          <w:szCs w:val="14"/>
          <w:color w:val="auto"/>
        </w:rPr>
      </w:pPr>
    </w:p>
    <w:p>
      <w:pPr>
        <w:ind w:left="2080" w:right="3419" w:hanging="694"/>
        <w:spacing w:after="0" w:line="313" w:lineRule="auto"/>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Payment Schedules of Series A-3 and Series A-4 Additional Purchase Obligations, dated March 26, 2002.</w:t>
      </w:r>
    </w:p>
    <w:p>
      <w:pPr>
        <w:spacing w:after="0" w:line="42" w:lineRule="exact"/>
        <w:rPr>
          <w:rFonts w:ascii="Courier New" w:cs="Courier New" w:eastAsia="Courier New" w:hAnsi="Courier New"/>
          <w:sz w:val="14"/>
          <w:szCs w:val="14"/>
          <w:color w:val="auto"/>
        </w:rPr>
      </w:pPr>
    </w:p>
    <w:p>
      <w:pPr>
        <w:ind w:left="2080" w:right="3419" w:hanging="694"/>
        <w:spacing w:after="0" w:line="282" w:lineRule="auto"/>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dated July 23, 2002, regarding Participation in Rights Offering, executed by Israel Corporation Technologies (ICTech) Ltd., SanDisk Corporation, Alliance Semiconductor Corporation and Macronix (BVI) Co., Ltd.</w:t>
      </w:r>
    </w:p>
    <w:p>
      <w:pPr>
        <w:spacing w:after="0" w:line="62" w:lineRule="exact"/>
        <w:rPr>
          <w:rFonts w:ascii="Courier New" w:cs="Courier New" w:eastAsia="Courier New" w:hAnsi="Courier New"/>
          <w:sz w:val="14"/>
          <w:szCs w:val="14"/>
          <w:color w:val="auto"/>
        </w:rPr>
      </w:pPr>
    </w:p>
    <w:p>
      <w:pPr>
        <w:ind w:left="2080" w:hanging="694"/>
        <w:spacing w:after="0"/>
        <w:tabs>
          <w:tab w:leader="none" w:pos="20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Filing Agreement, dated January 9,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25" w:right="1440" w:bottom="1440" w:gutter="0" w:footer="0" w:header="0"/>
          <w:type w:val="continuous"/>
        </w:sectPr>
      </w:pPr>
    </w:p>
    <w:bookmarkStart w:id="22" w:name="page23"/>
    <w:bookmarkEnd w:id="22"/>
    <w:p>
      <w:pPr>
        <w:ind w:left="3100"/>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3339" w:firstLine="947"/>
        <w:spacing w:after="0" w:line="313"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20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January 9, 2003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 CORPORATION LTD.</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Noga Yatziv</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Adv. Noga Yatziv</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Company Secretary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 CORPORATION TECHNOLOGIES (ICTECH) LTD.</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Noga Yatziv</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Adv. Noga Yatziv</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Company Secretary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MILLENIUM INVESTMENTS ELAD LTD.</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Abraham Levy</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Abraham Levy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Chief Financial Officer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OFER BROTHERS PROPERTIES (1957) LTD.</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Abraham Levy</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Abraham Levy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Chief Executive Officer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MASHAT INVESTMENTS LTD.</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Abraham Anaby</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Abraham Anaby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Director</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2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OFER (SHIPS HOLDINGS) LTD.</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Abraham Levy</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Abraham Levy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Chief Financial Officer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L.Y.N. (HOLDINGS) LTD.</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Abraham Anaby</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Abraham Anaby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ORO INVESTMENTS LTD.</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Liora Ofer</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Name:</w:t>
        <w:tab/>
        <w:t>Liora Ofer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25" w:right="1440" w:bottom="1440" w:gutter="0" w:footer="0" w:header="0"/>
        </w:sectPr>
      </w:pPr>
    </w:p>
    <w:bookmarkStart w:id="24" w:name="page25"/>
    <w:bookmarkEnd w:id="24"/>
    <w:p>
      <w:pPr>
        <w:ind w:left="3020"/>
        <w:spacing w:after="0"/>
        <w:rPr>
          <w:sz w:val="20"/>
          <w:szCs w:val="20"/>
          <w:color w:val="auto"/>
        </w:rPr>
      </w:pPr>
      <w:r>
        <w:rPr>
          <w:rFonts w:ascii="Courier New" w:cs="Courier New" w:eastAsia="Courier New" w:hAnsi="Courier New"/>
          <w:sz w:val="14"/>
          <w:szCs w:val="14"/>
          <w:color w:val="auto"/>
        </w:rPr>
        <w:t>SCHEDULE A</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Filed by Israel Corporation Ltd.</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DIRECTORS AND EXECUTIVE OFFICERS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14"/>
                <w:szCs w:val="14"/>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PRESENT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220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BUSINESS</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2200" w:type="dxa"/>
            <w:vAlign w:val="bottom"/>
            <w:vMerge w:val="continue"/>
          </w:tcPr>
          <w:p>
            <w:pPr>
              <w:spacing w:after="0"/>
              <w:rPr>
                <w:sz w:val="14"/>
                <w:szCs w:val="14"/>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ADDRESS</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80" w:type="dxa"/>
            <w:vAlign w:val="bottom"/>
          </w:tcPr>
          <w:p>
            <w:pPr>
              <w:ind w:left="1160"/>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48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Idan Ofer</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23 Aranha Street,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Chairman of the Board, Israel Corporation</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Tel-Aviv 61070, Israel</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Ltd., and Chairman of the Board, United</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Mizrahi Bank Ltd.</w:t>
            </w: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Doron Ofer</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6 Ramat Yam Street,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Director of Companies</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Herzliya Pituach 46851, Israel</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Abraham Levy</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2 HaNamal Street,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Chief Executive Officer, Ofer Brothers</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Haifa 33031, Israel</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Properties (1957) Ltd. and companies in</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Israel.</w:t>
            </w: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Ehud Angel</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2 HaNamal Street,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Chief Executive Officer, Ofer (Ships</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Haifa 33031, Israel</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Holdings) Ltd. and Chairman of the Board,</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Zim Israel Navigation Co. Ltd.</w:t>
            </w: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Amnon Lion</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7/12 Tavistock Square, London, England</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Managing Director, Zodiac Maritime Agencies</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Ltd.</w:t>
            </w: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Zvi Zamir</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7 Yoav Street,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Professional Director</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Zahala 69938, Israel</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Zvi Itskovitch</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Bank Leumi Le-Israel Ltd., 35 Yehuda HaLevy,</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Senior Vice President, Head of Domestic</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Tel-Aviv 65136, Israel</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Subsidiaries Division, Bank Leumi Le-Israel</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Ltd.</w:t>
            </w: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Irit Izakson</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15 Matitiyahu Cohen Gadol, Tel-Aviv 62268,</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Professional Director</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Israel</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0"/>
                <w:szCs w:val="20"/>
                <w:color w:val="auto"/>
              </w:rPr>
            </w:pPr>
            <w:r>
              <w:rPr>
                <w:rFonts w:ascii="Courier New" w:cs="Courier New" w:eastAsia="Courier New" w:hAnsi="Courier New"/>
                <w:sz w:val="14"/>
                <w:szCs w:val="14"/>
                <w:color w:val="auto"/>
              </w:rPr>
              <w:t>Moshe Vidman</w:t>
            </w: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Revlon (Israel) Ltd., 5 Jabotinsky Street,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General Manager, Revlon (Israel) Ltd.</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Ramat Gan 52520, Israel</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2200" w:type="dxa"/>
            <w:vAlign w:val="bottom"/>
          </w:tcPr>
          <w:p>
            <w:pPr>
              <w:spacing w:after="0"/>
              <w:rPr>
                <w:sz w:val="24"/>
                <w:szCs w:val="24"/>
                <w:color w:val="auto"/>
              </w:rPr>
            </w:pPr>
          </w:p>
        </w:tc>
        <w:tc>
          <w:tcPr>
            <w:tcW w:w="4880" w:type="dxa"/>
            <w:vAlign w:val="bottom"/>
          </w:tcPr>
          <w:p>
            <w:pPr>
              <w:ind w:left="1160"/>
              <w:spacing w:after="0"/>
              <w:rPr>
                <w:sz w:val="20"/>
                <w:szCs w:val="20"/>
                <w:color w:val="auto"/>
              </w:rPr>
            </w:pPr>
            <w:r>
              <w:rPr>
                <w:rFonts w:ascii="Courier New" w:cs="Courier New" w:eastAsia="Courier New" w:hAnsi="Courier New"/>
                <w:sz w:val="14"/>
                <w:szCs w:val="14"/>
                <w:color w:val="auto"/>
              </w:rPr>
              <w:t>25</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20" w:top="425" w:right="81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Professor Avishai Braverman</w:t>
            </w:r>
          </w:p>
        </w:tc>
        <w:tc>
          <w:tcPr>
            <w:tcW w:w="4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Ben Gurion University,</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President, Ben Gurion University, Israel</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Office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the President,</w:t>
            </w:r>
          </w:p>
        </w:tc>
        <w:tc>
          <w:tcPr>
            <w:tcW w:w="4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Executive Officers</w:t>
            </w:r>
          </w:p>
        </w:tc>
        <w:tc>
          <w:tcPr>
            <w:tcW w:w="4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653, Beer Sheva 84105, Israel</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Yossi Rosen</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23 Aranha</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President and Chief Executive Officer</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Tel-Aviv 61070, Israel</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Avisar Paz</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23 Aranha</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Tel-Aviv 61070, Israel</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Adv.Noga Yatziv</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23 Aranha</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Company Secretary and Assistant to the Tel-Aviv</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61070, Israel President</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4380"/>
        <w:spacing w:after="0" w:line="376" w:lineRule="auto"/>
        <w:rPr>
          <w:sz w:val="20"/>
          <w:szCs w:val="20"/>
          <w:color w:val="auto"/>
        </w:rPr>
      </w:pPr>
      <w:r>
        <w:rPr>
          <w:rFonts w:ascii="Courier New" w:cs="Courier New" w:eastAsia="Courier New" w:hAnsi="Courier New"/>
          <w:sz w:val="14"/>
          <w:szCs w:val="14"/>
          <w:color w:val="auto"/>
        </w:rPr>
        <w:t>Each person listed above is a citizen of the State of Israel. Idan Ofer is also a citizen of Austria.</w:t>
      </w: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200"/>
          </w:cols>
          <w:pgMar w:left="220" w:top="425" w:right="479" w:bottom="1440" w:gutter="0" w:footer="0" w:header="0"/>
        </w:sectPr>
      </w:pPr>
    </w:p>
    <w:bookmarkStart w:id="26" w:name="page27"/>
    <w:bookmarkEnd w:id="26"/>
    <w:p>
      <w:pPr>
        <w:ind w:left="1120"/>
        <w:spacing w:after="0"/>
        <w:rPr>
          <w:sz w:val="20"/>
          <w:szCs w:val="20"/>
          <w:color w:val="auto"/>
        </w:rPr>
      </w:pPr>
      <w:r>
        <w:rPr>
          <w:rFonts w:ascii="Courier New" w:cs="Courier New" w:eastAsia="Courier New" w:hAnsi="Courier New"/>
          <w:sz w:val="14"/>
          <w:szCs w:val="14"/>
          <w:color w:val="auto"/>
        </w:rPr>
        <w:t>Filed by Israel Corporation Technologies (ICTech) Ltd.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DIRECTORS AND</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OFFICERS</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50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2"/>
                <w:szCs w:val="22"/>
                <w:color w:val="auto"/>
              </w:rPr>
            </w:pPr>
          </w:p>
        </w:tc>
        <w:tc>
          <w:tcPr>
            <w:tcW w:w="13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PRESENT</w:t>
            </w:r>
          </w:p>
        </w:tc>
        <w:tc>
          <w:tcPr>
            <w:tcW w:w="3660" w:type="dxa"/>
            <w:vAlign w:val="bottom"/>
          </w:tcPr>
          <w:p>
            <w:pPr>
              <w:spacing w:after="0"/>
              <w:rPr>
                <w:sz w:val="22"/>
                <w:szCs w:val="22"/>
                <w:color w:val="auto"/>
              </w:rPr>
            </w:pP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18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3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BUSINESS</w:t>
            </w:r>
          </w:p>
        </w:tc>
        <w:tc>
          <w:tcPr>
            <w:tcW w:w="3660" w:type="dxa"/>
            <w:vAlign w:val="bottom"/>
          </w:tcPr>
          <w:p>
            <w:pPr>
              <w:spacing w:after="0"/>
              <w:rPr>
                <w:sz w:val="14"/>
                <w:szCs w:val="14"/>
                <w:color w:val="auto"/>
              </w:rPr>
            </w:pP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1860" w:type="dxa"/>
            <w:vAlign w:val="bottom"/>
            <w:vMerge w:val="continue"/>
          </w:tcPr>
          <w:p>
            <w:pPr>
              <w:spacing w:after="0"/>
              <w:rPr>
                <w:sz w:val="14"/>
                <w:szCs w:val="14"/>
                <w:color w:val="auto"/>
              </w:rPr>
            </w:pPr>
          </w:p>
        </w:tc>
        <w:tc>
          <w:tcPr>
            <w:tcW w:w="13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ADDRESS</w:t>
            </w:r>
          </w:p>
        </w:tc>
        <w:tc>
          <w:tcPr>
            <w:tcW w:w="3660" w:type="dxa"/>
            <w:vAlign w:val="bottom"/>
          </w:tcPr>
          <w:p>
            <w:pPr>
              <w:spacing w:after="0"/>
              <w:rPr>
                <w:sz w:val="14"/>
                <w:szCs w:val="14"/>
                <w:color w:val="auto"/>
              </w:rPr>
            </w:pP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3660" w:type="dxa"/>
            <w:vAlign w:val="bottom"/>
          </w:tcPr>
          <w:p>
            <w:pPr>
              <w:spacing w:after="0"/>
              <w:rPr>
                <w:sz w:val="21"/>
                <w:szCs w:val="21"/>
                <w:color w:val="auto"/>
              </w:rPr>
            </w:pPr>
          </w:p>
        </w:tc>
        <w:tc>
          <w:tcPr>
            <w:tcW w:w="404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Idan Ofer</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w w:val="94"/>
              </w:rPr>
              <w:t>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Aranha</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Street, Tel Aviv 61070, Israel</w:t>
            </w: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Chairman of the Board, Israel</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Corporation Ltd., and Chairman of</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the Board, United Mizrahi Bank Ltd.</w:t>
            </w:r>
          </w:p>
        </w:tc>
        <w:tc>
          <w:tcPr>
            <w:tcW w:w="0" w:type="dxa"/>
            <w:vAlign w:val="bottom"/>
          </w:tcPr>
          <w:p>
            <w:pPr>
              <w:spacing w:after="0"/>
              <w:rPr>
                <w:sz w:val="1"/>
                <w:szCs w:val="1"/>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Doron Ofer</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w w:val="94"/>
              </w:rPr>
              <w:t>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Aranha</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Street, Tel Aviv 61070, Israel</w:t>
            </w: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Director of Companies</w:t>
            </w: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Yossi Rosen</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w w:val="94"/>
              </w:rPr>
              <w:t>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Aranha</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Street, Tel Aviv 61070, Israel</w:t>
            </w: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President and Chief Executive</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Officer, Israel Corporation Ltd.</w:t>
            </w:r>
          </w:p>
        </w:tc>
        <w:tc>
          <w:tcPr>
            <w:tcW w:w="0" w:type="dxa"/>
            <w:vAlign w:val="bottom"/>
          </w:tcPr>
          <w:p>
            <w:pPr>
              <w:spacing w:after="0"/>
              <w:rPr>
                <w:sz w:val="1"/>
                <w:szCs w:val="1"/>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Gilad Shavit</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w w:val="94"/>
              </w:rPr>
              <w:t>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Aranha</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Street, Tel Aviv 61070, Israel</w:t>
            </w: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Business Manager</w:t>
            </w: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Moshe Vidman</w:t>
            </w:r>
          </w:p>
        </w:tc>
        <w:tc>
          <w:tcPr>
            <w:tcW w:w="50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Revlon (Israel) Ltd., 5 Jabotinsky Street,</w:t>
            </w: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General Manager, Revlon (Israel) Ltd.</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13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Ramat Gan</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52520,Israel</w:t>
            </w: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Ehud Hillman</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w w:val="94"/>
              </w:rPr>
              <w:t>23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Aranha</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Street, Tel Aviv 61070, Israel</w:t>
            </w: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Chief Executive Officer</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4120"/>
        <w:spacing w:after="0" w:line="376" w:lineRule="auto"/>
        <w:rPr>
          <w:sz w:val="20"/>
          <w:szCs w:val="20"/>
          <w:color w:val="auto"/>
        </w:rPr>
      </w:pPr>
      <w:r>
        <w:rPr>
          <w:rFonts w:ascii="Courier New" w:cs="Courier New" w:eastAsia="Courier New" w:hAnsi="Courier New"/>
          <w:sz w:val="14"/>
          <w:szCs w:val="14"/>
          <w:color w:val="auto"/>
        </w:rPr>
        <w:t>Each person listed above is a citizen of the State of Israel. Idan Ofer is also a citizen of Austria.</w:t>
      </w: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940"/>
          </w:cols>
          <w:pgMar w:left="220" w:top="425" w:right="7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2"/>
        </w:trPr>
        <w:tc>
          <w:tcPr>
            <w:tcW w:w="1380" w:type="dxa"/>
            <w:vAlign w:val="bottom"/>
          </w:tcPr>
          <w:p>
            <w:pPr>
              <w:spacing w:after="0"/>
              <w:rPr>
                <w:sz w:val="21"/>
                <w:szCs w:val="21"/>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Filed by Millenium Investments Elad Ltd.</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4"/>
                <w:szCs w:val="24"/>
                <w:color w:val="auto"/>
              </w:rPr>
            </w:pPr>
          </w:p>
        </w:tc>
        <w:tc>
          <w:tcPr>
            <w:tcW w:w="5380" w:type="dxa"/>
            <w:vAlign w:val="bottom"/>
          </w:tcPr>
          <w:p>
            <w:pPr>
              <w:ind w:left="700"/>
              <w:spacing w:after="0"/>
              <w:rPr>
                <w:sz w:val="20"/>
                <w:szCs w:val="20"/>
                <w:color w:val="auto"/>
              </w:rPr>
            </w:pPr>
            <w:r>
              <w:rPr>
                <w:rFonts w:ascii="Courier New" w:cs="Courier New" w:eastAsia="Courier New" w:hAnsi="Courier New"/>
                <w:sz w:val="14"/>
                <w:szCs w:val="14"/>
                <w:color w:val="auto"/>
              </w:rPr>
              <w:t>DIRECTORS AND EXECUTIVE OFFICERS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2"/>
                <w:szCs w:val="22"/>
                <w:color w:val="auto"/>
              </w:rPr>
            </w:pP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PRESENT</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138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BUSINESS</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1380" w:type="dxa"/>
            <w:vAlign w:val="bottom"/>
            <w:vMerge w:val="continue"/>
          </w:tcPr>
          <w:p>
            <w:pPr>
              <w:spacing w:after="0"/>
              <w:rPr>
                <w:sz w:val="14"/>
                <w:szCs w:val="14"/>
                <w:color w:val="auto"/>
              </w:rPr>
            </w:pP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ADDRESS</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38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41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538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3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0"/>
                <w:szCs w:val="20"/>
                <w:color w:val="auto"/>
              </w:rPr>
            </w:pPr>
            <w:r>
              <w:rPr>
                <w:rFonts w:ascii="Courier New" w:cs="Courier New" w:eastAsia="Courier New" w:hAnsi="Courier New"/>
                <w:sz w:val="14"/>
                <w:szCs w:val="14"/>
                <w:color w:val="auto"/>
              </w:rPr>
              <w:t>Yehuda Ofer</w:t>
            </w: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6 Ramat Yam Street</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Chairman of the Board, Ofer Brothers</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Herzlya Pituach 46851, Israel</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Properties (1957) Ltd., and other companies</w:t>
            </w: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0"/>
                <w:szCs w:val="20"/>
                <w:color w:val="auto"/>
              </w:rPr>
            </w:pPr>
            <w:r>
              <w:rPr>
                <w:rFonts w:ascii="Courier New" w:cs="Courier New" w:eastAsia="Courier New" w:hAnsi="Courier New"/>
                <w:sz w:val="14"/>
                <w:szCs w:val="14"/>
                <w:color w:val="auto"/>
              </w:rPr>
              <w:t>Doron Ofer</w:t>
            </w: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6 Ramat Yam Street</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Director of Companies</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Herzlya Pituach 46851, Israel</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0"/>
                <w:szCs w:val="20"/>
                <w:color w:val="auto"/>
              </w:rPr>
            </w:pPr>
            <w:r>
              <w:rPr>
                <w:rFonts w:ascii="Courier New" w:cs="Courier New" w:eastAsia="Courier New" w:hAnsi="Courier New"/>
                <w:sz w:val="14"/>
                <w:szCs w:val="14"/>
                <w:color w:val="auto"/>
              </w:rPr>
              <w:t>Idan Ofer</w:t>
            </w: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23 Aranha Street</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Chairman of the Board, Israel Corporation</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Tel-Aviv 61070, Israel</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Ltd., and Chairman of the Board, United</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Mizrahi Bank Ltd.</w:t>
            </w: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0"/>
                <w:szCs w:val="20"/>
                <w:color w:val="auto"/>
              </w:rPr>
            </w:pPr>
            <w:r>
              <w:rPr>
                <w:rFonts w:ascii="Courier New" w:cs="Courier New" w:eastAsia="Courier New" w:hAnsi="Courier New"/>
                <w:sz w:val="14"/>
                <w:szCs w:val="14"/>
                <w:color w:val="auto"/>
              </w:rPr>
              <w:t>Ehud Angel</w:t>
            </w: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2 HaNamal Street</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Chief Executive Officer, Ofer (Ships</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Haifa 33031, Israel</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Holdings) Ltd. and Chairman of the Board,</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Zim Israel Navigation Co. Ltd.</w:t>
            </w:r>
          </w:p>
        </w:tc>
        <w:tc>
          <w:tcPr>
            <w:tcW w:w="0" w:type="dxa"/>
            <w:vAlign w:val="bottom"/>
          </w:tcPr>
          <w:p>
            <w:pPr>
              <w:spacing w:after="0"/>
              <w:rPr>
                <w:sz w:val="1"/>
                <w:szCs w:val="1"/>
                <w:color w:val="auto"/>
              </w:rPr>
            </w:pPr>
          </w:p>
        </w:tc>
      </w:tr>
      <w:tr>
        <w:trPr>
          <w:trHeight w:val="255"/>
        </w:trPr>
        <w:tc>
          <w:tcPr>
            <w:tcW w:w="1380" w:type="dxa"/>
            <w:vAlign w:val="bottom"/>
          </w:tcPr>
          <w:p>
            <w:pPr>
              <w:spacing w:after="0"/>
              <w:rPr>
                <w:sz w:val="20"/>
                <w:szCs w:val="20"/>
                <w:color w:val="auto"/>
              </w:rPr>
            </w:pPr>
            <w:r>
              <w:rPr>
                <w:rFonts w:ascii="Courier New" w:cs="Courier New" w:eastAsia="Courier New" w:hAnsi="Courier New"/>
                <w:sz w:val="14"/>
                <w:szCs w:val="14"/>
                <w:color w:val="auto"/>
              </w:rPr>
              <w:t>Amnon Lion</w:t>
            </w: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7/12 Tavistock Square London, England</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Managing Director, Zodiac Maritime Agencies</w:t>
            </w: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Ltd.</w:t>
            </w:r>
          </w:p>
        </w:tc>
        <w:tc>
          <w:tcPr>
            <w:tcW w:w="0" w:type="dxa"/>
            <w:vAlign w:val="bottom"/>
          </w:tcPr>
          <w:p>
            <w:pPr>
              <w:spacing w:after="0"/>
              <w:rPr>
                <w:sz w:val="1"/>
                <w:szCs w:val="1"/>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Eyal Ofer</w:t>
            </w:r>
          </w:p>
        </w:tc>
        <w:tc>
          <w:tcPr>
            <w:tcW w:w="5380" w:type="dxa"/>
            <w:vAlign w:val="bottom"/>
          </w:tcPr>
          <w:p>
            <w:pPr>
              <w:ind w:left="1820"/>
              <w:spacing w:after="0"/>
              <w:rPr>
                <w:sz w:val="20"/>
                <w:szCs w:val="20"/>
                <w:color w:val="auto"/>
              </w:rPr>
            </w:pPr>
            <w:r>
              <w:rPr>
                <w:rFonts w:ascii="Courier New" w:cs="Courier New" w:eastAsia="Courier New" w:hAnsi="Courier New"/>
                <w:sz w:val="14"/>
                <w:szCs w:val="14"/>
                <w:color w:val="auto"/>
              </w:rPr>
              <w:t>18 Upper Brook Street London, England</w:t>
            </w:r>
          </w:p>
        </w:tc>
        <w:tc>
          <w:tcPr>
            <w:tcW w:w="4100" w:type="dxa"/>
            <w:vAlign w:val="bottom"/>
          </w:tcPr>
          <w:p>
            <w:pPr>
              <w:ind w:left="400"/>
              <w:spacing w:after="0"/>
              <w:rPr>
                <w:sz w:val="20"/>
                <w:szCs w:val="20"/>
                <w:color w:val="auto"/>
              </w:rPr>
            </w:pPr>
            <w:r>
              <w:rPr>
                <w:rFonts w:ascii="Courier New" w:cs="Courier New" w:eastAsia="Courier New" w:hAnsi="Courier New"/>
                <w:sz w:val="14"/>
                <w:szCs w:val="14"/>
                <w:color w:val="auto"/>
              </w:rPr>
              <w:t>Managing Director, Caryle M.G. Ltd.</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33"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right="4040"/>
        <w:spacing w:after="0" w:line="376" w:lineRule="auto"/>
        <w:rPr>
          <w:sz w:val="20"/>
          <w:szCs w:val="20"/>
          <w:color w:val="auto"/>
        </w:rPr>
      </w:pPr>
      <w:r>
        <w:rPr>
          <w:rFonts w:ascii="Courier New" w:cs="Courier New" w:eastAsia="Courier New" w:hAnsi="Courier New"/>
          <w:sz w:val="14"/>
          <w:szCs w:val="14"/>
          <w:color w:val="auto"/>
        </w:rPr>
        <w:t>Each person listed above is a citizen of the State of Israel. Idan Ofer is also a citizen of Austria.</w:t>
      </w: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860"/>
          </w:cols>
          <w:pgMar w:left="220" w:top="425" w:right="819" w:bottom="1440" w:gutter="0" w:footer="0" w:header="0"/>
        </w:sectPr>
      </w:pPr>
    </w:p>
    <w:bookmarkStart w:id="28" w:name="page29"/>
    <w:bookmarkEnd w:id="28"/>
    <w:p>
      <w:pPr>
        <w:ind w:left="1560"/>
        <w:spacing w:after="0"/>
        <w:rPr>
          <w:sz w:val="20"/>
          <w:szCs w:val="20"/>
          <w:color w:val="auto"/>
        </w:rPr>
      </w:pPr>
      <w:r>
        <w:rPr>
          <w:rFonts w:ascii="Courier New" w:cs="Courier New" w:eastAsia="Courier New" w:hAnsi="Courier New"/>
          <w:sz w:val="14"/>
          <w:szCs w:val="14"/>
          <w:color w:val="auto"/>
        </w:rPr>
        <w:t>Filed by Ofer Brothers Properties (1957) Ltd.</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DIRECTORS AND EXECUTIVE OFFICERS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60" w:type="dxa"/>
            <w:vAlign w:val="bottom"/>
          </w:tcPr>
          <w:p>
            <w:pPr>
              <w:spacing w:after="0"/>
              <w:rPr>
                <w:sz w:val="14"/>
                <w:szCs w:val="14"/>
                <w:color w:val="auto"/>
              </w:rPr>
            </w:pP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PRESENT</w:t>
            </w:r>
          </w:p>
        </w:tc>
        <w:tc>
          <w:tcPr>
            <w:tcW w:w="2540" w:type="dxa"/>
            <w:vAlign w:val="bottom"/>
          </w:tcPr>
          <w:p>
            <w:pPr>
              <w:spacing w:after="0"/>
              <w:rPr>
                <w:sz w:val="14"/>
                <w:szCs w:val="14"/>
                <w:color w:val="auto"/>
              </w:rPr>
            </w:pP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24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w w:val="98"/>
              </w:rPr>
              <w:t>BUSINESS</w:t>
            </w:r>
          </w:p>
        </w:tc>
        <w:tc>
          <w:tcPr>
            <w:tcW w:w="2540" w:type="dxa"/>
            <w:vAlign w:val="bottom"/>
          </w:tcPr>
          <w:p>
            <w:pPr>
              <w:spacing w:after="0"/>
              <w:rPr>
                <w:sz w:val="14"/>
                <w:szCs w:val="14"/>
                <w:color w:val="auto"/>
              </w:rPr>
            </w:pP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2460" w:type="dxa"/>
            <w:vAlign w:val="bottom"/>
            <w:vMerge w:val="continue"/>
          </w:tcPr>
          <w:p>
            <w:pPr>
              <w:spacing w:after="0"/>
              <w:rPr>
                <w:sz w:val="14"/>
                <w:szCs w:val="14"/>
                <w:color w:val="auto"/>
              </w:rPr>
            </w:pP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ADDRESS</w:t>
            </w:r>
          </w:p>
        </w:tc>
        <w:tc>
          <w:tcPr>
            <w:tcW w:w="2540" w:type="dxa"/>
            <w:vAlign w:val="bottom"/>
          </w:tcPr>
          <w:p>
            <w:pPr>
              <w:spacing w:after="0"/>
              <w:rPr>
                <w:sz w:val="14"/>
                <w:szCs w:val="14"/>
                <w:color w:val="auto"/>
              </w:rPr>
            </w:pP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46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60" w:type="dxa"/>
            <w:vAlign w:val="bottom"/>
          </w:tcPr>
          <w:p>
            <w:pPr>
              <w:spacing w:after="0"/>
              <w:rPr>
                <w:sz w:val="20"/>
                <w:szCs w:val="20"/>
                <w:color w:val="auto"/>
              </w:rPr>
            </w:pPr>
            <w:r>
              <w:rPr>
                <w:rFonts w:ascii="Courier New" w:cs="Courier New" w:eastAsia="Courier New" w:hAnsi="Courier New"/>
                <w:sz w:val="14"/>
                <w:szCs w:val="14"/>
                <w:color w:val="auto"/>
              </w:rPr>
              <w:t>Yehuda Ofer</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6 Ramat</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Yam Street</w:t>
            </w: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Chairman of the Board, Ofer Brothers</w:t>
            </w: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Herzlya</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Pituach 46851, Israel</w:t>
            </w: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Properties (1957) Ltd., and other companies</w:t>
            </w:r>
          </w:p>
        </w:tc>
        <w:tc>
          <w:tcPr>
            <w:tcW w:w="0" w:type="dxa"/>
            <w:vAlign w:val="bottom"/>
          </w:tcPr>
          <w:p>
            <w:pPr>
              <w:spacing w:after="0"/>
              <w:rPr>
                <w:sz w:val="1"/>
                <w:szCs w:val="1"/>
                <w:color w:val="auto"/>
              </w:rPr>
            </w:pPr>
          </w:p>
        </w:tc>
      </w:tr>
      <w:tr>
        <w:trPr>
          <w:trHeight w:val="255"/>
        </w:trPr>
        <w:tc>
          <w:tcPr>
            <w:tcW w:w="2460" w:type="dxa"/>
            <w:vAlign w:val="bottom"/>
          </w:tcPr>
          <w:p>
            <w:pPr>
              <w:spacing w:after="0"/>
              <w:rPr>
                <w:sz w:val="20"/>
                <w:szCs w:val="20"/>
                <w:color w:val="auto"/>
              </w:rPr>
            </w:pPr>
            <w:r>
              <w:rPr>
                <w:rFonts w:ascii="Courier New" w:cs="Courier New" w:eastAsia="Courier New" w:hAnsi="Courier New"/>
                <w:sz w:val="14"/>
                <w:szCs w:val="14"/>
                <w:color w:val="auto"/>
              </w:rPr>
              <w:t>Abraham Anaby</w:t>
            </w:r>
          </w:p>
        </w:tc>
        <w:tc>
          <w:tcPr>
            <w:tcW w:w="39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2 HaNamal Street,</w:t>
            </w: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Attorney, Director of companies</w:t>
            </w: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39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Haifa 33031, Israel</w:t>
            </w: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60" w:type="dxa"/>
            <w:vAlign w:val="bottom"/>
          </w:tcPr>
          <w:p>
            <w:pPr>
              <w:spacing w:after="0"/>
              <w:rPr>
                <w:sz w:val="20"/>
                <w:szCs w:val="20"/>
                <w:color w:val="auto"/>
              </w:rPr>
            </w:pPr>
            <w:r>
              <w:rPr>
                <w:rFonts w:ascii="Courier New" w:cs="Courier New" w:eastAsia="Courier New" w:hAnsi="Courier New"/>
                <w:sz w:val="14"/>
                <w:szCs w:val="14"/>
                <w:color w:val="auto"/>
              </w:rPr>
              <w:t>Liora Ofer</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6 Ramat</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Yam Street</w:t>
            </w: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Managing Director, Coral Beach Eilat Ltd.</w:t>
            </w: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Herzlya</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Pituach 46851, Israel</w:t>
            </w: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6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60" w:type="dxa"/>
            <w:vAlign w:val="bottom"/>
          </w:tcPr>
          <w:p>
            <w:pPr>
              <w:spacing w:after="0"/>
              <w:rPr>
                <w:sz w:val="20"/>
                <w:szCs w:val="20"/>
                <w:color w:val="auto"/>
              </w:rPr>
            </w:pPr>
            <w:r>
              <w:rPr>
                <w:rFonts w:ascii="Courier New" w:cs="Courier New" w:eastAsia="Courier New" w:hAnsi="Courier New"/>
                <w:sz w:val="14"/>
                <w:szCs w:val="14"/>
                <w:color w:val="auto"/>
              </w:rPr>
              <w:t>Abraham Levy</w:t>
            </w:r>
          </w:p>
        </w:tc>
        <w:tc>
          <w:tcPr>
            <w:tcW w:w="39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2 HaNamal Street,</w:t>
            </w: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Chief Executive Officer, Ofer Brothers</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39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Haifa 33031, Israel</w:t>
            </w: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Properties (1957) Ltd. and companies in</w:t>
            </w: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440" w:type="dxa"/>
            <w:vAlign w:val="bottom"/>
          </w:tcPr>
          <w:p>
            <w:pPr>
              <w:ind w:left="740"/>
              <w:spacing w:after="0"/>
              <w:rPr>
                <w:sz w:val="20"/>
                <w:szCs w:val="20"/>
                <w:color w:val="auto"/>
              </w:rPr>
            </w:pPr>
            <w:r>
              <w:rPr>
                <w:rFonts w:ascii="Courier New" w:cs="Courier New" w:eastAsia="Courier New" w:hAnsi="Courier New"/>
                <w:sz w:val="14"/>
                <w:szCs w:val="14"/>
                <w:color w:val="auto"/>
              </w:rPr>
              <w:t>Israel.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person listed above is a citizen of the State of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860"/>
          </w:cols>
          <w:pgMar w:left="220" w:top="425" w:right="819" w:bottom="1440" w:gutter="0" w:footer="0" w:header="0"/>
        </w:sectPr>
      </w:pPr>
    </w:p>
    <w:bookmarkStart w:id="29" w:name="page30"/>
    <w:bookmarkEnd w:id="29"/>
    <w:p>
      <w:pPr>
        <w:ind w:left="2080"/>
        <w:spacing w:after="0"/>
        <w:rPr>
          <w:sz w:val="20"/>
          <w:szCs w:val="20"/>
          <w:color w:val="auto"/>
        </w:rPr>
      </w:pPr>
      <w:r>
        <w:rPr>
          <w:rFonts w:ascii="Courier New" w:cs="Courier New" w:eastAsia="Courier New" w:hAnsi="Courier New"/>
          <w:sz w:val="14"/>
          <w:szCs w:val="14"/>
          <w:color w:val="auto"/>
        </w:rPr>
        <w:t>Filed by Mashat Investments Ltd.</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DIRECTORS AND EXECUTIVE OFFICERS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PRESENT</w:t>
            </w:r>
          </w:p>
        </w:tc>
        <w:tc>
          <w:tcPr>
            <w:tcW w:w="4560" w:type="dxa"/>
            <w:vAlign w:val="bottom"/>
          </w:tcPr>
          <w:p>
            <w:pPr>
              <w:ind w:left="104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BUSINESS</w:t>
            </w:r>
          </w:p>
        </w:tc>
        <w:tc>
          <w:tcPr>
            <w:tcW w:w="4560" w:type="dxa"/>
            <w:vAlign w:val="bottom"/>
          </w:tcPr>
          <w:p>
            <w:pPr>
              <w:ind w:left="104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ADDRESS</w:t>
            </w:r>
          </w:p>
        </w:tc>
        <w:tc>
          <w:tcPr>
            <w:tcW w:w="4560" w:type="dxa"/>
            <w:vAlign w:val="bottom"/>
          </w:tcPr>
          <w:p>
            <w:pPr>
              <w:ind w:left="104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6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456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39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4"/>
                <w:szCs w:val="14"/>
                <w:color w:val="auto"/>
              </w:rPr>
              <w:t>Idan Ofer</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23 Aranha Street,</w:t>
            </w:r>
          </w:p>
        </w:tc>
        <w:tc>
          <w:tcPr>
            <w:tcW w:w="4560" w:type="dxa"/>
            <w:vAlign w:val="bottom"/>
          </w:tcPr>
          <w:p>
            <w:pPr>
              <w:ind w:left="1040"/>
              <w:spacing w:after="0"/>
              <w:rPr>
                <w:sz w:val="20"/>
                <w:szCs w:val="20"/>
                <w:color w:val="auto"/>
              </w:rPr>
            </w:pPr>
            <w:r>
              <w:rPr>
                <w:rFonts w:ascii="Courier New" w:cs="Courier New" w:eastAsia="Courier New" w:hAnsi="Courier New"/>
                <w:sz w:val="14"/>
                <w:szCs w:val="14"/>
                <w:color w:val="auto"/>
              </w:rPr>
              <w:t>Chairman of the Board, Israel Corporation</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Tel-Aviv 61070, Israel</w:t>
            </w:r>
          </w:p>
        </w:tc>
        <w:tc>
          <w:tcPr>
            <w:tcW w:w="4560" w:type="dxa"/>
            <w:vAlign w:val="bottom"/>
          </w:tcPr>
          <w:p>
            <w:pPr>
              <w:ind w:left="1040"/>
              <w:spacing w:after="0"/>
              <w:rPr>
                <w:sz w:val="20"/>
                <w:szCs w:val="20"/>
                <w:color w:val="auto"/>
              </w:rPr>
            </w:pPr>
            <w:r>
              <w:rPr>
                <w:rFonts w:ascii="Courier New" w:cs="Courier New" w:eastAsia="Courier New" w:hAnsi="Courier New"/>
                <w:sz w:val="14"/>
                <w:szCs w:val="14"/>
                <w:color w:val="auto"/>
              </w:rPr>
              <w:t>Ltd., and Chairman of the Board, United</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560" w:type="dxa"/>
            <w:vAlign w:val="bottom"/>
          </w:tcPr>
          <w:p>
            <w:pPr>
              <w:ind w:left="1040"/>
              <w:spacing w:after="0"/>
              <w:rPr>
                <w:sz w:val="20"/>
                <w:szCs w:val="20"/>
                <w:color w:val="auto"/>
              </w:rPr>
            </w:pPr>
            <w:r>
              <w:rPr>
                <w:rFonts w:ascii="Courier New" w:cs="Courier New" w:eastAsia="Courier New" w:hAnsi="Courier New"/>
                <w:sz w:val="14"/>
                <w:szCs w:val="14"/>
                <w:color w:val="auto"/>
              </w:rPr>
              <w:t>Mizrahi Bank Ltd.</w:t>
            </w: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4"/>
                <w:szCs w:val="14"/>
                <w:color w:val="auto"/>
              </w:rPr>
              <w:t>Abraham Anaby</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2 HaNamal Street,</w:t>
            </w:r>
          </w:p>
        </w:tc>
        <w:tc>
          <w:tcPr>
            <w:tcW w:w="4560" w:type="dxa"/>
            <w:vAlign w:val="bottom"/>
          </w:tcPr>
          <w:p>
            <w:pPr>
              <w:ind w:left="1040"/>
              <w:spacing w:after="0"/>
              <w:rPr>
                <w:sz w:val="20"/>
                <w:szCs w:val="20"/>
                <w:color w:val="auto"/>
              </w:rPr>
            </w:pPr>
            <w:r>
              <w:rPr>
                <w:rFonts w:ascii="Courier New" w:cs="Courier New" w:eastAsia="Courier New" w:hAnsi="Courier New"/>
                <w:sz w:val="14"/>
                <w:szCs w:val="14"/>
                <w:color w:val="auto"/>
              </w:rPr>
              <w:t>Attorney, Director of companies</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Haifa 33031, Israel</w:t>
            </w: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33"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right="3860"/>
        <w:spacing w:after="0" w:line="376" w:lineRule="auto"/>
        <w:rPr>
          <w:sz w:val="20"/>
          <w:szCs w:val="20"/>
          <w:color w:val="auto"/>
        </w:rPr>
      </w:pPr>
      <w:r>
        <w:rPr>
          <w:rFonts w:ascii="Courier New" w:cs="Courier New" w:eastAsia="Courier New" w:hAnsi="Courier New"/>
          <w:sz w:val="14"/>
          <w:szCs w:val="14"/>
          <w:color w:val="auto"/>
        </w:rPr>
        <w:t>Each person listed above is a citizen of the State of Israel. Idan Ofer is also a citizen of Austria.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680"/>
          </w:cols>
          <w:pgMar w:left="220" w:top="425" w:right="9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2"/>
        </w:trPr>
        <w:tc>
          <w:tcPr>
            <w:tcW w:w="1860" w:type="dxa"/>
            <w:vAlign w:val="bottom"/>
          </w:tcPr>
          <w:p>
            <w:pPr>
              <w:spacing w:after="0"/>
              <w:rPr>
                <w:sz w:val="21"/>
                <w:szCs w:val="21"/>
                <w:color w:val="auto"/>
              </w:rPr>
            </w:pPr>
          </w:p>
        </w:tc>
        <w:tc>
          <w:tcPr>
            <w:tcW w:w="4600" w:type="dxa"/>
            <w:vAlign w:val="bottom"/>
          </w:tcPr>
          <w:p>
            <w:pPr>
              <w:ind w:left="120"/>
              <w:spacing w:after="0"/>
              <w:rPr>
                <w:sz w:val="20"/>
                <w:szCs w:val="20"/>
                <w:color w:val="auto"/>
              </w:rPr>
            </w:pPr>
            <w:r>
              <w:rPr>
                <w:rFonts w:ascii="Courier New" w:cs="Courier New" w:eastAsia="Courier New" w:hAnsi="Courier New"/>
                <w:sz w:val="14"/>
                <w:szCs w:val="14"/>
                <w:color w:val="auto"/>
              </w:rPr>
              <w:t>Filed by Ofer (Ships Holdings) Ltd.</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2"/>
                <w:szCs w:val="22"/>
                <w:color w:val="auto"/>
              </w:rPr>
            </w:pPr>
          </w:p>
        </w:tc>
        <w:tc>
          <w:tcPr>
            <w:tcW w:w="4600" w:type="dxa"/>
            <w:vAlign w:val="bottom"/>
          </w:tcPr>
          <w:p>
            <w:pPr>
              <w:ind w:left="220"/>
              <w:spacing w:after="0"/>
              <w:rPr>
                <w:sz w:val="20"/>
                <w:szCs w:val="20"/>
                <w:color w:val="auto"/>
              </w:rPr>
            </w:pPr>
            <w:r>
              <w:rPr>
                <w:rFonts w:ascii="Courier New" w:cs="Courier New" w:eastAsia="Courier New" w:hAnsi="Courier New"/>
                <w:sz w:val="14"/>
                <w:szCs w:val="14"/>
                <w:color w:val="auto"/>
              </w:rPr>
              <w:t>DIRECTORS AND EXECUTIVE OFFICERS</w:t>
            </w:r>
          </w:p>
        </w:tc>
        <w:tc>
          <w:tcPr>
            <w:tcW w:w="4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4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2"/>
                <w:szCs w:val="22"/>
                <w:color w:val="auto"/>
              </w:rPr>
            </w:pP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PRESENT</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18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BUSINESS</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1860" w:type="dxa"/>
            <w:vAlign w:val="bottom"/>
            <w:vMerge w:val="continue"/>
          </w:tcPr>
          <w:p>
            <w:pPr>
              <w:spacing w:after="0"/>
              <w:rPr>
                <w:sz w:val="14"/>
                <w:szCs w:val="14"/>
                <w:color w:val="auto"/>
              </w:rPr>
            </w:pP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ADDRESS</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0" w:type="dxa"/>
            <w:vAlign w:val="bottom"/>
          </w:tcPr>
          <w:p>
            <w:pPr>
              <w:ind w:left="1500"/>
              <w:spacing w:after="0"/>
              <w:rPr>
                <w:sz w:val="20"/>
                <w:szCs w:val="20"/>
                <w:color w:val="auto"/>
              </w:rPr>
            </w:pPr>
            <w:r>
              <w:rPr>
                <w:rFonts w:ascii="Courier New" w:cs="Courier New" w:eastAsia="Courier New" w:hAnsi="Courier New"/>
                <w:sz w:val="14"/>
                <w:szCs w:val="14"/>
                <w:color w:val="auto"/>
              </w:rPr>
              <w:t>-------</w:t>
            </w:r>
          </w:p>
        </w:tc>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46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Yehuda Ofer</w:t>
            </w: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6 Ramat Yam Street,</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Chairman of the Board, Ofer Brothers</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Herzliya Pituach 46851, Israel</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Properties (1957) Ltd., and other companies</w:t>
            </w: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Ehud Angel</w:t>
            </w: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2 HaNamal Street,</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Chief Executive Officer, Ofer (Ships</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Haifa 33031, Israel</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Holdings) Ltd. and Chairman of the Board,</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Zim Israel Navigation Co. Ltd.</w:t>
            </w: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Abraham Anaby</w:t>
            </w: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2 HaNamal Street,</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Attorney, Director of companies</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Haifa 33031, Israel</w:t>
            </w: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46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0"/>
                <w:szCs w:val="20"/>
                <w:color w:val="auto"/>
              </w:rPr>
            </w:pPr>
            <w:r>
              <w:rPr>
                <w:rFonts w:ascii="Courier New" w:cs="Courier New" w:eastAsia="Courier New" w:hAnsi="Courier New"/>
                <w:sz w:val="14"/>
                <w:szCs w:val="14"/>
                <w:color w:val="auto"/>
              </w:rPr>
              <w:t>Ehud Angel</w:t>
            </w: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2 HaNamal Street,</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Chief Executive Officer, Ofer (Ships</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4600" w:type="dxa"/>
            <w:vAlign w:val="bottom"/>
          </w:tcPr>
          <w:p>
            <w:pPr>
              <w:ind w:left="1340"/>
              <w:spacing w:after="0"/>
              <w:rPr>
                <w:sz w:val="20"/>
                <w:szCs w:val="20"/>
                <w:color w:val="auto"/>
              </w:rPr>
            </w:pPr>
            <w:r>
              <w:rPr>
                <w:rFonts w:ascii="Courier New" w:cs="Courier New" w:eastAsia="Courier New" w:hAnsi="Courier New"/>
                <w:sz w:val="14"/>
                <w:szCs w:val="14"/>
                <w:color w:val="auto"/>
              </w:rPr>
              <w:t>Haifa 33031, Israel</w:t>
            </w: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Holdings) Ltd. and Chairman of the Board,</w:t>
            </w: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400" w:type="dxa"/>
            <w:vAlign w:val="bottom"/>
          </w:tcPr>
          <w:p>
            <w:pPr>
              <w:ind w:left="700"/>
              <w:spacing w:after="0"/>
              <w:rPr>
                <w:sz w:val="20"/>
                <w:szCs w:val="20"/>
                <w:color w:val="auto"/>
              </w:rPr>
            </w:pPr>
            <w:r>
              <w:rPr>
                <w:rFonts w:ascii="Courier New" w:cs="Courier New" w:eastAsia="Courier New" w:hAnsi="Courier New"/>
                <w:sz w:val="14"/>
                <w:szCs w:val="14"/>
                <w:color w:val="auto"/>
              </w:rPr>
              <w:t>Zim Israel Navigation Co. Ltd.</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person listed above is a citizen of the State of Israel.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860"/>
          </w:cols>
          <w:pgMar w:left="220" w:top="425" w:right="819" w:bottom="1440" w:gutter="0" w:footer="0" w:header="0"/>
        </w:sectPr>
      </w:pPr>
    </w:p>
    <w:bookmarkStart w:id="31" w:name="page32"/>
    <w:bookmarkEnd w:id="31"/>
    <w:p>
      <w:pPr>
        <w:ind w:left="2160"/>
        <w:spacing w:after="0"/>
        <w:rPr>
          <w:sz w:val="20"/>
          <w:szCs w:val="20"/>
          <w:color w:val="auto"/>
        </w:rPr>
      </w:pPr>
      <w:r>
        <w:rPr>
          <w:rFonts w:ascii="Courier New" w:cs="Courier New" w:eastAsia="Courier New" w:hAnsi="Courier New"/>
          <w:sz w:val="14"/>
          <w:szCs w:val="14"/>
          <w:color w:val="auto"/>
        </w:rPr>
        <w:t>Filed by L.Y.N. (Holdings) Ltd.</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DIRECTORS AND EXECUTIVE OFFICERS</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PRESENT</w:t>
            </w:r>
          </w:p>
        </w:tc>
        <w:tc>
          <w:tcPr>
            <w:tcW w:w="3820" w:type="dxa"/>
            <w:vAlign w:val="bottom"/>
          </w:tcPr>
          <w:p>
            <w:pPr>
              <w:ind w:left="116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BUSINESS</w:t>
            </w:r>
          </w:p>
        </w:tc>
        <w:tc>
          <w:tcPr>
            <w:tcW w:w="3820" w:type="dxa"/>
            <w:vAlign w:val="bottom"/>
          </w:tcPr>
          <w:p>
            <w:pPr>
              <w:ind w:left="116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ADDRESS</w:t>
            </w:r>
          </w:p>
        </w:tc>
        <w:tc>
          <w:tcPr>
            <w:tcW w:w="3820" w:type="dxa"/>
            <w:vAlign w:val="bottom"/>
          </w:tcPr>
          <w:p>
            <w:pPr>
              <w:ind w:left="116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4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3820" w:type="dxa"/>
            <w:vAlign w:val="bottom"/>
          </w:tcPr>
          <w:p>
            <w:pPr>
              <w:ind w:left="13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38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4"/>
                <w:szCs w:val="14"/>
                <w:color w:val="auto"/>
              </w:rPr>
              <w:t>Sammy Ofer</w:t>
            </w:r>
          </w:p>
        </w:tc>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2 HaNamal Street,</w:t>
            </w:r>
          </w:p>
        </w:tc>
        <w:tc>
          <w:tcPr>
            <w:tcW w:w="3820" w:type="dxa"/>
            <w:vAlign w:val="bottom"/>
          </w:tcPr>
          <w:p>
            <w:pPr>
              <w:ind w:left="1160"/>
              <w:spacing w:after="0"/>
              <w:rPr>
                <w:sz w:val="20"/>
                <w:szCs w:val="20"/>
                <w:color w:val="auto"/>
              </w:rPr>
            </w:pPr>
            <w:r>
              <w:rPr>
                <w:rFonts w:ascii="Courier New" w:cs="Courier New" w:eastAsia="Courier New" w:hAnsi="Courier New"/>
                <w:sz w:val="14"/>
                <w:szCs w:val="14"/>
                <w:color w:val="auto"/>
              </w:rPr>
              <w:t>Retired</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Haifa 33031, Israel</w:t>
            </w: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0"/>
                <w:szCs w:val="20"/>
                <w:color w:val="auto"/>
              </w:rPr>
            </w:pPr>
            <w:r>
              <w:rPr>
                <w:rFonts w:ascii="Courier New" w:cs="Courier New" w:eastAsia="Courier New" w:hAnsi="Courier New"/>
                <w:sz w:val="14"/>
                <w:szCs w:val="14"/>
                <w:color w:val="auto"/>
              </w:rPr>
              <w:t>Abraham Anaby</w:t>
            </w:r>
          </w:p>
        </w:tc>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2 HaNamal Street,</w:t>
            </w:r>
          </w:p>
        </w:tc>
        <w:tc>
          <w:tcPr>
            <w:tcW w:w="3820" w:type="dxa"/>
            <w:vAlign w:val="bottom"/>
          </w:tcPr>
          <w:p>
            <w:pPr>
              <w:ind w:left="1160"/>
              <w:spacing w:after="0"/>
              <w:rPr>
                <w:sz w:val="20"/>
                <w:szCs w:val="20"/>
                <w:color w:val="auto"/>
              </w:rPr>
            </w:pPr>
            <w:r>
              <w:rPr>
                <w:rFonts w:ascii="Courier New" w:cs="Courier New" w:eastAsia="Courier New" w:hAnsi="Courier New"/>
                <w:sz w:val="14"/>
                <w:szCs w:val="14"/>
                <w:color w:val="auto"/>
              </w:rPr>
              <w:t>Attorney, Director of companies</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Haifa 33031, Israel</w:t>
            </w:r>
          </w:p>
        </w:tc>
        <w:tc>
          <w:tcPr>
            <w:tcW w:w="3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33"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12" w:lineRule="exact"/>
        <w:rPr>
          <w:sz w:val="20"/>
          <w:szCs w:val="20"/>
          <w:color w:val="auto"/>
        </w:rPr>
      </w:pPr>
    </w:p>
    <w:p>
      <w:pPr>
        <w:ind w:right="3339"/>
        <w:spacing w:after="0" w:line="376" w:lineRule="auto"/>
        <w:rPr>
          <w:sz w:val="20"/>
          <w:szCs w:val="20"/>
          <w:color w:val="auto"/>
        </w:rPr>
      </w:pPr>
      <w:r>
        <w:rPr>
          <w:rFonts w:ascii="Courier New" w:cs="Courier New" w:eastAsia="Courier New" w:hAnsi="Courier New"/>
          <w:sz w:val="14"/>
          <w:szCs w:val="14"/>
          <w:color w:val="auto"/>
        </w:rPr>
        <w:t>Each person listed above is a citizen of the State of Israel. Sammy Ofer is also a citizen of Austria.</w:t>
      </w: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25"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2"/>
        </w:trPr>
        <w:tc>
          <w:tcPr>
            <w:tcW w:w="1520" w:type="dxa"/>
            <w:vAlign w:val="bottom"/>
          </w:tcPr>
          <w:p>
            <w:pPr>
              <w:spacing w:after="0"/>
              <w:rPr>
                <w:sz w:val="21"/>
                <w:szCs w:val="21"/>
                <w:color w:val="auto"/>
              </w:rPr>
            </w:pPr>
          </w:p>
        </w:tc>
        <w:tc>
          <w:tcPr>
            <w:tcW w:w="4940" w:type="dxa"/>
            <w:vAlign w:val="bottom"/>
          </w:tcPr>
          <w:p>
            <w:pPr>
              <w:ind w:left="720"/>
              <w:spacing w:after="0"/>
              <w:rPr>
                <w:sz w:val="20"/>
                <w:szCs w:val="20"/>
                <w:color w:val="auto"/>
              </w:rPr>
            </w:pPr>
            <w:r>
              <w:rPr>
                <w:rFonts w:ascii="Courier New" w:cs="Courier New" w:eastAsia="Courier New" w:hAnsi="Courier New"/>
                <w:sz w:val="14"/>
                <w:szCs w:val="14"/>
                <w:color w:val="auto"/>
              </w:rPr>
              <w:t>Filed by Oro Investments Ltd.</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2"/>
                <w:szCs w:val="22"/>
                <w:color w:val="auto"/>
              </w:rPr>
            </w:pPr>
          </w:p>
        </w:tc>
        <w:tc>
          <w:tcPr>
            <w:tcW w:w="4940" w:type="dxa"/>
            <w:vAlign w:val="bottom"/>
          </w:tcPr>
          <w:p>
            <w:pPr>
              <w:ind w:left="560"/>
              <w:spacing w:after="0"/>
              <w:rPr>
                <w:sz w:val="20"/>
                <w:szCs w:val="20"/>
                <w:color w:val="auto"/>
              </w:rPr>
            </w:pPr>
            <w:r>
              <w:rPr>
                <w:rFonts w:ascii="Courier New" w:cs="Courier New" w:eastAsia="Courier New" w:hAnsi="Courier New"/>
                <w:sz w:val="14"/>
                <w:szCs w:val="14"/>
                <w:color w:val="auto"/>
              </w:rPr>
              <w:t>DIRECTORS AND EXECUTIVE OFFICERS</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1"/>
                <w:szCs w:val="21"/>
                <w:color w:val="auto"/>
              </w:rPr>
            </w:pPr>
          </w:p>
        </w:tc>
        <w:tc>
          <w:tcPr>
            <w:tcW w:w="49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2"/>
                <w:szCs w:val="22"/>
                <w:color w:val="auto"/>
              </w:rPr>
            </w:pPr>
          </w:p>
        </w:tc>
        <w:tc>
          <w:tcPr>
            <w:tcW w:w="4940" w:type="dxa"/>
            <w:vAlign w:val="bottom"/>
          </w:tcPr>
          <w:p>
            <w:pPr>
              <w:ind w:left="1680"/>
              <w:spacing w:after="0"/>
              <w:rPr>
                <w:sz w:val="20"/>
                <w:szCs w:val="20"/>
                <w:color w:val="auto"/>
              </w:rPr>
            </w:pPr>
            <w:r>
              <w:rPr>
                <w:rFonts w:ascii="Courier New" w:cs="Courier New" w:eastAsia="Courier New" w:hAnsi="Courier New"/>
                <w:sz w:val="14"/>
                <w:szCs w:val="14"/>
                <w:color w:val="auto"/>
              </w:rPr>
              <w:t>PRESENT</w:t>
            </w:r>
          </w:p>
        </w:tc>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PRESENT</w:t>
            </w:r>
          </w:p>
        </w:tc>
        <w:tc>
          <w:tcPr>
            <w:tcW w:w="0" w:type="dxa"/>
            <w:vAlign w:val="bottom"/>
          </w:tcPr>
          <w:p>
            <w:pPr>
              <w:spacing w:after="0"/>
              <w:rPr>
                <w:sz w:val="1"/>
                <w:szCs w:val="1"/>
                <w:color w:val="auto"/>
              </w:rPr>
            </w:pPr>
          </w:p>
        </w:tc>
      </w:tr>
      <w:tr>
        <w:trPr>
          <w:trHeight w:val="166"/>
        </w:trPr>
        <w:tc>
          <w:tcPr>
            <w:tcW w:w="152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4940" w:type="dxa"/>
            <w:vAlign w:val="bottom"/>
          </w:tcPr>
          <w:p>
            <w:pPr>
              <w:ind w:left="1680"/>
              <w:spacing w:after="0"/>
              <w:rPr>
                <w:sz w:val="20"/>
                <w:szCs w:val="20"/>
                <w:color w:val="auto"/>
              </w:rPr>
            </w:pPr>
            <w:r>
              <w:rPr>
                <w:rFonts w:ascii="Courier New" w:cs="Courier New" w:eastAsia="Courier New" w:hAnsi="Courier New"/>
                <w:sz w:val="14"/>
                <w:szCs w:val="14"/>
                <w:color w:val="auto"/>
              </w:rPr>
              <w:t>BUSINESS</w:t>
            </w:r>
          </w:p>
        </w:tc>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1520" w:type="dxa"/>
            <w:vAlign w:val="bottom"/>
            <w:vMerge w:val="continue"/>
          </w:tcPr>
          <w:p>
            <w:pPr>
              <w:spacing w:after="0"/>
              <w:rPr>
                <w:sz w:val="14"/>
                <w:szCs w:val="14"/>
                <w:color w:val="auto"/>
              </w:rPr>
            </w:pPr>
          </w:p>
        </w:tc>
        <w:tc>
          <w:tcPr>
            <w:tcW w:w="4940" w:type="dxa"/>
            <w:vAlign w:val="bottom"/>
          </w:tcPr>
          <w:p>
            <w:pPr>
              <w:ind w:left="1680"/>
              <w:spacing w:after="0"/>
              <w:rPr>
                <w:sz w:val="20"/>
                <w:szCs w:val="20"/>
                <w:color w:val="auto"/>
              </w:rPr>
            </w:pPr>
            <w:r>
              <w:rPr>
                <w:rFonts w:ascii="Courier New" w:cs="Courier New" w:eastAsia="Courier New" w:hAnsi="Courier New"/>
                <w:sz w:val="14"/>
                <w:szCs w:val="14"/>
                <w:color w:val="auto"/>
              </w:rPr>
              <w:t>ADDRESS</w:t>
            </w:r>
          </w:p>
        </w:tc>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OCCUPATION</w:t>
            </w: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940" w:type="dxa"/>
            <w:vAlign w:val="bottom"/>
          </w:tcPr>
          <w:p>
            <w:pPr>
              <w:ind w:left="1840"/>
              <w:spacing w:after="0"/>
              <w:rPr>
                <w:sz w:val="20"/>
                <w:szCs w:val="20"/>
                <w:color w:val="auto"/>
              </w:rPr>
            </w:pPr>
            <w:r>
              <w:rPr>
                <w:rFonts w:ascii="Courier New" w:cs="Courier New" w:eastAsia="Courier New" w:hAnsi="Courier New"/>
                <w:sz w:val="14"/>
                <w:szCs w:val="14"/>
                <w:color w:val="auto"/>
              </w:rPr>
              <w:t>-------</w:t>
            </w:r>
          </w:p>
        </w:tc>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494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94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0"/>
                <w:szCs w:val="20"/>
                <w:color w:val="auto"/>
              </w:rPr>
            </w:pPr>
            <w:r>
              <w:rPr>
                <w:rFonts w:ascii="Courier New" w:cs="Courier New" w:eastAsia="Courier New" w:hAnsi="Courier New"/>
                <w:sz w:val="14"/>
                <w:szCs w:val="14"/>
                <w:color w:val="auto"/>
              </w:rPr>
              <w:t>Liora Ofer</w:t>
            </w:r>
          </w:p>
        </w:tc>
        <w:tc>
          <w:tcPr>
            <w:tcW w:w="4940" w:type="dxa"/>
            <w:vAlign w:val="bottom"/>
          </w:tcPr>
          <w:p>
            <w:pPr>
              <w:ind w:left="1680"/>
              <w:spacing w:after="0"/>
              <w:rPr>
                <w:sz w:val="20"/>
                <w:szCs w:val="20"/>
                <w:color w:val="auto"/>
              </w:rPr>
            </w:pPr>
            <w:r>
              <w:rPr>
                <w:rFonts w:ascii="Courier New" w:cs="Courier New" w:eastAsia="Courier New" w:hAnsi="Courier New"/>
                <w:sz w:val="14"/>
                <w:szCs w:val="14"/>
                <w:color w:val="auto"/>
              </w:rPr>
              <w:t>6 Ramat Yam Street,</w:t>
            </w:r>
          </w:p>
        </w:tc>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Managing Director, Coral Beach Eilat Ltd.</w:t>
            </w: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1"/>
                <w:szCs w:val="21"/>
                <w:color w:val="auto"/>
              </w:rPr>
            </w:pPr>
          </w:p>
        </w:tc>
        <w:tc>
          <w:tcPr>
            <w:tcW w:w="4940" w:type="dxa"/>
            <w:vAlign w:val="bottom"/>
          </w:tcPr>
          <w:p>
            <w:pPr>
              <w:ind w:left="1680"/>
              <w:spacing w:after="0"/>
              <w:rPr>
                <w:sz w:val="20"/>
                <w:szCs w:val="20"/>
                <w:color w:val="auto"/>
              </w:rPr>
            </w:pPr>
            <w:r>
              <w:rPr>
                <w:rFonts w:ascii="Courier New" w:cs="Courier New" w:eastAsia="Courier New" w:hAnsi="Courier New"/>
                <w:sz w:val="14"/>
                <w:szCs w:val="14"/>
                <w:color w:val="auto"/>
              </w:rPr>
              <w:t>Herzliya Pituach 46851, Israel</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33"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person listed above is a citizen of the State of Israel.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680"/>
          </w:cols>
          <w:pgMar w:left="220" w:top="425" w:right="999" w:bottom="1440" w:gutter="0" w:footer="0" w:header="0"/>
        </w:sectPr>
      </w:pPr>
    </w:p>
    <w:bookmarkStart w:id="33" w:name="page34"/>
    <w:bookmarkEnd w:id="33"/>
    <w:p>
      <w:pPr>
        <w:ind w:left="3020"/>
        <w:spacing w:after="0"/>
        <w:rPr>
          <w:sz w:val="20"/>
          <w:szCs w:val="20"/>
          <w:color w:val="auto"/>
        </w:rPr>
      </w:pPr>
      <w:r>
        <w:rPr>
          <w:rFonts w:ascii="Courier New" w:cs="Courier New" w:eastAsia="Courier New" w:hAnsi="Courier New"/>
          <w:sz w:val="14"/>
          <w:szCs w:val="14"/>
          <w:color w:val="auto"/>
        </w:rPr>
        <w:t>SCHEDULE B</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680" w:type="dxa"/>
            <w:vAlign w:val="bottom"/>
          </w:tcPr>
          <w:p>
            <w:pPr>
              <w:spacing w:after="0"/>
              <w:rPr>
                <w:sz w:val="21"/>
                <w:szCs w:val="21"/>
                <w:color w:val="auto"/>
              </w:rPr>
            </w:pPr>
          </w:p>
        </w:tc>
        <w:tc>
          <w:tcPr>
            <w:tcW w:w="4880" w:type="dxa"/>
            <w:vAlign w:val="bottom"/>
          </w:tcPr>
          <w:p>
            <w:pPr>
              <w:jc w:val="center"/>
              <w:ind w:right="1248"/>
              <w:spacing w:after="0"/>
              <w:rPr>
                <w:sz w:val="20"/>
                <w:szCs w:val="20"/>
                <w:color w:val="auto"/>
              </w:rPr>
            </w:pPr>
            <w:r>
              <w:rPr>
                <w:rFonts w:ascii="Courier New" w:cs="Courier New" w:eastAsia="Courier New" w:hAnsi="Courier New"/>
                <w:sz w:val="14"/>
                <w:szCs w:val="14"/>
                <w:color w:val="auto"/>
              </w:rPr>
              <w:t>DIRECTORS AND EXECUTIVE OFFICERS</w:t>
            </w: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680" w:type="dxa"/>
            <w:vAlign w:val="bottom"/>
          </w:tcPr>
          <w:p>
            <w:pPr>
              <w:spacing w:after="0"/>
              <w:rPr>
                <w:sz w:val="22"/>
                <w:szCs w:val="22"/>
                <w:color w:val="auto"/>
              </w:rPr>
            </w:pPr>
          </w:p>
        </w:tc>
        <w:tc>
          <w:tcPr>
            <w:tcW w:w="4880" w:type="dxa"/>
            <w:vAlign w:val="bottom"/>
          </w:tcPr>
          <w:p>
            <w:pPr>
              <w:jc w:val="center"/>
              <w:ind w:right="1268"/>
              <w:spacing w:after="0"/>
              <w:rPr>
                <w:sz w:val="20"/>
                <w:szCs w:val="20"/>
                <w:color w:val="auto"/>
              </w:rPr>
            </w:pPr>
            <w:r>
              <w:rPr>
                <w:rFonts w:ascii="Courier New" w:cs="Courier New" w:eastAsia="Courier New" w:hAnsi="Courier New"/>
                <w:sz w:val="14"/>
                <w:szCs w:val="14"/>
                <w:color w:val="auto"/>
              </w:rPr>
              <w:t>Present Principal Occupation</w:t>
            </w:r>
          </w:p>
        </w:tc>
        <w:tc>
          <w:tcPr>
            <w:tcW w:w="1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tcPr>
          <w:p>
            <w:pPr>
              <w:jc w:val="center"/>
              <w:ind w:right="1248"/>
              <w:spacing w:after="0"/>
              <w:rPr>
                <w:sz w:val="20"/>
                <w:szCs w:val="20"/>
                <w:color w:val="auto"/>
              </w:rPr>
            </w:pPr>
            <w:r>
              <w:rPr>
                <w:rFonts w:ascii="Courier New" w:cs="Courier New" w:eastAsia="Courier New" w:hAnsi="Courier New"/>
                <w:sz w:val="14"/>
                <w:szCs w:val="14"/>
                <w:color w:val="auto"/>
              </w:rPr>
              <w:t>Including Name of Employer</w:t>
            </w:r>
          </w:p>
        </w:tc>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4"/>
                <w:szCs w:val="14"/>
                <w:color w:val="auto"/>
              </w:rPr>
              <w:t>Address of Employer</w:t>
            </w: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Officers of SanDisk Corporation:</w:t>
            </w:r>
          </w:p>
        </w:tc>
        <w:tc>
          <w:tcPr>
            <w:tcW w:w="1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880" w:type="dxa"/>
            <w:vAlign w:val="bottom"/>
            <w:vMerge w:val="restart"/>
          </w:tcPr>
          <w:p>
            <w:pPr>
              <w:ind w:left="1000"/>
              <w:spacing w:after="0"/>
              <w:rPr>
                <w:sz w:val="20"/>
                <w:szCs w:val="20"/>
                <w:color w:val="auto"/>
              </w:rPr>
            </w:pPr>
            <w:r>
              <w:rPr>
                <w:rFonts w:ascii="Courier New" w:cs="Courier New" w:eastAsia="Courier New" w:hAnsi="Courier New"/>
                <w:sz w:val="14"/>
                <w:szCs w:val="14"/>
                <w:color w:val="auto"/>
              </w:rPr>
              <w:t>(title)</w:t>
            </w:r>
          </w:p>
        </w:tc>
        <w:tc>
          <w:tcPr>
            <w:tcW w:w="18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(address)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680" w:type="dxa"/>
            <w:vAlign w:val="bottom"/>
            <w:vMerge w:val="restart"/>
          </w:tcPr>
          <w:p>
            <w:pPr>
              <w:spacing w:after="0"/>
              <w:rPr>
                <w:sz w:val="20"/>
                <w:szCs w:val="20"/>
                <w:color w:val="auto"/>
              </w:rPr>
            </w:pPr>
            <w:r>
              <w:rPr>
                <w:rFonts w:ascii="Courier New" w:cs="Courier New" w:eastAsia="Courier New" w:hAnsi="Courier New"/>
                <w:sz w:val="14"/>
                <w:szCs w:val="14"/>
                <w:color w:val="auto"/>
              </w:rPr>
              <w:t>Directors</w:t>
            </w:r>
          </w:p>
        </w:tc>
        <w:tc>
          <w:tcPr>
            <w:tcW w:w="48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680" w:type="dxa"/>
            <w:vAlign w:val="bottom"/>
            <w:vMerge w:val="continue"/>
          </w:tcPr>
          <w:p>
            <w:pPr>
              <w:spacing w:after="0"/>
              <w:rPr>
                <w:sz w:val="7"/>
                <w:szCs w:val="7"/>
                <w:color w:val="auto"/>
              </w:rPr>
            </w:pPr>
          </w:p>
        </w:tc>
        <w:tc>
          <w:tcPr>
            <w:tcW w:w="48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680" w:type="dxa"/>
            <w:vAlign w:val="bottom"/>
          </w:tcPr>
          <w:p>
            <w:pPr>
              <w:spacing w:after="0"/>
              <w:rPr>
                <w:sz w:val="20"/>
                <w:szCs w:val="20"/>
                <w:color w:val="auto"/>
              </w:rPr>
            </w:pPr>
            <w:r>
              <w:rPr>
                <w:rFonts w:ascii="Courier New" w:cs="Courier New" w:eastAsia="Courier New" w:hAnsi="Courier New"/>
                <w:sz w:val="14"/>
                <w:szCs w:val="14"/>
                <w:color w:val="auto"/>
              </w:rPr>
              <w:t>Dr. Eli Harari</w:t>
            </w: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President, Chief Executive Officer and</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 SanDisk Corporation</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Director</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140 Caspian Court</w:t>
            </w: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Sunnyvale, CA</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94089</w:t>
            </w:r>
          </w:p>
        </w:tc>
        <w:tc>
          <w:tcPr>
            <w:tcW w:w="0" w:type="dxa"/>
            <w:vAlign w:val="bottom"/>
          </w:tcPr>
          <w:p>
            <w:pPr>
              <w:spacing w:after="0"/>
              <w:rPr>
                <w:sz w:val="1"/>
                <w:szCs w:val="1"/>
                <w:color w:val="auto"/>
              </w:rPr>
            </w:pPr>
          </w:p>
        </w:tc>
      </w:tr>
      <w:tr>
        <w:trPr>
          <w:trHeight w:val="255"/>
        </w:trPr>
        <w:tc>
          <w:tcPr>
            <w:tcW w:w="1680" w:type="dxa"/>
            <w:vAlign w:val="bottom"/>
          </w:tcPr>
          <w:p>
            <w:pPr>
              <w:spacing w:after="0"/>
              <w:rPr>
                <w:sz w:val="20"/>
                <w:szCs w:val="20"/>
                <w:color w:val="auto"/>
              </w:rPr>
            </w:pPr>
            <w:r>
              <w:rPr>
                <w:rFonts w:ascii="Courier New" w:cs="Courier New" w:eastAsia="Courier New" w:hAnsi="Courier New"/>
                <w:sz w:val="14"/>
                <w:szCs w:val="14"/>
                <w:color w:val="auto"/>
              </w:rPr>
              <w:t>Michael Gray</w:t>
            </w: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Chief Financial Officer, Senior Vice</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 SanDisk Corporation</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President, Finance and Administration</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140 Caspian Court</w:t>
            </w: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Sunnyvale, CA</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94089</w:t>
            </w:r>
          </w:p>
        </w:tc>
        <w:tc>
          <w:tcPr>
            <w:tcW w:w="0" w:type="dxa"/>
            <w:vAlign w:val="bottom"/>
          </w:tcPr>
          <w:p>
            <w:pPr>
              <w:spacing w:after="0"/>
              <w:rPr>
                <w:sz w:val="1"/>
                <w:szCs w:val="1"/>
                <w:color w:val="auto"/>
              </w:rPr>
            </w:pPr>
          </w:p>
        </w:tc>
      </w:tr>
      <w:tr>
        <w:trPr>
          <w:trHeight w:val="255"/>
        </w:trPr>
        <w:tc>
          <w:tcPr>
            <w:tcW w:w="1680" w:type="dxa"/>
            <w:vAlign w:val="bottom"/>
          </w:tcPr>
          <w:p>
            <w:pPr>
              <w:spacing w:after="0"/>
              <w:rPr>
                <w:sz w:val="20"/>
                <w:szCs w:val="20"/>
                <w:color w:val="auto"/>
              </w:rPr>
            </w:pPr>
            <w:r>
              <w:rPr>
                <w:rFonts w:ascii="Courier New" w:cs="Courier New" w:eastAsia="Courier New" w:hAnsi="Courier New"/>
                <w:sz w:val="14"/>
                <w:szCs w:val="14"/>
                <w:color w:val="auto"/>
              </w:rPr>
              <w:t>Sanjay Mehrotra</w:t>
            </w: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Chief Operating Officer,</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 SanDisk Corporation</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General Manager OEM</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140 Caspian Court</w:t>
            </w: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Business Unit</w:t>
            </w: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Sunnyvale, CA</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94089</w:t>
            </w:r>
          </w:p>
        </w:tc>
        <w:tc>
          <w:tcPr>
            <w:tcW w:w="0" w:type="dxa"/>
            <w:vAlign w:val="bottom"/>
          </w:tcPr>
          <w:p>
            <w:pPr>
              <w:spacing w:after="0"/>
              <w:rPr>
                <w:sz w:val="1"/>
                <w:szCs w:val="1"/>
                <w:color w:val="auto"/>
              </w:rPr>
            </w:pPr>
          </w:p>
        </w:tc>
      </w:tr>
      <w:tr>
        <w:trPr>
          <w:trHeight w:val="255"/>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Nelson Chan</w:t>
            </w: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Senior Vice President,</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 SanDisk Corporation</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General Manager</w:t>
            </w:r>
          </w:p>
        </w:tc>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140 Caspian Court</w:t>
            </w: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4880" w:type="dxa"/>
            <w:vAlign w:val="bottom"/>
          </w:tcPr>
          <w:p>
            <w:pPr>
              <w:ind w:left="1520"/>
              <w:spacing w:after="0"/>
              <w:rPr>
                <w:sz w:val="20"/>
                <w:szCs w:val="20"/>
                <w:color w:val="auto"/>
              </w:rPr>
            </w:pPr>
            <w:r>
              <w:rPr>
                <w:rFonts w:ascii="Courier New" w:cs="Courier New" w:eastAsia="Courier New" w:hAnsi="Courier New"/>
                <w:sz w:val="14"/>
                <w:szCs w:val="14"/>
                <w:color w:val="auto"/>
              </w:rPr>
              <w:t>Retail Business Unit</w:t>
            </w: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Sunnyvale, CA</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94089</w:t>
            </w:r>
          </w:p>
        </w:tc>
        <w:tc>
          <w:tcPr>
            <w:tcW w:w="0" w:type="dxa"/>
            <w:vAlign w:val="bottom"/>
          </w:tcPr>
          <w:p>
            <w:pPr>
              <w:spacing w:after="0"/>
              <w:rPr>
                <w:sz w:val="1"/>
                <w:szCs w:val="1"/>
                <w:color w:val="auto"/>
              </w:rPr>
            </w:pPr>
          </w:p>
        </w:tc>
      </w:tr>
      <w:tr>
        <w:trPr>
          <w:trHeight w:val="828"/>
        </w:trPr>
        <w:tc>
          <w:tcPr>
            <w:tcW w:w="1680" w:type="dxa"/>
            <w:vAlign w:val="bottom"/>
          </w:tcPr>
          <w:p>
            <w:pPr>
              <w:spacing w:after="0"/>
              <w:rPr>
                <w:sz w:val="24"/>
                <w:szCs w:val="24"/>
                <w:color w:val="auto"/>
              </w:rPr>
            </w:pPr>
          </w:p>
        </w:tc>
        <w:tc>
          <w:tcPr>
            <w:tcW w:w="4880" w:type="dxa"/>
            <w:vAlign w:val="bottom"/>
          </w:tcPr>
          <w:p>
            <w:pPr>
              <w:jc w:val="center"/>
              <w:ind w:right="1268"/>
              <w:spacing w:after="0"/>
              <w:rPr>
                <w:sz w:val="20"/>
                <w:szCs w:val="20"/>
                <w:color w:val="auto"/>
              </w:rPr>
            </w:pPr>
            <w:r>
              <w:rPr>
                <w:rFonts w:ascii="Courier New" w:cs="Courier New" w:eastAsia="Courier New" w:hAnsi="Courier New"/>
                <w:sz w:val="14"/>
                <w:szCs w:val="14"/>
                <w:color w:val="auto"/>
              </w:rPr>
              <w:t>34</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5" w:right="1440"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20" w:type="dxa"/>
            <w:vAlign w:val="bottom"/>
            <w:gridSpan w:val="2"/>
          </w:tcPr>
          <w:p>
            <w:pPr>
              <w:spacing w:after="0"/>
              <w:rPr>
                <w:sz w:val="20"/>
                <w:szCs w:val="20"/>
                <w:color w:val="auto"/>
              </w:rPr>
            </w:pPr>
            <w:r>
              <w:rPr>
                <w:rFonts w:ascii="Courier New" w:cs="Courier New" w:eastAsia="Courier New" w:hAnsi="Courier New"/>
                <w:sz w:val="14"/>
                <w:szCs w:val="14"/>
                <w:color w:val="auto"/>
              </w:rPr>
              <w:t>Outside Directors of SanDisk Corporation:</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1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Park, CA</w:t>
            </w: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0"/>
                <w:szCs w:val="20"/>
                <w:color w:val="auto"/>
              </w:rPr>
            </w:pPr>
            <w:r>
              <w:rPr>
                <w:rFonts w:ascii="Courier New" w:cs="Courier New" w:eastAsia="Courier New" w:hAnsi="Courier New"/>
                <w:sz w:val="14"/>
                <w:szCs w:val="14"/>
                <w:color w:val="auto"/>
              </w:rPr>
              <w:t>Irwin Federman</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General Partner, U.S. Venture Partners, Menlo</w:t>
            </w:r>
          </w:p>
        </w:tc>
        <w:tc>
          <w:tcPr>
            <w:tcW w:w="11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V. Campbell</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Entrepreneur, Mountain View, CA</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Judy Bruner</w:t>
            </w:r>
          </w:p>
        </w:tc>
        <w:tc>
          <w:tcPr>
            <w:tcW w:w="844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Senior Vice President and Chief Financial Officer, Palm Inc., Santa Clara, CA</w:t>
            </w: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Dr. James D. Meindl</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Professor, Georgia Institute of Technology in</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Atlanta, GA</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Alan F. Shugart</w:t>
            </w:r>
          </w:p>
        </w:tc>
        <w:tc>
          <w:tcPr>
            <w:tcW w:w="844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President, Chairman and Chief Executive Officer, Al Shugart International, Santa Cruz, CA</w:t>
            </w:r>
          </w:p>
        </w:tc>
        <w:tc>
          <w:tcPr>
            <w:tcW w:w="0" w:type="dxa"/>
            <w:vAlign w:val="bottom"/>
          </w:tcPr>
          <w:p>
            <w:pPr>
              <w:spacing w:after="0"/>
              <w:rPr>
                <w:sz w:val="1"/>
                <w:szCs w:val="1"/>
                <w:color w:val="auto"/>
              </w:rPr>
            </w:pPr>
          </w:p>
        </w:tc>
      </w:tr>
      <w:tr>
        <w:trPr>
          <w:trHeight w:val="421"/>
        </w:trPr>
        <w:tc>
          <w:tcPr>
            <w:tcW w:w="712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Officers of Alliance Semiconductor Corporation:</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1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(title)</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(address)</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0"/>
                <w:szCs w:val="20"/>
                <w:color w:val="auto"/>
              </w:rPr>
            </w:pPr>
            <w:r>
              <w:rPr>
                <w:rFonts w:ascii="Courier New" w:cs="Courier New" w:eastAsia="Courier New" w:hAnsi="Courier New"/>
                <w:sz w:val="14"/>
                <w:szCs w:val="14"/>
                <w:color w:val="auto"/>
              </w:rPr>
              <w:t>N. Damodar Reddy</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Chairman, President and Chief</w:t>
            </w:r>
          </w:p>
        </w:tc>
        <w:tc>
          <w:tcPr>
            <w:tcW w:w="1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c/o Alliance</w:t>
            </w:r>
          </w:p>
        </w:tc>
        <w:tc>
          <w:tcPr>
            <w:tcW w:w="262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Semiconductor</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Executive Officer</w:t>
            </w:r>
          </w:p>
        </w:tc>
        <w:tc>
          <w:tcPr>
            <w:tcW w:w="1120" w:type="dxa"/>
            <w:vAlign w:val="bottom"/>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2575 Augustine Drive</w:t>
            </w:r>
          </w:p>
        </w:tc>
        <w:tc>
          <w:tcPr>
            <w:tcW w:w="0" w:type="dxa"/>
            <w:vAlign w:val="bottom"/>
          </w:tcPr>
          <w:p>
            <w:pPr>
              <w:spacing w:after="0"/>
              <w:rPr>
                <w:sz w:val="1"/>
                <w:szCs w:val="1"/>
                <w:color w:val="auto"/>
              </w:rPr>
            </w:pPr>
          </w:p>
        </w:tc>
      </w:tr>
      <w:tr>
        <w:trPr>
          <w:trHeight w:val="242"/>
        </w:trPr>
        <w:tc>
          <w:tcPr>
            <w:tcW w:w="2420" w:type="dxa"/>
            <w:vAlign w:val="bottom"/>
            <w:vMerge w:val="restart"/>
          </w:tcPr>
          <w:p>
            <w:pPr>
              <w:spacing w:after="0"/>
              <w:rPr>
                <w:sz w:val="20"/>
                <w:szCs w:val="20"/>
                <w:color w:val="auto"/>
              </w:rPr>
            </w:pPr>
            <w:r>
              <w:rPr>
                <w:rFonts w:ascii="Courier New" w:cs="Courier New" w:eastAsia="Courier New" w:hAnsi="Courier New"/>
                <w:sz w:val="14"/>
                <w:szCs w:val="14"/>
                <w:color w:val="auto"/>
              </w:rPr>
              <w:t>C.N. Reddy</w:t>
            </w:r>
          </w:p>
        </w:tc>
        <w:tc>
          <w:tcPr>
            <w:tcW w:w="470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Executive Vice President,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Santa Clara,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3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95054</w:t>
            </w:r>
          </w:p>
        </w:tc>
        <w:tc>
          <w:tcPr>
            <w:tcW w:w="0" w:type="dxa"/>
            <w:vAlign w:val="bottom"/>
          </w:tcPr>
          <w:p>
            <w:pPr>
              <w:spacing w:after="0"/>
              <w:rPr>
                <w:sz w:val="1"/>
                <w:szCs w:val="1"/>
                <w:color w:val="auto"/>
              </w:rPr>
            </w:pPr>
          </w:p>
        </w:tc>
      </w:tr>
      <w:tr>
        <w:trPr>
          <w:trHeight w:val="90"/>
        </w:trPr>
        <w:tc>
          <w:tcPr>
            <w:tcW w:w="2420" w:type="dxa"/>
            <w:vAlign w:val="bottom"/>
            <w:vMerge w:val="continue"/>
          </w:tcPr>
          <w:p>
            <w:pPr>
              <w:spacing w:after="0"/>
              <w:rPr>
                <w:sz w:val="7"/>
                <w:szCs w:val="7"/>
                <w:color w:val="auto"/>
              </w:rPr>
            </w:pPr>
          </w:p>
        </w:tc>
        <w:tc>
          <w:tcPr>
            <w:tcW w:w="4700" w:type="dxa"/>
            <w:vAlign w:val="bottom"/>
            <w:vMerge w:val="continue"/>
          </w:tcPr>
          <w:p>
            <w:pPr>
              <w:spacing w:after="0"/>
              <w:rPr>
                <w:sz w:val="7"/>
                <w:szCs w:val="7"/>
                <w:color w:val="auto"/>
              </w:rPr>
            </w:pPr>
          </w:p>
        </w:tc>
        <w:tc>
          <w:tcPr>
            <w:tcW w:w="1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c/o Alliance</w:t>
            </w:r>
          </w:p>
        </w:tc>
        <w:tc>
          <w:tcPr>
            <w:tcW w:w="262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Semiconductor</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Chief Operating Officer</w:t>
            </w:r>
          </w:p>
        </w:tc>
        <w:tc>
          <w:tcPr>
            <w:tcW w:w="1120" w:type="dxa"/>
            <w:vAlign w:val="bottom"/>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Director and Secretary</w:t>
            </w: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2575 Augustine Drive</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Santa Clara,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3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95054</w:t>
            </w: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0"/>
                <w:szCs w:val="20"/>
                <w:color w:val="auto"/>
              </w:rPr>
            </w:pPr>
            <w:r>
              <w:rPr>
                <w:rFonts w:ascii="Courier New" w:cs="Courier New" w:eastAsia="Courier New" w:hAnsi="Courier New"/>
                <w:sz w:val="14"/>
                <w:szCs w:val="14"/>
                <w:color w:val="auto"/>
              </w:rPr>
              <w:t>Ron Shelton</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Vice President, Finance and Administration</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 Alliance</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Semiconductor</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and Chief Financial Officer</w:t>
            </w: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2575 Augustine Drive</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Santa Clara,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3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95054</w:t>
            </w: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0"/>
                <w:szCs w:val="20"/>
                <w:color w:val="auto"/>
              </w:rPr>
            </w:pPr>
            <w:r>
              <w:rPr>
                <w:rFonts w:ascii="Courier New" w:cs="Courier New" w:eastAsia="Courier New" w:hAnsi="Courier New"/>
                <w:sz w:val="14"/>
                <w:szCs w:val="14"/>
                <w:color w:val="auto"/>
              </w:rPr>
              <w:t>Bradley Perkins</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Vice President and General Counsel</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 Alliance</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Semiconductor</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2575 Augustine Drive</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Santa Clara,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3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95054</w:t>
            </w: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0"/>
                <w:szCs w:val="20"/>
                <w:color w:val="auto"/>
              </w:rPr>
            </w:pPr>
            <w:r>
              <w:rPr>
                <w:rFonts w:ascii="Courier New" w:cs="Courier New" w:eastAsia="Courier New" w:hAnsi="Courier New"/>
                <w:sz w:val="14"/>
                <w:szCs w:val="14"/>
                <w:color w:val="auto"/>
              </w:rPr>
              <w:t>Ritu Shrivastava</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Vice President, Technology Department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 Alliance</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Semiconductor</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2575 Augustine Drive</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Santa Clara,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3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95054</w:t>
            </w: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0"/>
                <w:szCs w:val="20"/>
                <w:color w:val="auto"/>
              </w:rPr>
            </w:pPr>
            <w:r>
              <w:rPr>
                <w:rFonts w:ascii="Courier New" w:cs="Courier New" w:eastAsia="Courier New" w:hAnsi="Courier New"/>
                <w:sz w:val="14"/>
                <w:szCs w:val="14"/>
                <w:color w:val="auto"/>
              </w:rPr>
              <w:t>Juan Benitez</w:t>
            </w: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Chief Executive Officer and President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 Alliance</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Semiconductor</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Enterprise Development</w:t>
            </w: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2575 Augustine Drive</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Santa Clara,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3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95054</w:t>
            </w:r>
          </w:p>
        </w:tc>
        <w:tc>
          <w:tcPr>
            <w:tcW w:w="0" w:type="dxa"/>
            <w:vAlign w:val="bottom"/>
          </w:tcPr>
          <w:p>
            <w:pPr>
              <w:spacing w:after="0"/>
              <w:rPr>
                <w:sz w:val="1"/>
                <w:szCs w:val="1"/>
                <w:color w:val="auto"/>
              </w:rPr>
            </w:pPr>
          </w:p>
        </w:tc>
      </w:tr>
      <w:tr>
        <w:trPr>
          <w:trHeight w:val="828"/>
        </w:trPr>
        <w:tc>
          <w:tcPr>
            <w:tcW w:w="2420" w:type="dxa"/>
            <w:vAlign w:val="bottom"/>
          </w:tcPr>
          <w:p>
            <w:pPr>
              <w:spacing w:after="0"/>
              <w:rPr>
                <w:sz w:val="24"/>
                <w:szCs w:val="24"/>
                <w:color w:val="auto"/>
              </w:rPr>
            </w:pPr>
          </w:p>
        </w:tc>
        <w:tc>
          <w:tcPr>
            <w:tcW w:w="4700" w:type="dxa"/>
            <w:vAlign w:val="bottom"/>
          </w:tcPr>
          <w:p>
            <w:pPr>
              <w:ind w:left="940"/>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20" w:top="425" w:right="81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Outside Directors of Alliance Semiconductor Corporation:</w:t>
            </w:r>
          </w:p>
        </w:tc>
        <w:tc>
          <w:tcPr>
            <w:tcW w:w="2800" w:type="dxa"/>
            <w:vAlign w:val="bottom"/>
          </w:tcPr>
          <w:p>
            <w:pPr>
              <w:spacing w:after="0"/>
              <w:rPr>
                <w:sz w:val="14"/>
                <w:szCs w:val="14"/>
                <w:color w:val="auto"/>
              </w:rPr>
            </w:pP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00" w:type="dxa"/>
            <w:vAlign w:val="bottom"/>
          </w:tcPr>
          <w:p>
            <w:pPr>
              <w:spacing w:after="0"/>
              <w:rPr>
                <w:sz w:val="14"/>
                <w:szCs w:val="14"/>
                <w:color w:val="auto"/>
              </w:rPr>
            </w:pPr>
          </w:p>
        </w:tc>
      </w:t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John B. Minnis</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President, Milpitas Materials Company, CA</w:t>
            </w:r>
          </w:p>
        </w:tc>
        <w:tc>
          <w:tcPr>
            <w:tcW w:w="2800" w:type="dxa"/>
            <w:vAlign w:val="bottom"/>
          </w:tcPr>
          <w:p>
            <w:pPr>
              <w:spacing w:after="0"/>
              <w:rPr>
                <w:sz w:val="21"/>
                <w:szCs w:val="21"/>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Sanford L. Kane</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President, Kane Concepts Incorporated, CA</w:t>
            </w:r>
          </w:p>
        </w:tc>
        <w:tc>
          <w:tcPr>
            <w:tcW w:w="2800" w:type="dxa"/>
            <w:vAlign w:val="bottom"/>
          </w:tcPr>
          <w:p>
            <w:pPr>
              <w:spacing w:after="0"/>
              <w:rPr>
                <w:sz w:val="24"/>
                <w:szCs w:val="24"/>
                <w:color w:val="auto"/>
              </w:rPr>
            </w:pPr>
          </w:p>
        </w:tc>
      </w:tr>
      <w:tr>
        <w:trPr>
          <w:trHeight w:val="421"/>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Officers of Macronix International Co., Ltd.</w:t>
            </w:r>
          </w:p>
        </w:tc>
        <w:tc>
          <w:tcPr>
            <w:tcW w:w="2800" w:type="dxa"/>
            <w:vAlign w:val="bottom"/>
          </w:tcPr>
          <w:p>
            <w:pPr>
              <w:spacing w:after="0"/>
              <w:rPr>
                <w:sz w:val="24"/>
                <w:szCs w:val="24"/>
                <w:color w:val="auto"/>
              </w:rPr>
            </w:pPr>
          </w:p>
        </w:tc>
      </w:tr>
      <w:tr>
        <w:trPr>
          <w:trHeight w:val="242"/>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00" w:type="dxa"/>
            <w:vAlign w:val="bottom"/>
          </w:tcPr>
          <w:p>
            <w:pPr>
              <w:spacing w:after="0"/>
              <w:rPr>
                <w:sz w:val="21"/>
                <w:szCs w:val="21"/>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(title)</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(address)</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Ding-Hua Hu</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Executive Director and Chairman</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Block B, 12F, No. 138, Sec. 3,</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Minsheng E., Rd.,</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Sungshan Chiu,</w:t>
            </w:r>
          </w:p>
        </w:tc>
      </w:tr>
      <w:tr>
        <w:trPr>
          <w:trHeight w:val="242"/>
        </w:trPr>
        <w:tc>
          <w:tcPr>
            <w:tcW w:w="2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Taipei, Taiwan 105, R.O.C.</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Miin Wu</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President and Chief Executive Officer</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c/o Macronix International</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6F, No. 196, Sec 2,</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Cheng Kuo North Road,</w:t>
            </w:r>
          </w:p>
        </w:tc>
      </w:tr>
      <w:tr>
        <w:trPr>
          <w:trHeight w:val="242"/>
        </w:trPr>
        <w:tc>
          <w:tcPr>
            <w:tcW w:w="2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Taipei, Taiwan, R.O.C.</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Dang-Hsing Yiu</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Director and Chief Operating Officer</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c/o Macronix International</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No. 16, Li-Hsin Rd.,</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Science-Based Industrial Park,</w:t>
            </w:r>
          </w:p>
        </w:tc>
      </w:tr>
      <w:tr>
        <w:trPr>
          <w:trHeight w:val="242"/>
        </w:trPr>
        <w:tc>
          <w:tcPr>
            <w:tcW w:w="2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Hsinchu, Taiwan 300, R.O.C.</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Y.S. Tan</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Director and Vice President</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c/o Macronix International</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No. 16, Li-Hsin Rd.,</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Science-Based Industrial Park,</w:t>
            </w:r>
          </w:p>
        </w:tc>
      </w:tr>
      <w:tr>
        <w:trPr>
          <w:trHeight w:val="242"/>
        </w:trPr>
        <w:tc>
          <w:tcPr>
            <w:tcW w:w="2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Hsinchu, Taiwan 300, R.O.C.</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Raymond S. Mak</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Director and Vice President</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c/o Macronix International</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No. 16, Li-Hsin Rd.,</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Science-Based Industrial Park,</w:t>
            </w:r>
          </w:p>
        </w:tc>
      </w:tr>
      <w:tr>
        <w:trPr>
          <w:trHeight w:val="242"/>
        </w:trPr>
        <w:tc>
          <w:tcPr>
            <w:tcW w:w="2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Hsinchu, Taiwan 300, R.O.C.</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Ping Tien Wu</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Supervisor</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7F-1, No. 111, Sungjiang Rd.,</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Jungshan Chiu,</w:t>
            </w:r>
          </w:p>
        </w:tc>
      </w:tr>
      <w:tr>
        <w:trPr>
          <w:trHeight w:val="242"/>
        </w:trPr>
        <w:tc>
          <w:tcPr>
            <w:tcW w:w="2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Taipei, Taiwan 104, R.O.C.</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Cheng Yi Fang</w:t>
            </w:r>
          </w:p>
        </w:tc>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Supervisor</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6F, No. 145, Sec. 2,</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Jianguo N. Rd.,</w:t>
            </w:r>
          </w:p>
        </w:tc>
      </w:tr>
      <w:tr>
        <w:trPr>
          <w:trHeight w:val="166"/>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Jungshan Chiu,</w:t>
            </w:r>
          </w:p>
        </w:tc>
      </w:tr>
      <w:tr>
        <w:trPr>
          <w:trHeight w:val="242"/>
        </w:trPr>
        <w:tc>
          <w:tcPr>
            <w:tcW w:w="22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Taipei, Taiwan 104, R.O.C.</w:t>
            </w:r>
          </w:p>
        </w:tc>
      </w:tr>
      <w:tr>
        <w:trPr>
          <w:trHeight w:val="663"/>
        </w:trPr>
        <w:tc>
          <w:tcPr>
            <w:tcW w:w="2240" w:type="dxa"/>
            <w:vAlign w:val="bottom"/>
          </w:tcPr>
          <w:p>
            <w:pPr>
              <w:spacing w:after="0"/>
              <w:rPr>
                <w:sz w:val="24"/>
                <w:szCs w:val="24"/>
                <w:color w:val="auto"/>
              </w:rPr>
            </w:pPr>
          </w:p>
        </w:tc>
        <w:tc>
          <w:tcPr>
            <w:tcW w:w="4700" w:type="dxa"/>
            <w:vAlign w:val="bottom"/>
          </w:tcPr>
          <w:p>
            <w:pPr>
              <w:ind w:left="1120"/>
              <w:spacing w:after="0"/>
              <w:rPr>
                <w:sz w:val="20"/>
                <w:szCs w:val="20"/>
                <w:color w:val="auto"/>
              </w:rPr>
            </w:pPr>
            <w:r>
              <w:rPr>
                <w:rFonts w:ascii="Courier New" w:cs="Courier New" w:eastAsia="Courier New" w:hAnsi="Courier New"/>
                <w:sz w:val="14"/>
                <w:szCs w:val="14"/>
                <w:color w:val="auto"/>
              </w:rPr>
              <w:t>36</w:t>
            </w:r>
          </w:p>
        </w:tc>
        <w:tc>
          <w:tcPr>
            <w:tcW w:w="2800" w:type="dxa"/>
            <w:vAlign w:val="bottom"/>
          </w:tcPr>
          <w:p>
            <w:pPr>
              <w:spacing w:after="0"/>
              <w:rPr>
                <w:sz w:val="24"/>
                <w:szCs w:val="24"/>
                <w:color w:val="auto"/>
              </w:rPr>
            </w:pPr>
          </w:p>
        </w:tc>
      </w:tr>
    </w:tbl>
    <w:p>
      <w:pPr>
        <w:sectPr>
          <w:pgSz w:w="11900" w:h="16838" w:orient="portrait"/>
          <w:cols w:equalWidth="0" w:num="1">
            <w:col w:w="10239"/>
          </w:cols>
          <w:pgMar w:left="220" w:top="425"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Outside Directors of Macronix International Co., Ltd.: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H.C. Chen(1)</w:t>
            </w: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Executive Director</w:t>
            </w: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2F, No. 104, Chengdou Rd.,</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Wanhua Chiu,</w:t>
            </w:r>
          </w:p>
        </w:tc>
      </w:tr>
      <w:tr>
        <w:trPr>
          <w:trHeight w:val="242"/>
        </w:trPr>
        <w:tc>
          <w:tcPr>
            <w:tcW w:w="2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Taipei,Taiwan 108, R.O.C.</w:t>
            </w:r>
          </w:p>
        </w:tc>
      </w:tr>
      <w:tr>
        <w:trPr>
          <w:trHeight w:val="255"/>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 Cheng(2)</w:t>
            </w: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Director</w:t>
            </w: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No. 186, Rueiguang Rd.,</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Neihu Chiu,</w:t>
            </w:r>
          </w:p>
        </w:tc>
      </w:tr>
      <w:tr>
        <w:trPr>
          <w:trHeight w:val="242"/>
        </w:trPr>
        <w:tc>
          <w:tcPr>
            <w:tcW w:w="2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Taipei, Taiwan 114, R.O.C.</w:t>
            </w:r>
          </w:p>
        </w:tc>
      </w:tr>
      <w:tr>
        <w:trPr>
          <w:trHeight w:val="255"/>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Ing-Jiunn Hai(2)</w:t>
            </w: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Director</w:t>
            </w: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No. 186, Rueiguang Rd.,</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Neihu Chiu,</w:t>
            </w:r>
          </w:p>
        </w:tc>
      </w:tr>
      <w:tr>
        <w:trPr>
          <w:trHeight w:val="242"/>
        </w:trPr>
        <w:tc>
          <w:tcPr>
            <w:tcW w:w="2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Taipei, Taiwan 114, R.O.C.</w:t>
            </w:r>
          </w:p>
        </w:tc>
      </w:tr>
      <w:tr>
        <w:trPr>
          <w:trHeight w:val="255"/>
        </w:trPr>
        <w:tc>
          <w:tcPr>
            <w:tcW w:w="2300" w:type="dxa"/>
            <w:vAlign w:val="bottom"/>
          </w:tcPr>
          <w:p>
            <w:pPr>
              <w:spacing w:after="0"/>
              <w:rPr>
                <w:sz w:val="20"/>
                <w:szCs w:val="20"/>
                <w:color w:val="auto"/>
              </w:rPr>
            </w:pPr>
            <w:r>
              <w:rPr>
                <w:rFonts w:ascii="Courier New" w:cs="Courier New" w:eastAsia="Courier New" w:hAnsi="Courier New"/>
                <w:sz w:val="14"/>
                <w:szCs w:val="14"/>
                <w:color w:val="auto"/>
              </w:rPr>
              <w:t>Hong-Hui Chen(3)</w:t>
            </w: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Director</w:t>
            </w: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9F-5, No. 376, Sec. 4,</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Renai Rd., Daan Chiu,</w:t>
            </w:r>
          </w:p>
        </w:tc>
      </w:tr>
      <w:tr>
        <w:trPr>
          <w:trHeight w:val="242"/>
        </w:trPr>
        <w:tc>
          <w:tcPr>
            <w:tcW w:w="2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Taipei, Taiwan 106, R.O.C.</w:t>
            </w:r>
          </w:p>
        </w:tc>
      </w:tr>
      <w:tr>
        <w:trPr>
          <w:trHeight w:val="255"/>
        </w:trPr>
        <w:tc>
          <w:tcPr>
            <w:tcW w:w="2300" w:type="dxa"/>
            <w:vAlign w:val="bottom"/>
          </w:tcPr>
          <w:p>
            <w:pPr>
              <w:spacing w:after="0"/>
              <w:rPr>
                <w:sz w:val="20"/>
                <w:szCs w:val="20"/>
                <w:color w:val="auto"/>
              </w:rPr>
            </w:pPr>
            <w:r>
              <w:rPr>
                <w:rFonts w:ascii="Courier New" w:cs="Courier New" w:eastAsia="Courier New" w:hAnsi="Courier New"/>
                <w:sz w:val="14"/>
                <w:szCs w:val="14"/>
                <w:color w:val="auto"/>
              </w:rPr>
              <w:t>Fuja Shone</w:t>
            </w: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Director and Vice President</w:t>
            </w: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No. 16, Li-Hsin Rd.,</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Science-Based Industrial Park,</w:t>
            </w:r>
          </w:p>
        </w:tc>
      </w:tr>
      <w:tr>
        <w:trPr>
          <w:trHeight w:val="242"/>
        </w:trPr>
        <w:tc>
          <w:tcPr>
            <w:tcW w:w="2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Hsinchu, Taiwan 300, R.O.C.</w:t>
            </w:r>
          </w:p>
        </w:tc>
      </w:tr>
      <w:tr>
        <w:trPr>
          <w:trHeight w:val="255"/>
        </w:trPr>
        <w:tc>
          <w:tcPr>
            <w:tcW w:w="2300" w:type="dxa"/>
            <w:vAlign w:val="bottom"/>
          </w:tcPr>
          <w:p>
            <w:pPr>
              <w:spacing w:after="0"/>
              <w:rPr>
                <w:sz w:val="20"/>
                <w:szCs w:val="20"/>
                <w:color w:val="auto"/>
              </w:rPr>
            </w:pPr>
            <w:r>
              <w:rPr>
                <w:rFonts w:ascii="Courier New" w:cs="Courier New" w:eastAsia="Courier New" w:hAnsi="Courier New"/>
                <w:sz w:val="14"/>
                <w:szCs w:val="14"/>
                <w:color w:val="auto"/>
              </w:rPr>
              <w:t>Wen-Lung Lee(3)</w:t>
            </w: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Supervisor</w:t>
            </w: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10F, No. 112, Sec. 2,</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Jungshan N. Rd.,</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Jungshan Chiu,</w:t>
            </w:r>
          </w:p>
        </w:tc>
      </w:tr>
      <w:tr>
        <w:trPr>
          <w:trHeight w:val="242"/>
        </w:trPr>
        <w:tc>
          <w:tcPr>
            <w:tcW w:w="2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Taipei, Taiwan 104, R.O.C.</w:t>
            </w:r>
          </w:p>
        </w:tc>
      </w:tr>
      <w:tr>
        <w:trPr>
          <w:trHeight w:val="255"/>
        </w:trPr>
        <w:tc>
          <w:tcPr>
            <w:tcW w:w="2300" w:type="dxa"/>
            <w:vAlign w:val="bottom"/>
          </w:tcPr>
          <w:p>
            <w:pPr>
              <w:spacing w:after="0"/>
              <w:rPr>
                <w:sz w:val="20"/>
                <w:szCs w:val="20"/>
                <w:color w:val="auto"/>
              </w:rPr>
            </w:pPr>
            <w:r>
              <w:rPr>
                <w:rFonts w:ascii="Courier New" w:cs="Courier New" w:eastAsia="Courier New" w:hAnsi="Courier New"/>
                <w:sz w:val="14"/>
                <w:szCs w:val="14"/>
                <w:color w:val="auto"/>
              </w:rPr>
              <w:t>Roger Chu(2)</w:t>
            </w: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Supervisor</w:t>
            </w: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No. 186, Rueiguang Rd.,</w:t>
            </w:r>
          </w:p>
        </w:tc>
      </w:tr>
      <w:tr>
        <w:trPr>
          <w:trHeight w:val="166"/>
        </w:trPr>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Neihu Chiu,</w:t>
            </w:r>
          </w:p>
        </w:tc>
      </w:tr>
      <w:tr>
        <w:trPr>
          <w:trHeight w:val="242"/>
        </w:trPr>
        <w:tc>
          <w:tcPr>
            <w:tcW w:w="2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400" w:type="dxa"/>
            <w:vAlign w:val="bottom"/>
          </w:tcPr>
          <w:p>
            <w:pPr>
              <w:ind w:left="820"/>
              <w:spacing w:after="0"/>
              <w:rPr>
                <w:sz w:val="20"/>
                <w:szCs w:val="20"/>
                <w:color w:val="auto"/>
              </w:rPr>
            </w:pPr>
            <w:r>
              <w:rPr>
                <w:rFonts w:ascii="Courier New" w:cs="Courier New" w:eastAsia="Courier New" w:hAnsi="Courier New"/>
                <w:sz w:val="14"/>
                <w:szCs w:val="14"/>
                <w:color w:val="auto"/>
              </w:rPr>
              <w:t>Taipei, Taiwan 114, R.O.C.</w:t>
            </w:r>
          </w:p>
        </w:tc>
      </w:tr>
    </w:tbl>
    <w:p>
      <w:pPr>
        <w:spacing w:after="0" w:line="255" w:lineRule="exact"/>
        <w:rPr>
          <w:sz w:val="20"/>
          <w:szCs w:val="20"/>
          <w:color w:val="auto"/>
        </w:rPr>
      </w:pPr>
    </w:p>
    <w:p>
      <w:pPr>
        <w:ind w:left="860" w:hanging="421"/>
        <w:spacing w:after="0"/>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Nominee of Hung Chih Investment Corporation.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Nominee of Delta Electronics Ltd.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Nominee of PICVUE Electronics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25" w:right="1440" w:bottom="1440" w:gutter="0" w:footer="0" w:header="0"/>
        </w:sectPr>
      </w:pPr>
    </w:p>
    <w:bookmarkStart w:id="37" w:name="page38"/>
    <w:bookmarkEnd w:id="37"/>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425"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 No.</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1380" w:space="600"/>
            <w:col w:w="8259"/>
          </w:cols>
          <w:pgMar w:left="220" w:top="425" w:right="1440" w:bottom="1440" w:gutter="0" w:footer="0" w:header="0"/>
          <w:type w:val="continuous"/>
        </w:sectPr>
      </w:pPr>
    </w:p>
    <w:p>
      <w:pPr>
        <w:ind w:left="2080" w:right="3339" w:hanging="694"/>
        <w:spacing w:after="0" w:line="313"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Purchase Agreement, dated as of December 12, 2000, between Israel Corporation Ltd. and Tower Semiconductor Ltd.*</w:t>
      </w:r>
    </w:p>
    <w:p>
      <w:pPr>
        <w:spacing w:after="0" w:line="42" w:lineRule="exact"/>
        <w:rPr>
          <w:rFonts w:ascii="Courier New" w:cs="Courier New" w:eastAsia="Courier New" w:hAnsi="Courier New"/>
          <w:sz w:val="14"/>
          <w:szCs w:val="14"/>
          <w:color w:val="auto"/>
        </w:rPr>
      </w:pPr>
    </w:p>
    <w:p>
      <w:pPr>
        <w:ind w:left="2080" w:right="3519" w:hanging="694"/>
        <w:spacing w:after="0" w:line="313"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Purchase Obligation Agreement, dated as of December 12, 2000, between Israel Corporation Ltd. and Tower Semiconductor Ltd.*</w:t>
      </w:r>
    </w:p>
    <w:p>
      <w:pPr>
        <w:spacing w:after="0" w:line="42" w:lineRule="exact"/>
        <w:rPr>
          <w:rFonts w:ascii="Courier New" w:cs="Courier New" w:eastAsia="Courier New" w:hAnsi="Courier New"/>
          <w:sz w:val="14"/>
          <w:szCs w:val="14"/>
          <w:color w:val="auto"/>
        </w:rPr>
      </w:pPr>
    </w:p>
    <w:p>
      <w:pPr>
        <w:ind w:left="2080" w:right="3519" w:hanging="694"/>
        <w:spacing w:after="0" w:line="292"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Agreement, dated as of January 18, 2001, by and among Israel Corporation Ltd., SanDisk Corporation, Alliance Semiconductor Ltd., Macronix International Co., Ltd. and QuickLogic Corporation.*</w:t>
      </w:r>
    </w:p>
    <w:p>
      <w:pPr>
        <w:spacing w:after="0" w:line="56" w:lineRule="exact"/>
        <w:rPr>
          <w:rFonts w:ascii="Courier New" w:cs="Courier New" w:eastAsia="Courier New" w:hAnsi="Courier New"/>
          <w:sz w:val="14"/>
          <w:szCs w:val="14"/>
          <w:color w:val="auto"/>
        </w:rPr>
      </w:pPr>
    </w:p>
    <w:p>
      <w:pPr>
        <w:ind w:left="2080" w:right="3339" w:hanging="694"/>
        <w:spacing w:after="0" w:line="292"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Shareholders Agreement, dated as of January 18, 2001, by and among Israel Corporation Ltd., SanDisk Corporation, Alliance Semiconductor Ltd. and Macronix International Co., Ltd.*</w:t>
      </w:r>
    </w:p>
    <w:p>
      <w:pPr>
        <w:spacing w:after="0" w:line="56" w:lineRule="exact"/>
        <w:rPr>
          <w:rFonts w:ascii="Courier New" w:cs="Courier New" w:eastAsia="Courier New" w:hAnsi="Courier New"/>
          <w:sz w:val="14"/>
          <w:szCs w:val="14"/>
          <w:color w:val="auto"/>
        </w:rPr>
      </w:pPr>
    </w:p>
    <w:p>
      <w:pPr>
        <w:ind w:left="2080" w:right="3859" w:hanging="694"/>
        <w:spacing w:after="0" w:line="375"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Nomination Letter, dated January 25, 2001, between Zvi Ephrat and Israel Corporation Ltd.*</w:t>
      </w:r>
    </w:p>
    <w:p>
      <w:pPr>
        <w:spacing w:after="0" w:line="1" w:lineRule="exact"/>
        <w:rPr>
          <w:rFonts w:ascii="Courier New" w:cs="Courier New" w:eastAsia="Courier New" w:hAnsi="Courier New"/>
          <w:sz w:val="14"/>
          <w:szCs w:val="14"/>
          <w:color w:val="auto"/>
        </w:rPr>
      </w:pPr>
    </w:p>
    <w:p>
      <w:pPr>
        <w:ind w:left="2080" w:right="3419" w:hanging="694"/>
        <w:spacing w:after="0" w:line="313"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Payment Schedules of Series A-3 and Series A-4 Additional Purchase Obligations, dated March 26, 2002.</w:t>
      </w:r>
    </w:p>
    <w:p>
      <w:pPr>
        <w:spacing w:after="0" w:line="42" w:lineRule="exact"/>
        <w:rPr>
          <w:rFonts w:ascii="Courier New" w:cs="Courier New" w:eastAsia="Courier New" w:hAnsi="Courier New"/>
          <w:sz w:val="14"/>
          <w:szCs w:val="14"/>
          <w:color w:val="auto"/>
        </w:rPr>
      </w:pPr>
    </w:p>
    <w:p>
      <w:pPr>
        <w:ind w:left="2080" w:right="3419" w:hanging="694"/>
        <w:spacing w:after="0" w:line="282"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dated July 23, 2002, regarding Participation in Rights Offering, executed by Israel Corporation Technologies (ICTech) Ltd., SanDisk Corporation, Alliance Semiconductor Corporation and Macronix (BVI) Co., Ltd.</w:t>
      </w:r>
    </w:p>
    <w:p>
      <w:pPr>
        <w:spacing w:after="0" w:line="62" w:lineRule="exact"/>
        <w:rPr>
          <w:rFonts w:ascii="Courier New" w:cs="Courier New" w:eastAsia="Courier New" w:hAnsi="Courier New"/>
          <w:sz w:val="14"/>
          <w:szCs w:val="14"/>
          <w:color w:val="auto"/>
        </w:rPr>
      </w:pPr>
    </w:p>
    <w:p>
      <w:pPr>
        <w:ind w:left="2080" w:right="4719" w:hanging="694"/>
        <w:spacing w:after="0" w:line="375" w:lineRule="auto"/>
        <w:tabs>
          <w:tab w:leader="none" w:pos="20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Filing Agreement, dated January 9, 2003.</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25" w:right="1440" w:bottom="1440" w:gutter="0" w:footer="0" w:header="0"/>
          <w:type w:val="continuous"/>
        </w:sectPr>
      </w:pPr>
    </w:p>
    <w:bookmarkStart w:id="38" w:name="page39"/>
    <w:bookmarkEnd w:id="38"/>
    <w:p>
      <w:pPr>
        <w:spacing w:after="0" w:line="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6</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Date: March 26, 2002</w:t>
      </w:r>
    </w:p>
    <w:p>
      <w:pPr>
        <w:sectPr>
          <w:pgSz w:w="11900" w:h="16877" w:orient="portrait"/>
          <w:cols w:equalWidth="0" w:num="1">
            <w:col w:w="10239"/>
          </w:cols>
          <w:pgMar w:left="220" w:top="115" w:right="1440"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Ltd.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Migdal Haemek 23105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Fax:</w:t>
        <w:tab/>
        <w:t>+972-4-654-7788</w:t>
      </w:r>
    </w:p>
    <w:p>
      <w:pPr>
        <w:spacing w:after="0" w:line="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Attention:</w:t>
        <w:tab/>
        <w:t>Co-Chief Executive Officer</w:t>
      </w:r>
    </w:p>
    <w:p>
      <w:pPr>
        <w:spacing w:after="0" w:line="147" w:lineRule="exact"/>
        <w:rPr>
          <w:sz w:val="20"/>
          <w:szCs w:val="20"/>
          <w:color w:val="auto"/>
        </w:rPr>
      </w:pPr>
    </w:p>
    <w:p>
      <w:pPr>
        <w:sectPr>
          <w:pgSz w:w="11900" w:h="16877" w:orient="portrait"/>
          <w:cols w:equalWidth="0" w:num="2">
            <w:col w:w="260" w:space="700"/>
            <w:col w:w="9279"/>
          </w:cols>
          <w:pgMar w:left="220" w:top="115" w:right="1440" w:bottom="0" w:gutter="0" w:footer="0" w:header="0"/>
          <w:type w:val="continuous"/>
        </w:sectPr>
      </w:pPr>
    </w:p>
    <w:p>
      <w:pPr>
        <w:ind w:left="960" w:right="7739" w:hanging="952"/>
        <w:spacing w:after="0" w:line="260" w:lineRule="auto"/>
        <w:tabs>
          <w:tab w:leader="none" w:pos="9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Yigal Arnon &amp; Co. One Azrieli Center Tel-Aviv 67021 Israel</w:t>
      </w:r>
    </w:p>
    <w:p>
      <w:pPr>
        <w:spacing w:after="0" w:line="1"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Fax:  +972-3-608-7714</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David H. Schapiro, Adv.</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 Amendment to Payment Schedule of Series A-3 and Series A-4 Additional</w:t>
      </w:r>
    </w:p>
    <w:p>
      <w:pPr>
        <w:spacing w:after="0" w:line="3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Purchase Obligations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3339" w:firstLine="947"/>
        <w:spacing w:after="0" w:line="292" w:lineRule="auto"/>
        <w:rPr>
          <w:sz w:val="20"/>
          <w:szCs w:val="20"/>
          <w:color w:val="auto"/>
        </w:rPr>
      </w:pPr>
      <w:r>
        <w:rPr>
          <w:rFonts w:ascii="Courier New" w:cs="Courier New" w:eastAsia="Courier New" w:hAnsi="Courier New"/>
          <w:sz w:val="14"/>
          <w:szCs w:val="14"/>
          <w:color w:val="auto"/>
        </w:rPr>
        <w:t>With regard to the undersigned's obligation to exercise the Series A-3 and Series A-4 Additional Purchase Obligations, as provided for in its Fab 2 Investment Agreements, all capitalized terms as defined therein, the undersigned hereby agrees that its agreements shall be amended as follows:</w:t>
      </w:r>
    </w:p>
    <w:p>
      <w:pPr>
        <w:spacing w:after="0" w:line="5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Wafer Partner and Equity Partner Undertaking.</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undersigned hereby confirms that in accordance with the</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terms set forth hereunder, it will advance the payment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entire Series A-3 Additional Purchase Obligation by no</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later than April 5, 2002 or 2 business days following</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shareholder approval of this Amendment, without regard to</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whether the Series A-3 Mandatory Exercise Events occurs,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and it will advance the payment of the entire Series A-4</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Additional Purchase Obligation by no later than October 1,</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2002, without regard to whether the Series A-4 Mandatory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Exercise Events occurs.</w:t>
      </w:r>
    </w:p>
    <w:p>
      <w:pPr>
        <w:spacing w:after="0" w:line="14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Wafer Partner.</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consideration of its undertaking to advance the Series</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A-3 Additional Purchase Obligation, by no later than April</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5, 2002 or 2 business day following shareholder approval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this Amendment without regard to whether the Series A-3</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Mandatory Exercise Events occurs, and to advance the Series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A-4 Additional Purchase Obligation, by no later than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October 1, 2002, without regard to whether the Series A-4</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Mandatory Exercise Events occurs, following each payment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advance, (i) the undersigned will be issued fully-paid and</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pacing w:after="0" w:line="316"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non-assessable ordinary shares of Tower equivalent to sixty</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percent of the amount of the payment made in connection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with the Series A-3 Additional Purchase Obligation and the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Series A-4 Additional Purchase Obligation, divided by the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average trading price for the ordinary shares during the 30</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consecutive trading days preceding the date of actual</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payment, provided that such average trading price will not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exceed $12.50, and (ii) the undersigned's Pre-Paid Credit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Accounts will be increased by the amount equivalent to</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forty percent of the amount of the payment made in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connection with the Series A-3 Additional Purchase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Obligation and the Series A-4 Additional Purchase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Obligation, which will be applicable against Fab 2</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production purchases as soon as such production commences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at Fab 2, provided that until July 1, 2005 such amounts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that are added to the Pre-Paid Credit Account may be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applied towards only 7.5% of Fab 2 wafer purchases made by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undersigned.</w:t>
      </w:r>
    </w:p>
    <w:p>
      <w:pPr>
        <w:spacing w:after="0" w:line="14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Equity Partner.</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consideration of its undertaking to advance the Series</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A-3 Additional Purchase Obligation, by no later than April</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5, 2002 or 2 business days following shareholder approval</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of this Amendment without regard to whether the Series A-3</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Mandatory Exercise Events occurs, and to advance the Series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A-4 Additional Purchase Obligation, by no later than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October 1, 2002, without regard to whether the Series A-4</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Mandatory Exercise Events occurs, following each payment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advance, the undersigned will be issued fully-paid and</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non-assessable ordinary shares of Tower equivalent to the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amount of the payment made in connection with the Series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A-3 Additional Purchase Obligation and the Series A-4</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Additional Purchase Obligation, divided by the average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trading price for the ordinary shares during the 30</w:t>
      </w:r>
    </w:p>
    <w:p>
      <w:pPr>
        <w:sectPr>
          <w:pgSz w:w="11900" w:h="16877" w:orient="portrait"/>
          <w:cols w:equalWidth="0" w:num="1">
            <w:col w:w="10239"/>
          </w:cols>
          <w:pgMar w:left="220" w:top="115" w:right="1440" w:bottom="0" w:gutter="0" w:footer="0" w:header="0"/>
          <w:type w:val="continuous"/>
        </w:sectPr>
      </w:pPr>
    </w:p>
    <w:bookmarkStart w:id="39" w:name="page40"/>
    <w:bookmarkEnd w:id="39"/>
    <w:p>
      <w:pPr>
        <w:ind w:left="860" w:right="3419"/>
        <w:spacing w:after="0" w:line="313" w:lineRule="auto"/>
        <w:rPr>
          <w:sz w:val="20"/>
          <w:szCs w:val="20"/>
          <w:color w:val="auto"/>
        </w:rPr>
      </w:pPr>
      <w:r>
        <w:rPr>
          <w:rFonts w:ascii="Courier New" w:cs="Courier New" w:eastAsia="Courier New" w:hAnsi="Courier New"/>
          <w:sz w:val="14"/>
          <w:szCs w:val="14"/>
          <w:color w:val="auto"/>
        </w:rPr>
        <w:t>consecutive trading days preceding the date of actual payment, provided that such average trading price will not exceed $12.50.</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860" w:right="3599"/>
        <w:spacing w:after="0" w:line="376" w:lineRule="auto"/>
        <w:rPr>
          <w:sz w:val="20"/>
          <w:szCs w:val="20"/>
          <w:color w:val="auto"/>
        </w:rPr>
      </w:pPr>
      <w:r>
        <w:rPr>
          <w:rFonts w:ascii="Courier New" w:cs="Courier New" w:eastAsia="Courier New" w:hAnsi="Courier New"/>
          <w:sz w:val="14"/>
          <w:szCs w:val="14"/>
          <w:color w:val="auto"/>
        </w:rPr>
        <w:t>This Amendment is subject to shareholder and third party approvals, as may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279"/>
          </w:cols>
          <w:pgMar w:left="1180" w:top="11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Entire Agreement.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420" w:right="3859"/>
        <w:spacing w:after="0" w:line="376" w:lineRule="auto"/>
        <w:rPr>
          <w:sz w:val="20"/>
          <w:szCs w:val="20"/>
          <w:color w:val="auto"/>
        </w:rPr>
      </w:pPr>
      <w:r>
        <w:rPr>
          <w:rFonts w:ascii="Courier New" w:cs="Courier New" w:eastAsia="Courier New" w:hAnsi="Courier New"/>
          <w:sz w:val="14"/>
          <w:szCs w:val="14"/>
          <w:color w:val="auto"/>
        </w:rPr>
        <w:t>All other provisions of the undersigned's Fab 2 Investment Agreements shall remain unchanged.</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WAFER OR EQUITY PARTNER</w:t>
      </w:r>
    </w:p>
    <w:p>
      <w:pPr>
        <w:spacing w:after="0" w:line="147" w:lineRule="exact"/>
        <w:rPr>
          <w:sz w:val="20"/>
          <w:szCs w:val="20"/>
          <w:color w:val="auto"/>
        </w:rPr>
      </w:pPr>
    </w:p>
    <w:tbl>
      <w:tblPr>
        <w:tblLayout w:type="fixed"/>
        <w:tblInd w:w="1120" w:type="dxa"/>
        <w:tblCellMar>
          <w:top w:w="0" w:type="dxa"/>
          <w:left w:w="0" w:type="dxa"/>
          <w:bottom w:w="0" w:type="dxa"/>
          <w:right w:w="0" w:type="dxa"/>
        </w:tblCellMar>
      </w:tblPr>
      <w:tr>
        <w:trPr>
          <w:trHeight w:val="166"/>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Israel Corporation Technologies</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By:</w:t>
            </w:r>
          </w:p>
        </w:tc>
        <w:tc>
          <w:tcPr>
            <w:tcW w:w="26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(ICTech) Ltd.</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/s/AVISAR PAZ</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Title: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Avisar Paz</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Chief Financial Officer of</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Date: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Israel Corporation Ltd.</w:t>
            </w:r>
          </w:p>
        </w:tc>
        <w:tc>
          <w:tcPr>
            <w:tcW w:w="0" w:type="dxa"/>
            <w:vAlign w:val="bottom"/>
          </w:tcPr>
          <w:p>
            <w:pPr>
              <w:spacing w:after="0"/>
              <w:rPr>
                <w:sz w:val="1"/>
                <w:szCs w:val="1"/>
                <w:color w:val="auto"/>
              </w:rPr>
            </w:pPr>
          </w:p>
        </w:tc>
      </w:tr>
      <w:tr>
        <w:trPr>
          <w:trHeight w:val="242"/>
        </w:trPr>
        <w:tc>
          <w:tcPr>
            <w:tcW w:w="5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March 26, 2002</w:t>
            </w:r>
          </w:p>
        </w:tc>
        <w:tc>
          <w:tcPr>
            <w:tcW w:w="0" w:type="dxa"/>
            <w:vAlign w:val="bottom"/>
          </w:tcPr>
          <w:p>
            <w:pPr>
              <w:spacing w:after="0"/>
              <w:rPr>
                <w:sz w:val="1"/>
                <w:szCs w:val="1"/>
                <w:color w:val="auto"/>
              </w:rPr>
            </w:pPr>
          </w:p>
        </w:tc>
      </w:tr>
      <w:tr>
        <w:trPr>
          <w:trHeight w:val="255"/>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Israel Corporation Technologies</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By:</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(ICTech) Ltd.</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/s/YOSSI ROSEN</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Title: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Yossi Rosen</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Chief Executive Officer of</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Date: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Israel Corporation Ltd.</w:t>
            </w:r>
          </w:p>
        </w:tc>
        <w:tc>
          <w:tcPr>
            <w:tcW w:w="0" w:type="dxa"/>
            <w:vAlign w:val="bottom"/>
          </w:tcPr>
          <w:p>
            <w:pPr>
              <w:spacing w:after="0"/>
              <w:rPr>
                <w:sz w:val="1"/>
                <w:szCs w:val="1"/>
                <w:color w:val="auto"/>
              </w:rPr>
            </w:pPr>
          </w:p>
        </w:tc>
      </w:tr>
      <w:tr>
        <w:trPr>
          <w:trHeight w:val="242"/>
        </w:trPr>
        <w:tc>
          <w:tcPr>
            <w:tcW w:w="5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March 26, 2002</w:t>
            </w:r>
          </w:p>
        </w:tc>
        <w:tc>
          <w:tcPr>
            <w:tcW w:w="0" w:type="dxa"/>
            <w:vAlign w:val="bottom"/>
          </w:tcPr>
          <w:p>
            <w:pPr>
              <w:spacing w:after="0"/>
              <w:rPr>
                <w:sz w:val="1"/>
                <w:szCs w:val="1"/>
                <w:color w:val="auto"/>
              </w:rPr>
            </w:pPr>
          </w:p>
        </w:tc>
      </w:tr>
      <w:tr>
        <w:trPr>
          <w:trHeight w:val="255"/>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Macronix (BVI) Co. Ltd.</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 MIIN WU</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Title: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Miin Wu</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President</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March 22, 2002</w:t>
            </w:r>
          </w:p>
        </w:tc>
        <w:tc>
          <w:tcPr>
            <w:tcW w:w="0" w:type="dxa"/>
            <w:vAlign w:val="bottom"/>
          </w:tcPr>
          <w:p>
            <w:pPr>
              <w:spacing w:after="0"/>
              <w:rPr>
                <w:sz w:val="1"/>
                <w:szCs w:val="1"/>
                <w:color w:val="auto"/>
              </w:rPr>
            </w:pPr>
          </w:p>
        </w:tc>
      </w:tr>
      <w:tr>
        <w:trPr>
          <w:trHeight w:val="255"/>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Alliance Semiconductor Corporation</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 N.D. REDDY</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N.D. Reddy Title:President</w:t>
            </w:r>
          </w:p>
        </w:tc>
        <w:tc>
          <w:tcPr>
            <w:tcW w:w="0" w:type="dxa"/>
            <w:vAlign w:val="bottom"/>
          </w:tcPr>
          <w:p>
            <w:pPr>
              <w:spacing w:after="0"/>
              <w:rPr>
                <w:sz w:val="1"/>
                <w:szCs w:val="1"/>
                <w:color w:val="auto"/>
              </w:rPr>
            </w:pPr>
          </w:p>
        </w:tc>
      </w:tr>
      <w:tr>
        <w:trPr>
          <w:trHeight w:val="242"/>
        </w:trPr>
        <w:tc>
          <w:tcPr>
            <w:tcW w:w="4820" w:type="dxa"/>
            <w:vAlign w:val="bottom"/>
            <w:gridSpan w:val="3"/>
          </w:tcPr>
          <w:p>
            <w:pPr>
              <w:spacing w:after="0"/>
              <w:rPr>
                <w:sz w:val="20"/>
                <w:szCs w:val="20"/>
                <w:color w:val="auto"/>
              </w:rPr>
            </w:pPr>
            <w:r>
              <w:rPr>
                <w:rFonts w:ascii="Courier New" w:cs="Courier New" w:eastAsia="Courier New" w:hAnsi="Courier New"/>
                <w:sz w:val="14"/>
                <w:szCs w:val="14"/>
                <w:color w:val="auto"/>
              </w:rPr>
              <w:t>Date: March 19, 2002</w:t>
            </w:r>
          </w:p>
        </w:tc>
        <w:tc>
          <w:tcPr>
            <w:tcW w:w="0" w:type="dxa"/>
            <w:vAlign w:val="bottom"/>
          </w:tcPr>
          <w:p>
            <w:pPr>
              <w:spacing w:after="0"/>
              <w:rPr>
                <w:sz w:val="1"/>
                <w:szCs w:val="1"/>
                <w:color w:val="auto"/>
              </w:rPr>
            </w:pPr>
          </w:p>
        </w:tc>
      </w:tr>
      <w:tr>
        <w:trPr>
          <w:trHeight w:val="255"/>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Sandisk Corporation</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 ELI HARARI</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Title: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Eli Harari</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President and Chief Executive Officer</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March 20, 2002</w:t>
            </w:r>
          </w:p>
        </w:tc>
        <w:tc>
          <w:tcPr>
            <w:tcW w:w="0" w:type="dxa"/>
            <w:vAlign w:val="bottom"/>
          </w:tcPr>
          <w:p>
            <w:pPr>
              <w:spacing w:after="0"/>
              <w:rPr>
                <w:sz w:val="1"/>
                <w:szCs w:val="1"/>
                <w:color w:val="auto"/>
              </w:rPr>
            </w:pPr>
          </w:p>
        </w:tc>
      </w:tr>
      <w:tr>
        <w:trPr>
          <w:trHeight w:val="255"/>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Quicklogic Corp.</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 ARTHUR WHIPPLE</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Title: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Arthur Whipple</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May 30, 2002</w:t>
            </w:r>
          </w:p>
        </w:tc>
        <w:tc>
          <w:tcPr>
            <w:tcW w:w="0" w:type="dxa"/>
            <w:vAlign w:val="bottom"/>
          </w:tcPr>
          <w:p>
            <w:pPr>
              <w:spacing w:after="0"/>
              <w:rPr>
                <w:sz w:val="1"/>
                <w:szCs w:val="1"/>
                <w:color w:val="auto"/>
              </w:rPr>
            </w:pPr>
          </w:p>
        </w:tc>
      </w:tr>
      <w:tr>
        <w:trPr>
          <w:trHeight w:val="255"/>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Tower Semiconductor Ltd.</w:t>
            </w:r>
          </w:p>
        </w:tc>
        <w:tc>
          <w:tcPr>
            <w:tcW w:w="0" w:type="dxa"/>
            <w:vAlign w:val="bottom"/>
          </w:tcPr>
          <w:p>
            <w:pPr>
              <w:spacing w:after="0"/>
              <w:rPr>
                <w:sz w:val="1"/>
                <w:szCs w:val="1"/>
                <w:color w:val="auto"/>
              </w:rPr>
            </w:pPr>
          </w:p>
        </w:tc>
      </w:tr>
      <w:tr>
        <w:trPr>
          <w:trHeight w:val="166"/>
        </w:trPr>
        <w:tc>
          <w:tcPr>
            <w:tcW w:w="4820" w:type="dxa"/>
            <w:vAlign w:val="bottom"/>
            <w:gridSpan w:val="3"/>
          </w:tcPr>
          <w:p>
            <w:pPr>
              <w:spacing w:after="0"/>
              <w:rPr>
                <w:sz w:val="20"/>
                <w:szCs w:val="20"/>
                <w:color w:val="auto"/>
              </w:rPr>
            </w:pPr>
            <w:r>
              <w:rPr>
                <w:rFonts w:ascii="Courier New" w:cs="Courier New" w:eastAsia="Courier New" w:hAnsi="Courier New"/>
                <w:sz w:val="14"/>
                <w:szCs w:val="14"/>
                <w:color w:val="auto"/>
              </w:rPr>
              <w:t>By:   /s/ YOAV NISSAN-COHEN</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Title:</w:t>
            </w: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Yoav Nissan-Cohen</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Co-Chief Executive Officer</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May 30, 2002</w:t>
            </w:r>
          </w:p>
        </w:tc>
        <w:tc>
          <w:tcPr>
            <w:tcW w:w="0" w:type="dxa"/>
            <w:vAlign w:val="bottom"/>
          </w:tcPr>
          <w:p>
            <w:pPr>
              <w:spacing w:after="0"/>
              <w:rPr>
                <w:sz w:val="1"/>
                <w:szCs w:val="1"/>
                <w:color w:val="auto"/>
              </w:rPr>
            </w:pPr>
          </w:p>
        </w:tc>
      </w:tr>
      <w:tr>
        <w:trPr>
          <w:trHeight w:val="828"/>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ind w:left="500"/>
              <w:spacing w:after="0"/>
              <w:rPr>
                <w:sz w:val="20"/>
                <w:szCs w:val="20"/>
                <w:color w:val="auto"/>
              </w:rPr>
            </w:pPr>
            <w:r>
              <w:rPr>
                <w:rFonts w:ascii="Courier New" w:cs="Courier New" w:eastAsia="Courier New" w:hAnsi="Courier New"/>
                <w:sz w:val="14"/>
                <w:szCs w:val="14"/>
                <w:color w:val="auto"/>
              </w:rPr>
              <w:t>41</w:t>
            </w:r>
          </w:p>
        </w:tc>
        <w:tc>
          <w:tcPr>
            <w:tcW w:w="0" w:type="dxa"/>
            <w:vAlign w:val="bottom"/>
          </w:tcPr>
          <w:p>
            <w:pPr>
              <w:spacing w:after="0"/>
              <w:rPr>
                <w:sz w:val="1"/>
                <w:szCs w:val="1"/>
                <w:color w:val="auto"/>
              </w:rPr>
            </w:pPr>
          </w:p>
        </w:tc>
      </w:tr>
    </w:tbl>
    <w:p>
      <w:pPr>
        <w:sectPr>
          <w:pgSz w:w="11900" w:h="16838" w:orient="portrait"/>
          <w:cols w:equalWidth="0" w:num="1">
            <w:col w:w="9279"/>
          </w:cols>
          <w:pgMar w:left="1180" w:top="425" w:right="1440" w:bottom="1440" w:gutter="0" w:footer="0" w:header="0"/>
        </w:sectPr>
      </w:pPr>
    </w:p>
    <w:bookmarkStart w:id="41" w:name="page42"/>
    <w:bookmarkEnd w:id="41"/>
    <w:p>
      <w:pPr>
        <w:jc w:val="right"/>
        <w:ind w:right="3339"/>
        <w:spacing w:after="0"/>
        <w:rPr>
          <w:sz w:val="20"/>
          <w:szCs w:val="20"/>
          <w:color w:val="auto"/>
        </w:rPr>
      </w:pPr>
      <w:r>
        <w:rPr>
          <w:rFonts w:ascii="Courier New" w:cs="Courier New" w:eastAsia="Courier New" w:hAnsi="Courier New"/>
          <w:sz w:val="14"/>
          <w:szCs w:val="14"/>
          <w:color w:val="auto"/>
        </w:rPr>
        <w:t>Exhibit 7</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July 23, 2002</w:t>
      </w:r>
    </w:p>
    <w:p>
      <w:pPr>
        <w:sectPr>
          <w:pgSz w:w="11900" w:h="16838" w:orient="portrait"/>
          <w:cols w:equalWidth="0" w:num="1">
            <w:col w:w="10239"/>
          </w:cols>
          <w:pgMar w:left="220" w:top="115" w:right="1440" w:bottom="37"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Ltd.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Migdal Haemek 23105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w:t>
      </w:r>
    </w:p>
    <w:p>
      <w:pPr>
        <w:spacing w:after="0" w:line="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Attention:</w:t>
        <w:tab/>
        <w:t>Co-Chief Executive Officer</w:t>
      </w:r>
    </w:p>
    <w:p>
      <w:pPr>
        <w:spacing w:after="0" w:line="147" w:lineRule="exact"/>
        <w:rPr>
          <w:sz w:val="20"/>
          <w:szCs w:val="20"/>
          <w:color w:val="auto"/>
        </w:rPr>
      </w:pPr>
    </w:p>
    <w:p>
      <w:pPr>
        <w:sectPr>
          <w:pgSz w:w="11900" w:h="16838" w:orient="portrait"/>
          <w:cols w:equalWidth="0" w:num="2">
            <w:col w:w="260" w:space="700"/>
            <w:col w:w="9279"/>
          </w:cols>
          <w:pgMar w:left="220" w:top="115" w:right="1440" w:bottom="37" w:gutter="0" w:footer="0" w:header="0"/>
          <w:type w:val="continuous"/>
        </w:sectPr>
      </w:pPr>
    </w:p>
    <w:p>
      <w:pPr>
        <w:ind w:left="960" w:right="7739" w:hanging="952"/>
        <w:spacing w:after="0" w:line="260" w:lineRule="auto"/>
        <w:tabs>
          <w:tab w:leader="none" w:pos="9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Yigal Arnon &amp; Co. One Azrieli Center Tel Aviv 67021 Israel</w:t>
      </w:r>
    </w:p>
    <w:p>
      <w:pPr>
        <w:spacing w:after="0" w:line="1"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David H. Schapiro, Adv.</w:t>
      </w:r>
    </w:p>
    <w:p>
      <w:pPr>
        <w:spacing w:after="0" w:line="147" w:lineRule="exact"/>
        <w:rPr>
          <w:sz w:val="20"/>
          <w:szCs w:val="20"/>
          <w:color w:val="auto"/>
        </w:rPr>
      </w:pPr>
    </w:p>
    <w:p>
      <w:pPr>
        <w:ind w:left="2680"/>
        <w:spacing w:after="0"/>
        <w:tabs>
          <w:tab w:leader="none" w:pos="3080" w:val="left"/>
        </w:tabs>
        <w:rPr>
          <w:sz w:val="20"/>
          <w:szCs w:val="20"/>
          <w:color w:val="auto"/>
        </w:rPr>
      </w:pPr>
      <w:r>
        <w:rPr>
          <w:rFonts w:ascii="Courier New" w:cs="Courier New" w:eastAsia="Courier New" w:hAnsi="Courier New"/>
          <w:sz w:val="14"/>
          <w:szCs w:val="14"/>
          <w:color w:val="auto"/>
        </w:rPr>
        <w:t>Re:</w:t>
        <w:tab/>
        <w:t>Participation in Rights Offering</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47" w:lineRule="exact"/>
        <w:rPr>
          <w:sz w:val="20"/>
          <w:szCs w:val="20"/>
          <w:color w:val="auto"/>
        </w:rPr>
      </w:pPr>
    </w:p>
    <w:p>
      <w:pPr>
        <w:ind w:right="3419" w:firstLine="947"/>
        <w:spacing w:after="0" w:line="282" w:lineRule="auto"/>
        <w:rPr>
          <w:sz w:val="20"/>
          <w:szCs w:val="20"/>
          <w:color w:val="auto"/>
        </w:rPr>
      </w:pPr>
      <w:r>
        <w:rPr>
          <w:rFonts w:ascii="Courier New" w:cs="Courier New" w:eastAsia="Courier New" w:hAnsi="Courier New"/>
          <w:sz w:val="14"/>
          <w:szCs w:val="14"/>
          <w:color w:val="auto"/>
        </w:rPr>
        <w:t>Following our discussion with you, we, the undersigned, wish to congratulate you upon your agreement reached with Ontario Teachers Pension Plan Board ("OTPP"; the "OTPP Agreement"), which is expected to be signed by the end of July 2002, and is intended to facilitate your satisfaction of your immediate financing requirements under the Fab 2 credit facility with your banks.</w:t>
      </w:r>
    </w:p>
    <w:p>
      <w:pPr>
        <w:spacing w:after="0" w:line="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It is our understanding that the main terms of the OTPP Agreement 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follows:</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OTPP will make a $15</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million private placement in Tower</w:t>
            </w:r>
          </w:p>
        </w:tc>
      </w:tr>
      <w:tr>
        <w:trPr>
          <w:trHeight w:val="166"/>
        </w:trPr>
        <w:tc>
          <w:tcPr>
            <w:tcW w:w="480" w:type="dxa"/>
            <w:vAlign w:val="bottom"/>
          </w:tcPr>
          <w:p>
            <w:pPr>
              <w:spacing w:after="0"/>
              <w:rPr>
                <w:sz w:val="14"/>
                <w:szCs w:val="14"/>
                <w:color w:val="auto"/>
              </w:rPr>
            </w:pP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in consideration for ordinary shares to be issued at a</w:t>
            </w:r>
          </w:p>
        </w:tc>
      </w:tr>
      <w:tr>
        <w:trPr>
          <w:trHeight w:val="166"/>
        </w:trPr>
        <w:tc>
          <w:tcPr>
            <w:tcW w:w="480" w:type="dxa"/>
            <w:vAlign w:val="bottom"/>
          </w:tcPr>
          <w:p>
            <w:pPr>
              <w:spacing w:after="0"/>
              <w:rPr>
                <w:sz w:val="14"/>
                <w:szCs w:val="14"/>
                <w:color w:val="auto"/>
              </w:rPr>
            </w:pP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purchase price of $5.60 per share and 45% warrant</w:t>
            </w:r>
          </w:p>
        </w:tc>
      </w:tr>
      <w:tr>
        <w:trPr>
          <w:trHeight w:val="166"/>
        </w:trPr>
        <w:tc>
          <w:tcPr>
            <w:tcW w:w="480" w:type="dxa"/>
            <w:vAlign w:val="bottom"/>
          </w:tcPr>
          <w:p>
            <w:pPr>
              <w:spacing w:after="0"/>
              <w:rPr>
                <w:sz w:val="14"/>
                <w:szCs w:val="14"/>
                <w:color w:val="auto"/>
              </w:rPr>
            </w:pP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coverage exercisable into additional ordinary shares at</w:t>
            </w:r>
          </w:p>
        </w:tc>
      </w:tr>
      <w:tr>
        <w:trPr>
          <w:trHeight w:val="242"/>
        </w:trPr>
        <w:tc>
          <w:tcPr>
            <w:tcW w:w="480" w:type="dxa"/>
            <w:vAlign w:val="bottom"/>
          </w:tcPr>
          <w:p>
            <w:pPr>
              <w:spacing w:after="0"/>
              <w:rPr>
                <w:sz w:val="21"/>
                <w:szCs w:val="21"/>
                <w:color w:val="auto"/>
              </w:rPr>
            </w:pP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an exercise price of $7.50 per share.</w:t>
            </w:r>
          </w:p>
        </w:tc>
      </w:tr>
      <w:tr>
        <w:trPr>
          <w:trHeight w:val="255"/>
        </w:trPr>
        <w:tc>
          <w:tcPr>
            <w:tcW w:w="48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After the closing of the OTTP Agreement, all of the</w:t>
            </w:r>
          </w:p>
        </w:tc>
      </w:tr>
      <w:tr>
        <w:trPr>
          <w:trHeight w:val="166"/>
        </w:trPr>
        <w:tc>
          <w:tcPr>
            <w:tcW w:w="480" w:type="dxa"/>
            <w:vAlign w:val="bottom"/>
          </w:tcPr>
          <w:p>
            <w:pPr>
              <w:spacing w:after="0"/>
              <w:rPr>
                <w:sz w:val="14"/>
                <w:szCs w:val="14"/>
                <w:color w:val="auto"/>
              </w:rPr>
            </w:pP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securities issued to OTTP will be registered for resale</w:t>
            </w:r>
          </w:p>
        </w:tc>
      </w:tr>
      <w:tr>
        <w:trPr>
          <w:trHeight w:val="166"/>
        </w:trPr>
        <w:tc>
          <w:tcPr>
            <w:tcW w:w="480" w:type="dxa"/>
            <w:vAlign w:val="bottom"/>
          </w:tcPr>
          <w:p>
            <w:pPr>
              <w:spacing w:after="0"/>
              <w:rPr>
                <w:sz w:val="14"/>
                <w:szCs w:val="14"/>
                <w:color w:val="auto"/>
              </w:rPr>
            </w:pP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on the Form F-3 registration statement. These securities</w:t>
            </w:r>
          </w:p>
        </w:tc>
      </w:tr>
      <w:tr>
        <w:trPr>
          <w:trHeight w:val="242"/>
        </w:trPr>
        <w:tc>
          <w:tcPr>
            <w:tcW w:w="480" w:type="dxa"/>
            <w:vAlign w:val="bottom"/>
          </w:tcPr>
          <w:p>
            <w:pPr>
              <w:spacing w:after="0"/>
              <w:rPr>
                <w:sz w:val="21"/>
                <w:szCs w:val="21"/>
                <w:color w:val="auto"/>
              </w:rPr>
            </w:pPr>
          </w:p>
        </w:tc>
        <w:tc>
          <w:tcPr>
            <w:tcW w:w="50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will be subject to a nine month lock-up period.</w:t>
            </w:r>
          </w:p>
        </w:tc>
      </w:tr>
    </w:tbl>
    <w:p>
      <w:pPr>
        <w:spacing w:after="0" w:line="90" w:lineRule="exact"/>
        <w:rPr>
          <w:sz w:val="20"/>
          <w:szCs w:val="20"/>
          <w:color w:val="auto"/>
        </w:rPr>
      </w:pPr>
    </w:p>
    <w:p>
      <w:pPr>
        <w:ind w:right="3339" w:firstLine="947"/>
        <w:spacing w:after="0" w:line="275" w:lineRule="auto"/>
        <w:rPr>
          <w:sz w:val="20"/>
          <w:szCs w:val="20"/>
          <w:color w:val="auto"/>
        </w:rPr>
      </w:pPr>
      <w:r>
        <w:rPr>
          <w:rFonts w:ascii="Courier New" w:cs="Courier New" w:eastAsia="Courier New" w:hAnsi="Courier New"/>
          <w:sz w:val="14"/>
          <w:szCs w:val="14"/>
          <w:color w:val="auto"/>
        </w:rPr>
        <w:t>As we understand that the terms of the Rights Offering are substantially the same as the OTPP Agreement as set forth in the final draft of the prospectus relating to the Rights Offering (the "Prospectus") to be approved by Tower's Board of Directors, we hereby agree, severally and not jointly, to exercise our rights from the Rights Offering such that we will purchase securities equivalent to the following amounts: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2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43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Israel Corporation Technologies (ICTech) Ltd.</w:t>
            </w: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$9.2 million</w:t>
            </w: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43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SanDisk Corporation</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$4.0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Alliance</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Semiconductor Corporation</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$4.0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r>
      <w:tr>
        <w:trPr>
          <w:trHeight w:val="255"/>
        </w:trPr>
        <w:tc>
          <w:tcPr>
            <w:tcW w:w="62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Macronix</w:t>
            </w:r>
          </w:p>
        </w:tc>
        <w:tc>
          <w:tcPr>
            <w:tcW w:w="3280" w:type="dxa"/>
            <w:vAlign w:val="bottom"/>
          </w:tcPr>
          <w:p>
            <w:pPr>
              <w:ind w:left="60"/>
              <w:spacing w:after="0"/>
              <w:rPr>
                <w:sz w:val="20"/>
                <w:szCs w:val="20"/>
                <w:color w:val="auto"/>
              </w:rPr>
            </w:pPr>
            <w:r>
              <w:rPr>
                <w:rFonts w:ascii="Courier New" w:cs="Courier New" w:eastAsia="Courier New" w:hAnsi="Courier New"/>
                <w:sz w:val="14"/>
                <w:szCs w:val="14"/>
                <w:color w:val="auto"/>
              </w:rPr>
              <w:t>International Co., Ltd.</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$3.3</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million or more</w:t>
            </w:r>
          </w:p>
        </w:tc>
      </w:tr>
      <w:tr>
        <w:trPr>
          <w:trHeight w:val="242"/>
        </w:trPr>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(up to $4.0 million)</w:t>
            </w:r>
          </w:p>
        </w:tc>
      </w:tr>
    </w:tbl>
    <w:p>
      <w:pPr>
        <w:spacing w:after="0" w:line="200" w:lineRule="exact"/>
        <w:rPr>
          <w:sz w:val="20"/>
          <w:szCs w:val="20"/>
          <w:color w:val="auto"/>
        </w:rPr>
      </w:pPr>
    </w:p>
    <w:p>
      <w:pPr>
        <w:spacing w:after="0" w:line="38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pacing w:after="0" w:line="316" w:lineRule="exact"/>
        <w:rPr>
          <w:sz w:val="20"/>
          <w:szCs w:val="20"/>
          <w:color w:val="auto"/>
        </w:rPr>
      </w:pPr>
    </w:p>
    <w:p>
      <w:pPr>
        <w:ind w:right="3339" w:firstLine="947"/>
        <w:spacing w:after="0" w:line="375" w:lineRule="auto"/>
        <w:rPr>
          <w:sz w:val="20"/>
          <w:szCs w:val="20"/>
          <w:color w:val="auto"/>
        </w:rPr>
      </w:pPr>
      <w:r>
        <w:rPr>
          <w:rFonts w:ascii="Courier New" w:cs="Courier New" w:eastAsia="Courier New" w:hAnsi="Courier New"/>
          <w:sz w:val="14"/>
          <w:szCs w:val="14"/>
          <w:color w:val="auto"/>
        </w:rPr>
        <w:t>We further agree to your disclosure in the Prospectus of the quantity of rights we will exercise from the Rights Offering.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SANDISK CORPORATION</w:t>
            </w: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ALLIANCE SEMICONDUCTOR CORPORATION</w:t>
            </w:r>
          </w:p>
        </w:tc>
        <w:tc>
          <w:tcPr>
            <w:tcW w:w="0" w:type="dxa"/>
            <w:vAlign w:val="bottom"/>
          </w:tcPr>
          <w:p>
            <w:pPr>
              <w:spacing w:after="0"/>
              <w:rPr>
                <w:sz w:val="1"/>
                <w:szCs w:val="1"/>
                <w:color w:val="auto"/>
              </w:rPr>
            </w:pPr>
          </w:p>
        </w:tc>
      </w:tr>
      <w:tr>
        <w:trPr>
          <w:trHeight w:val="255"/>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/s/ ELI HARARI</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By:</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/s/ N.D. REDDY</w:t>
            </w: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06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EliHarari</w:t>
            </w:r>
          </w:p>
        </w:tc>
        <w:tc>
          <w:tcPr>
            <w:tcW w:w="70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 w:type="dxa"/>
            <w:vAlign w:val="bottom"/>
            <w:vMerge w:val="restart"/>
          </w:tcPr>
          <w:p>
            <w:pPr>
              <w:spacing w:after="0"/>
              <w:rPr>
                <w:sz w:val="20"/>
                <w:szCs w:val="20"/>
                <w:color w:val="auto"/>
              </w:rPr>
            </w:pPr>
            <w:r>
              <w:rPr>
                <w:rFonts w:ascii="Courier New" w:cs="Courier New" w:eastAsia="Courier New" w:hAnsi="Courier New"/>
                <w:sz w:val="14"/>
                <w:szCs w:val="14"/>
                <w:color w:val="auto"/>
              </w:rPr>
              <w:t>Title:</w:t>
            </w:r>
          </w:p>
        </w:tc>
        <w:tc>
          <w:tcPr>
            <w:tcW w:w="3060" w:type="dxa"/>
            <w:vAlign w:val="bottom"/>
            <w:vMerge w:val="continue"/>
          </w:tcPr>
          <w:p>
            <w:pPr>
              <w:spacing w:after="0"/>
              <w:rPr>
                <w:sz w:val="14"/>
                <w:szCs w:val="14"/>
                <w:color w:val="auto"/>
              </w:rPr>
            </w:pPr>
          </w:p>
        </w:tc>
        <w:tc>
          <w:tcPr>
            <w:tcW w:w="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99"/>
              </w:rPr>
              <w:t>Title:</w:t>
            </w:r>
          </w:p>
        </w:tc>
        <w:tc>
          <w:tcPr>
            <w:tcW w:w="2580" w:type="dxa"/>
            <w:vAlign w:val="bottom"/>
          </w:tcPr>
          <w:p>
            <w:pPr>
              <w:ind w:left="420"/>
              <w:spacing w:after="0"/>
              <w:rPr>
                <w:sz w:val="20"/>
                <w:szCs w:val="20"/>
                <w:color w:val="auto"/>
              </w:rPr>
            </w:pPr>
            <w:r>
              <w:rPr>
                <w:rFonts w:ascii="Courier New" w:cs="Courier New" w:eastAsia="Courier New" w:hAnsi="Courier New"/>
                <w:sz w:val="14"/>
                <w:szCs w:val="14"/>
                <w:color w:val="auto"/>
              </w:rPr>
              <w:t>N.D. Reddy</w:t>
            </w:r>
          </w:p>
        </w:tc>
        <w:tc>
          <w:tcPr>
            <w:tcW w:w="0" w:type="dxa"/>
            <w:vAlign w:val="bottom"/>
          </w:tcPr>
          <w:p>
            <w:pPr>
              <w:spacing w:after="0"/>
              <w:rPr>
                <w:sz w:val="1"/>
                <w:szCs w:val="1"/>
                <w:color w:val="auto"/>
              </w:rPr>
            </w:pPr>
          </w:p>
        </w:tc>
      </w:tr>
      <w:tr>
        <w:trPr>
          <w:trHeight w:val="166"/>
        </w:trPr>
        <w:tc>
          <w:tcPr>
            <w:tcW w:w="560" w:type="dxa"/>
            <w:vAlign w:val="bottom"/>
            <w:vMerge w:val="continue"/>
          </w:tcPr>
          <w:p>
            <w:pPr>
              <w:spacing w:after="0"/>
              <w:rPr>
                <w:sz w:val="14"/>
                <w:szCs w:val="14"/>
                <w:color w:val="auto"/>
              </w:rPr>
            </w:pPr>
          </w:p>
        </w:tc>
        <w:tc>
          <w:tcPr>
            <w:tcW w:w="3060" w:type="dxa"/>
            <w:vAlign w:val="bottom"/>
          </w:tcPr>
          <w:p>
            <w:pPr>
              <w:ind w:left="400"/>
              <w:spacing w:after="0"/>
              <w:rPr>
                <w:sz w:val="20"/>
                <w:szCs w:val="20"/>
                <w:color w:val="auto"/>
              </w:rPr>
            </w:pPr>
            <w:r>
              <w:rPr>
                <w:rFonts w:ascii="Courier New" w:cs="Courier New" w:eastAsia="Courier New" w:hAnsi="Courier New"/>
                <w:sz w:val="14"/>
                <w:szCs w:val="14"/>
                <w:color w:val="auto"/>
              </w:rPr>
              <w:t>President and Chief Executive</w:t>
            </w:r>
          </w:p>
        </w:tc>
        <w:tc>
          <w:tcPr>
            <w:tcW w:w="700" w:type="dxa"/>
            <w:vAlign w:val="bottom"/>
            <w:vMerge w:val="continue"/>
          </w:tcPr>
          <w:p>
            <w:pPr>
              <w:spacing w:after="0"/>
              <w:rPr>
                <w:sz w:val="14"/>
                <w:szCs w:val="14"/>
                <w:color w:val="auto"/>
              </w:rPr>
            </w:pPr>
          </w:p>
        </w:tc>
        <w:tc>
          <w:tcPr>
            <w:tcW w:w="2580" w:type="dxa"/>
            <w:vAlign w:val="bottom"/>
          </w:tcPr>
          <w:p>
            <w:pPr>
              <w:ind w:left="420"/>
              <w:spacing w:after="0"/>
              <w:rPr>
                <w:sz w:val="20"/>
                <w:szCs w:val="20"/>
                <w:color w:val="auto"/>
              </w:rPr>
            </w:pPr>
            <w:r>
              <w:rPr>
                <w:rFonts w:ascii="Courier New" w:cs="Courier New" w:eastAsia="Courier New" w:hAnsi="Courier New"/>
                <w:sz w:val="14"/>
                <w:szCs w:val="14"/>
                <w:color w:val="auto"/>
              </w:rPr>
              <w:t>President and Chief</w:t>
            </w:r>
          </w:p>
        </w:tc>
        <w:tc>
          <w:tcPr>
            <w:tcW w:w="0" w:type="dxa"/>
            <w:vAlign w:val="bottom"/>
          </w:tcPr>
          <w:p>
            <w:pPr>
              <w:spacing w:after="0"/>
              <w:rPr>
                <w:sz w:val="1"/>
                <w:szCs w:val="1"/>
                <w:color w:val="auto"/>
              </w:rPr>
            </w:pPr>
          </w:p>
        </w:tc>
      </w:tr>
      <w:tr>
        <w:trPr>
          <w:trHeight w:val="166"/>
        </w:trPr>
        <w:tc>
          <w:tcPr>
            <w:tcW w:w="560" w:type="dxa"/>
            <w:vAlign w:val="bottom"/>
            <w:vMerge w:val="restart"/>
          </w:tcPr>
          <w:p>
            <w:pPr>
              <w:spacing w:after="0"/>
              <w:rPr>
                <w:sz w:val="20"/>
                <w:szCs w:val="20"/>
                <w:color w:val="auto"/>
              </w:rPr>
            </w:pPr>
            <w:r>
              <w:rPr>
                <w:rFonts w:ascii="Courier New" w:cs="Courier New" w:eastAsia="Courier New" w:hAnsi="Courier New"/>
                <w:sz w:val="14"/>
                <w:szCs w:val="14"/>
                <w:color w:val="auto"/>
              </w:rPr>
              <w:t>Date:</w:t>
            </w:r>
          </w:p>
        </w:tc>
        <w:tc>
          <w:tcPr>
            <w:tcW w:w="3060" w:type="dxa"/>
            <w:vAlign w:val="bottom"/>
          </w:tcPr>
          <w:p>
            <w:pPr>
              <w:ind w:left="400"/>
              <w:spacing w:after="0"/>
              <w:rPr>
                <w:sz w:val="20"/>
                <w:szCs w:val="20"/>
                <w:color w:val="auto"/>
              </w:rPr>
            </w:pPr>
            <w:r>
              <w:rPr>
                <w:rFonts w:ascii="Courier New" w:cs="Courier New" w:eastAsia="Courier New" w:hAnsi="Courier New"/>
                <w:sz w:val="14"/>
                <w:szCs w:val="14"/>
                <w:color w:val="auto"/>
              </w:rPr>
              <w:t>Officer</w:t>
            </w:r>
          </w:p>
        </w:tc>
        <w:tc>
          <w:tcPr>
            <w:tcW w:w="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Date:</w:t>
            </w:r>
          </w:p>
        </w:tc>
        <w:tc>
          <w:tcPr>
            <w:tcW w:w="2580" w:type="dxa"/>
            <w:vAlign w:val="bottom"/>
          </w:tcPr>
          <w:p>
            <w:pPr>
              <w:ind w:left="420"/>
              <w:spacing w:after="0"/>
              <w:rPr>
                <w:sz w:val="20"/>
                <w:szCs w:val="20"/>
                <w:color w:val="auto"/>
              </w:rPr>
            </w:pPr>
            <w:r>
              <w:rPr>
                <w:rFonts w:ascii="Courier New" w:cs="Courier New" w:eastAsia="Courier New" w:hAnsi="Courier New"/>
                <w:sz w:val="14"/>
                <w:szCs w:val="14"/>
                <w:color w:val="auto"/>
              </w:rPr>
              <w:t>Financial Officer</w:t>
            </w:r>
          </w:p>
        </w:tc>
        <w:tc>
          <w:tcPr>
            <w:tcW w:w="0" w:type="dxa"/>
            <w:vAlign w:val="bottom"/>
          </w:tcPr>
          <w:p>
            <w:pPr>
              <w:spacing w:after="0"/>
              <w:rPr>
                <w:sz w:val="1"/>
                <w:szCs w:val="1"/>
                <w:color w:val="auto"/>
              </w:rPr>
            </w:pPr>
          </w:p>
        </w:tc>
      </w:tr>
      <w:tr>
        <w:trPr>
          <w:trHeight w:val="242"/>
        </w:trPr>
        <w:tc>
          <w:tcPr>
            <w:tcW w:w="560" w:type="dxa"/>
            <w:vAlign w:val="bottom"/>
            <w:vMerge w:val="continue"/>
          </w:tcPr>
          <w:p>
            <w:pPr>
              <w:spacing w:after="0"/>
              <w:rPr>
                <w:sz w:val="21"/>
                <w:szCs w:val="21"/>
                <w:color w:val="auto"/>
              </w:rPr>
            </w:pPr>
          </w:p>
        </w:tc>
        <w:tc>
          <w:tcPr>
            <w:tcW w:w="3060" w:type="dxa"/>
            <w:vAlign w:val="bottom"/>
          </w:tcPr>
          <w:p>
            <w:pPr>
              <w:ind w:left="400"/>
              <w:spacing w:after="0"/>
              <w:rPr>
                <w:sz w:val="20"/>
                <w:szCs w:val="20"/>
                <w:color w:val="auto"/>
              </w:rPr>
            </w:pPr>
            <w:r>
              <w:rPr>
                <w:rFonts w:ascii="Courier New" w:cs="Courier New" w:eastAsia="Courier New" w:hAnsi="Courier New"/>
                <w:sz w:val="14"/>
                <w:szCs w:val="14"/>
                <w:color w:val="auto"/>
              </w:rPr>
              <w:t>August 13, 2002</w:t>
            </w:r>
          </w:p>
        </w:tc>
        <w:tc>
          <w:tcPr>
            <w:tcW w:w="700" w:type="dxa"/>
            <w:vAlign w:val="bottom"/>
            <w:vMerge w:val="continue"/>
          </w:tcPr>
          <w:p>
            <w:pPr>
              <w:spacing w:after="0"/>
              <w:rPr>
                <w:sz w:val="21"/>
                <w:szCs w:val="21"/>
                <w:color w:val="auto"/>
              </w:rPr>
            </w:pPr>
          </w:p>
        </w:tc>
        <w:tc>
          <w:tcPr>
            <w:tcW w:w="2580" w:type="dxa"/>
            <w:vAlign w:val="bottom"/>
          </w:tcPr>
          <w:p>
            <w:pPr>
              <w:ind w:left="420"/>
              <w:spacing w:after="0"/>
              <w:rPr>
                <w:sz w:val="20"/>
                <w:szCs w:val="20"/>
                <w:color w:val="auto"/>
              </w:rPr>
            </w:pPr>
            <w:r>
              <w:rPr>
                <w:rFonts w:ascii="Courier New" w:cs="Courier New" w:eastAsia="Courier New" w:hAnsi="Courier New"/>
                <w:sz w:val="14"/>
                <w:szCs w:val="14"/>
                <w:color w:val="auto"/>
              </w:rPr>
              <w:t>July 23, 2002</w:t>
            </w:r>
          </w:p>
        </w:tc>
        <w:tc>
          <w:tcPr>
            <w:tcW w:w="0" w:type="dxa"/>
            <w:vAlign w:val="bottom"/>
          </w:tcPr>
          <w:p>
            <w:pPr>
              <w:spacing w:after="0"/>
              <w:rPr>
                <w:sz w:val="1"/>
                <w:szCs w:val="1"/>
                <w:color w:val="auto"/>
              </w:rPr>
            </w:pPr>
          </w:p>
        </w:tc>
      </w:tr>
      <w:tr>
        <w:trPr>
          <w:trHeight w:val="587"/>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MACRONIX (BVI) CO., LTD.</w:t>
            </w: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ISRAEL CORPORATION TECHNOLOGIES</w:t>
            </w:r>
          </w:p>
        </w:tc>
        <w:tc>
          <w:tcPr>
            <w:tcW w:w="0" w:type="dxa"/>
            <w:vAlign w:val="bottom"/>
          </w:tcPr>
          <w:p>
            <w:pPr>
              <w:spacing w:after="0"/>
              <w:rPr>
                <w:sz w:val="1"/>
                <w:szCs w:val="1"/>
                <w:color w:val="auto"/>
              </w:rPr>
            </w:pPr>
          </w:p>
        </w:tc>
      </w:tr>
      <w:tr>
        <w:trPr>
          <w:trHeight w:val="242"/>
        </w:trPr>
        <w:tc>
          <w:tcPr>
            <w:tcW w:w="5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2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(ICTECH) LTD.</w:t>
            </w:r>
          </w:p>
        </w:tc>
        <w:tc>
          <w:tcPr>
            <w:tcW w:w="0" w:type="dxa"/>
            <w:vAlign w:val="bottom"/>
          </w:tcPr>
          <w:p>
            <w:pPr>
              <w:spacing w:after="0"/>
              <w:rPr>
                <w:sz w:val="1"/>
                <w:szCs w:val="1"/>
                <w:color w:val="auto"/>
              </w:rPr>
            </w:pPr>
          </w:p>
        </w:tc>
      </w:tr>
      <w:tr>
        <w:trPr>
          <w:trHeight w:val="255"/>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60" w:type="dxa"/>
            <w:vAlign w:val="bottom"/>
          </w:tcPr>
          <w:p>
            <w:pPr>
              <w:ind w:left="60"/>
              <w:spacing w:after="0"/>
              <w:rPr>
                <w:sz w:val="20"/>
                <w:szCs w:val="20"/>
                <w:color w:val="auto"/>
              </w:rPr>
            </w:pPr>
            <w:r>
              <w:rPr>
                <w:rFonts w:ascii="Courier New" w:cs="Courier New" w:eastAsia="Courier New" w:hAnsi="Courier New"/>
                <w:sz w:val="14"/>
                <w:szCs w:val="14"/>
                <w:color w:val="auto"/>
              </w:rPr>
              <w:t>/s/ MIIN WU</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By:</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/s/ YOSSI ROSEN</w:t>
            </w: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06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93"/>
              </w:rPr>
              <w:t>------------------------------</w:t>
            </w:r>
            <w:r>
              <w:rPr>
                <w:rFonts w:ascii="Courier New" w:cs="Courier New" w:eastAsia="Courier New" w:hAnsi="Courier New"/>
                <w:sz w:val="28"/>
                <w:szCs w:val="28"/>
                <w:color w:val="auto"/>
                <w:w w:val="93"/>
                <w:vertAlign w:val="subscript"/>
              </w:rPr>
              <w:t>MiinWu</w:t>
            </w:r>
          </w:p>
        </w:tc>
        <w:tc>
          <w:tcPr>
            <w:tcW w:w="70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 w:type="dxa"/>
            <w:vAlign w:val="bottom"/>
            <w:vMerge w:val="restart"/>
          </w:tcPr>
          <w:p>
            <w:pPr>
              <w:spacing w:after="0"/>
              <w:rPr>
                <w:sz w:val="20"/>
                <w:szCs w:val="20"/>
                <w:color w:val="auto"/>
              </w:rPr>
            </w:pPr>
            <w:r>
              <w:rPr>
                <w:rFonts w:ascii="Courier New" w:cs="Courier New" w:eastAsia="Courier New" w:hAnsi="Courier New"/>
                <w:sz w:val="14"/>
                <w:szCs w:val="14"/>
                <w:color w:val="auto"/>
              </w:rPr>
              <w:t>Title:</w:t>
            </w:r>
          </w:p>
        </w:tc>
        <w:tc>
          <w:tcPr>
            <w:tcW w:w="3060" w:type="dxa"/>
            <w:vAlign w:val="bottom"/>
            <w:vMerge w:val="continue"/>
          </w:tcPr>
          <w:p>
            <w:pPr>
              <w:spacing w:after="0"/>
              <w:rPr>
                <w:sz w:val="14"/>
                <w:szCs w:val="14"/>
                <w:color w:val="auto"/>
              </w:rPr>
            </w:pPr>
          </w:p>
        </w:tc>
        <w:tc>
          <w:tcPr>
            <w:tcW w:w="7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Title:</w:t>
            </w: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Yossi Rosen</w:t>
            </w:r>
          </w:p>
        </w:tc>
        <w:tc>
          <w:tcPr>
            <w:tcW w:w="0" w:type="dxa"/>
            <w:vAlign w:val="bottom"/>
          </w:tcPr>
          <w:p>
            <w:pPr>
              <w:spacing w:after="0"/>
              <w:rPr>
                <w:sz w:val="1"/>
                <w:szCs w:val="1"/>
                <w:color w:val="auto"/>
              </w:rPr>
            </w:pPr>
          </w:p>
        </w:tc>
      </w:tr>
      <w:tr>
        <w:trPr>
          <w:trHeight w:val="166"/>
        </w:trPr>
        <w:tc>
          <w:tcPr>
            <w:tcW w:w="560" w:type="dxa"/>
            <w:vAlign w:val="bottom"/>
            <w:vMerge w:val="continue"/>
          </w:tcPr>
          <w:p>
            <w:pPr>
              <w:spacing w:after="0"/>
              <w:rPr>
                <w:sz w:val="14"/>
                <w:szCs w:val="14"/>
                <w:color w:val="auto"/>
              </w:rPr>
            </w:pPr>
          </w:p>
        </w:tc>
        <w:tc>
          <w:tcPr>
            <w:tcW w:w="3060" w:type="dxa"/>
            <w:vAlign w:val="bottom"/>
          </w:tcPr>
          <w:p>
            <w:pPr>
              <w:ind w:left="400"/>
              <w:spacing w:after="0"/>
              <w:rPr>
                <w:sz w:val="20"/>
                <w:szCs w:val="20"/>
                <w:color w:val="auto"/>
              </w:rPr>
            </w:pPr>
            <w:r>
              <w:rPr>
                <w:rFonts w:ascii="Courier New" w:cs="Courier New" w:eastAsia="Courier New" w:hAnsi="Courier New"/>
                <w:sz w:val="14"/>
                <w:szCs w:val="14"/>
                <w:color w:val="auto"/>
              </w:rPr>
              <w:t>President</w:t>
            </w:r>
          </w:p>
        </w:tc>
        <w:tc>
          <w:tcPr>
            <w:tcW w:w="700" w:type="dxa"/>
            <w:vAlign w:val="bottom"/>
            <w:vMerge w:val="continue"/>
          </w:tcPr>
          <w:p>
            <w:pPr>
              <w:spacing w:after="0"/>
              <w:rPr>
                <w:sz w:val="14"/>
                <w:szCs w:val="14"/>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Chief Executive Officer of</w:t>
            </w:r>
          </w:p>
        </w:tc>
        <w:tc>
          <w:tcPr>
            <w:tcW w:w="0" w:type="dxa"/>
            <w:vAlign w:val="bottom"/>
          </w:tcPr>
          <w:p>
            <w:pPr>
              <w:spacing w:after="0"/>
              <w:rPr>
                <w:sz w:val="1"/>
                <w:szCs w:val="1"/>
                <w:color w:val="auto"/>
              </w:rPr>
            </w:pPr>
          </w:p>
        </w:tc>
      </w:tr>
      <w:tr>
        <w:trPr>
          <w:trHeight w:val="242"/>
        </w:trPr>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60" w:type="dxa"/>
            <w:vAlign w:val="bottom"/>
          </w:tcPr>
          <w:p>
            <w:pPr>
              <w:ind w:left="400"/>
              <w:spacing w:after="0"/>
              <w:rPr>
                <w:sz w:val="20"/>
                <w:szCs w:val="20"/>
                <w:color w:val="auto"/>
              </w:rPr>
            </w:pPr>
            <w:r>
              <w:rPr>
                <w:rFonts w:ascii="Courier New" w:cs="Courier New" w:eastAsia="Courier New" w:hAnsi="Courier New"/>
                <w:sz w:val="14"/>
                <w:szCs w:val="14"/>
                <w:color w:val="auto"/>
              </w:rPr>
              <w:t>July 26, 2002</w:t>
            </w:r>
          </w:p>
        </w:tc>
        <w:tc>
          <w:tcPr>
            <w:tcW w:w="700" w:type="dxa"/>
            <w:vAlign w:val="bottom"/>
          </w:tcPr>
          <w:p>
            <w:pPr>
              <w:spacing w:after="0"/>
              <w:rPr>
                <w:sz w:val="21"/>
                <w:szCs w:val="21"/>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Israel Corporation Ltd.</w:t>
            </w:r>
          </w:p>
        </w:tc>
        <w:tc>
          <w:tcPr>
            <w:tcW w:w="0" w:type="dxa"/>
            <w:vAlign w:val="bottom"/>
          </w:tcPr>
          <w:p>
            <w:pPr>
              <w:spacing w:after="0"/>
              <w:rPr>
                <w:sz w:val="1"/>
                <w:szCs w:val="1"/>
                <w:color w:val="auto"/>
              </w:rPr>
            </w:pPr>
          </w:p>
        </w:tc>
      </w:tr>
      <w:tr>
        <w:trPr>
          <w:trHeight w:val="421"/>
        </w:trPr>
        <w:tc>
          <w:tcPr>
            <w:tcW w:w="5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By:</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/s/ AVISAR PAZ</w:t>
            </w: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Title:</w:t>
            </w: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Avisar Paz</w:t>
            </w: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Chief Executive Officer of</w:t>
            </w:r>
          </w:p>
        </w:tc>
        <w:tc>
          <w:tcPr>
            <w:tcW w:w="0" w:type="dxa"/>
            <w:vAlign w:val="bottom"/>
          </w:tcPr>
          <w:p>
            <w:pPr>
              <w:spacing w:after="0"/>
              <w:rPr>
                <w:sz w:val="1"/>
                <w:szCs w:val="1"/>
                <w:color w:val="auto"/>
              </w:rPr>
            </w:pPr>
          </w:p>
        </w:tc>
      </w:tr>
      <w:tr>
        <w:trPr>
          <w:trHeight w:val="166"/>
        </w:trPr>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Date:</w:t>
            </w: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Israel Corporation Ltd.</w:t>
            </w:r>
          </w:p>
        </w:tc>
        <w:tc>
          <w:tcPr>
            <w:tcW w:w="0" w:type="dxa"/>
            <w:vAlign w:val="bottom"/>
          </w:tcPr>
          <w:p>
            <w:pPr>
              <w:spacing w:after="0"/>
              <w:rPr>
                <w:sz w:val="1"/>
                <w:szCs w:val="1"/>
                <w:color w:val="auto"/>
              </w:rPr>
            </w:pPr>
          </w:p>
        </w:tc>
      </w:tr>
      <w:tr>
        <w:trPr>
          <w:trHeight w:val="242"/>
        </w:trPr>
        <w:tc>
          <w:tcPr>
            <w:tcW w:w="5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July 23, 2002</w:t>
            </w:r>
          </w:p>
        </w:tc>
        <w:tc>
          <w:tcPr>
            <w:tcW w:w="0" w:type="dxa"/>
            <w:vAlign w:val="bottom"/>
          </w:tcPr>
          <w:p>
            <w:pPr>
              <w:spacing w:after="0"/>
              <w:rPr>
                <w:sz w:val="1"/>
                <w:szCs w:val="1"/>
                <w:color w:val="auto"/>
              </w:rPr>
            </w:pPr>
          </w:p>
        </w:tc>
      </w:tr>
      <w:tr>
        <w:trPr>
          <w:trHeight w:val="828"/>
        </w:trPr>
        <w:tc>
          <w:tcPr>
            <w:tcW w:w="560" w:type="dxa"/>
            <w:vAlign w:val="bottom"/>
          </w:tcPr>
          <w:p>
            <w:pPr>
              <w:spacing w:after="0"/>
              <w:rPr>
                <w:sz w:val="24"/>
                <w:szCs w:val="24"/>
                <w:color w:val="auto"/>
              </w:rPr>
            </w:pPr>
          </w:p>
        </w:tc>
        <w:tc>
          <w:tcPr>
            <w:tcW w:w="3060" w:type="dxa"/>
            <w:vAlign w:val="bottom"/>
          </w:tcPr>
          <w:p>
            <w:pPr>
              <w:ind w:left="2800"/>
              <w:spacing w:after="0"/>
              <w:rPr>
                <w:sz w:val="20"/>
                <w:szCs w:val="20"/>
                <w:color w:val="auto"/>
              </w:rPr>
            </w:pPr>
            <w:r>
              <w:rPr>
                <w:rFonts w:ascii="Courier New" w:cs="Courier New" w:eastAsia="Courier New" w:hAnsi="Courier New"/>
                <w:sz w:val="14"/>
                <w:szCs w:val="14"/>
                <w:color w:val="auto"/>
              </w:rPr>
              <w:t>43</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37" w:gutter="0" w:footer="0" w:header="0"/>
          <w:type w:val="continuous"/>
        </w:sectPr>
      </w:pPr>
    </w:p>
    <w:bookmarkStart w:id="42" w:name="page43"/>
    <w:bookmarkEnd w:id="42"/>
    <w:p>
      <w:pPr>
        <w:jc w:val="right"/>
        <w:ind w:right="3339"/>
        <w:spacing w:after="0"/>
        <w:rPr>
          <w:sz w:val="20"/>
          <w:szCs w:val="20"/>
          <w:color w:val="auto"/>
        </w:rPr>
      </w:pPr>
      <w:r>
        <w:rPr>
          <w:rFonts w:ascii="Courier New" w:cs="Courier New" w:eastAsia="Courier New" w:hAnsi="Courier New"/>
          <w:sz w:val="14"/>
          <w:szCs w:val="14"/>
          <w:color w:val="auto"/>
        </w:rPr>
        <w:t>Exhibit 8</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JOINT FILING AGREEMENT</w:t>
      </w:r>
    </w:p>
    <w:p>
      <w:pPr>
        <w:spacing w:after="0" w:line="147" w:lineRule="exact"/>
        <w:rPr>
          <w:sz w:val="20"/>
          <w:szCs w:val="20"/>
          <w:color w:val="auto"/>
        </w:rPr>
      </w:pPr>
    </w:p>
    <w:p>
      <w:pPr>
        <w:ind w:right="3339" w:firstLine="947"/>
        <w:spacing w:after="0" w:line="271" w:lineRule="auto"/>
        <w:rPr>
          <w:sz w:val="20"/>
          <w:szCs w:val="20"/>
          <w:color w:val="auto"/>
        </w:rPr>
      </w:pPr>
      <w:r>
        <w:rPr>
          <w:rFonts w:ascii="Courier New" w:cs="Courier New" w:eastAsia="Courier New" w:hAnsi="Courier New"/>
          <w:sz w:val="14"/>
          <w:szCs w:val="14"/>
          <w:color w:val="auto"/>
        </w:rPr>
        <w:t>In accordance with Rule 13d-1(k) under the Securities Exchange Act of 1934, as amended, the persons named below agree to the joint filing on behalf of each of them of a statement on Schedule 13D (including amendments thereto) with respect to the Ordinary Shares, NIS 1.00 par value per share, of Tower Semiconductor Ltd., and further agree that this Joint Filing Agreement be included as an Exhibit to such joint filing. In evidence thereof, the undersigned, hereby execute this Agreement this 9th day of January, 2003.</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 CORPORATION LTD.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 Noga Yatziv</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Adv. Noga Yatziv</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Company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 CORPORATION TECHNOLOGIES (ICTECH) LTD.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 Noga Yatziv</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Adv. Noga Yatziv</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Company Secretary</w:t>
            </w:r>
          </w:p>
        </w:tc>
        <w:tc>
          <w:tcPr>
            <w:tcW w:w="0" w:type="dxa"/>
            <w:vAlign w:val="bottom"/>
          </w:tcPr>
          <w:p>
            <w:pPr>
              <w:spacing w:after="0"/>
              <w:rPr>
                <w:sz w:val="1"/>
                <w:szCs w:val="1"/>
                <w:color w:val="auto"/>
              </w:rPr>
            </w:pPr>
          </w:p>
        </w:tc>
      </w:tr>
      <w:tr>
        <w:trPr>
          <w:trHeight w:val="66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MILLENIUM INVESTMENTS ELAD LTD.</w:t>
            </w:r>
          </w:p>
        </w:tc>
        <w:tc>
          <w:tcPr>
            <w:tcW w:w="0" w:type="dxa"/>
            <w:vAlign w:val="bottom"/>
          </w:tcPr>
          <w:p>
            <w:pPr>
              <w:spacing w:after="0"/>
              <w:rPr>
                <w:sz w:val="1"/>
                <w:szCs w:val="1"/>
                <w:color w:val="auto"/>
              </w:rPr>
            </w:pPr>
          </w:p>
        </w:tc>
      </w:tr>
      <w:tr>
        <w:trPr>
          <w:trHeight w:val="421"/>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 Abraham Levy</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Abraham Levy</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OFER BROTHERS PROPERTIES (1957) LTD.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/s/ Abraham Levy</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Abraham Levy</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MASHAT INVESTMENTS LTD.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 Abraham Anaby</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Abraham Anaby</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66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OFER (SHIPS HOLDINGS) LTD.</w:t>
            </w:r>
          </w:p>
        </w:tc>
        <w:tc>
          <w:tcPr>
            <w:tcW w:w="0" w:type="dxa"/>
            <w:vAlign w:val="bottom"/>
          </w:tcPr>
          <w:p>
            <w:pPr>
              <w:spacing w:after="0"/>
              <w:rPr>
                <w:sz w:val="1"/>
                <w:szCs w:val="1"/>
                <w:color w:val="auto"/>
              </w:rPr>
            </w:pPr>
          </w:p>
        </w:tc>
      </w:tr>
      <w:tr>
        <w:trPr>
          <w:trHeight w:val="421"/>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 Abraham Levy</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Abraham Levy</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r>
        <w:trPr>
          <w:trHeight w:val="66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L.Y.N. (HOLDINGS) LTD.</w:t>
            </w:r>
          </w:p>
        </w:tc>
        <w:tc>
          <w:tcPr>
            <w:tcW w:w="0" w:type="dxa"/>
            <w:vAlign w:val="bottom"/>
          </w:tcPr>
          <w:p>
            <w:pPr>
              <w:spacing w:after="0"/>
              <w:rPr>
                <w:sz w:val="1"/>
                <w:szCs w:val="1"/>
                <w:color w:val="auto"/>
              </w:rPr>
            </w:pPr>
          </w:p>
        </w:tc>
      </w:tr>
      <w:tr>
        <w:trPr>
          <w:trHeight w:val="421"/>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 Abraham Anaby</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Abraham Anaby</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66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ORO INVESTMENTS LTD.</w:t>
            </w:r>
          </w:p>
        </w:tc>
        <w:tc>
          <w:tcPr>
            <w:tcW w:w="0" w:type="dxa"/>
            <w:vAlign w:val="bottom"/>
          </w:tcPr>
          <w:p>
            <w:pPr>
              <w:spacing w:after="0"/>
              <w:rPr>
                <w:sz w:val="1"/>
                <w:szCs w:val="1"/>
                <w:color w:val="auto"/>
              </w:rPr>
            </w:pPr>
          </w:p>
        </w:tc>
      </w:tr>
      <w:tr>
        <w:trPr>
          <w:trHeight w:val="421"/>
        </w:trPr>
        <w:tc>
          <w:tcPr>
            <w:tcW w:w="8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 Liora Ofer</w:t>
            </w:r>
          </w:p>
        </w:tc>
        <w:tc>
          <w:tcPr>
            <w:tcW w:w="0" w:type="dxa"/>
            <w:vAlign w:val="bottom"/>
          </w:tcPr>
          <w:p>
            <w:pPr>
              <w:spacing w:after="0"/>
              <w:rPr>
                <w:sz w:val="1"/>
                <w:szCs w:val="1"/>
                <w:color w:val="auto"/>
              </w:rPr>
            </w:pPr>
          </w:p>
        </w:tc>
      </w:tr>
      <w:tr>
        <w:trPr>
          <w:trHeight w:val="166"/>
        </w:trPr>
        <w:tc>
          <w:tcPr>
            <w:tcW w:w="8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Liora Ofer</w:t>
            </w:r>
          </w:p>
        </w:tc>
        <w:tc>
          <w:tcPr>
            <w:tcW w:w="0" w:type="dxa"/>
            <w:vAlign w:val="bottom"/>
          </w:tcPr>
          <w:p>
            <w:pPr>
              <w:spacing w:after="0"/>
              <w:rPr>
                <w:sz w:val="1"/>
                <w:szCs w:val="1"/>
                <w:color w:val="auto"/>
              </w:rPr>
            </w:pPr>
          </w:p>
        </w:tc>
      </w:tr>
      <w:tr>
        <w:trPr>
          <w:trHeight w:val="242"/>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203" w:gutter="0" w:footer="0" w:header="0"/>
        </w:sectPr>
      </w:pPr>
    </w:p>
    <w:bookmarkStart w:id="43" w:name="page44"/>
    <w:bookmarkEnd w:id="43"/>
    <w:p>
      <w:pPr>
        <w:ind w:left="2140"/>
        <w:spacing w:after="0"/>
        <w:rPr>
          <w:sz w:val="20"/>
          <w:szCs w:val="20"/>
          <w:color w:val="auto"/>
        </w:rPr>
      </w:pPr>
      <w:r>
        <w:rPr>
          <w:rFonts w:ascii="Courier New" w:cs="Courier New" w:eastAsia="Courier New" w:hAnsi="Courier New"/>
          <w:sz w:val="14"/>
          <w:szCs w:val="14"/>
          <w:color w:val="auto"/>
        </w:rPr>
        <w:t>45</w:t>
      </w:r>
    </w:p>
    <w:sectPr>
      <w:pgSz w:w="11900" w:h="16838" w:orient="portrait"/>
      <w:cols w:equalWidth="0" w:num="1">
        <w:col w:w="9019"/>
      </w:cols>
      <w:pgMar w:left="14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lvl w:ilvl="1">
      <w:lvlJc w:val="left"/>
      <w:lvlText w:val="3"/>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lvl w:ilvl="1">
      <w:lvlJc w:val="left"/>
      <w:lvlText w:val="3"/>
      <w:numFmt w:val="bullet"/>
      <w:start w:val="1"/>
    </w:lvl>
  </w:abstractNum>
  <w:abstractNum w:abstractNumId="6">
    <w:nsid w:val="B03E0C6"/>
    <w:multiLevelType w:val="hybridMultilevel"/>
    <w:lvl w:ilvl="0">
      <w:lvlJc w:val="left"/>
      <w:lvlText w:val="-"/>
      <w:numFmt w:val="bullet"/>
      <w:start w:val="1"/>
    </w:lvl>
    <w:lvl w:ilvl="1">
      <w:lvlJc w:val="left"/>
      <w:lvlText w:val="*"/>
      <w:numFmt w:val="bullet"/>
      <w:start w:val="1"/>
    </w:lvl>
  </w:abstractNum>
  <w:abstractNum w:abstractNumId="7">
    <w:nsid w:val="189A769B"/>
    <w:multiLevelType w:val="hybridMultilevel"/>
    <w:lvl w:ilvl="0">
      <w:lvlJc w:val="left"/>
      <w:lvlText w:val="-"/>
      <w:numFmt w:val="bullet"/>
      <w:start w:val="1"/>
    </w:lvl>
    <w:lvl w:ilvl="1">
      <w:lvlJc w:val="left"/>
      <w:lvlText w:val="**"/>
      <w:numFmt w:val="bullet"/>
      <w:start w:val="1"/>
    </w:lvl>
  </w:abstractNum>
  <w:abstractNum w:abstractNumId="8">
    <w:nsid w:val="54E49EB4"/>
    <w:multiLevelType w:val="hybridMultilevel"/>
    <w:lvl w:ilvl="0">
      <w:lvlJc w:val="left"/>
      <w:lvlText w:val="-"/>
      <w:numFmt w:val="bullet"/>
      <w:start w:val="1"/>
    </w:lvl>
    <w:lvl w:ilvl="1">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lvl w:ilvl="1">
      <w:lvlJc w:val="left"/>
      <w:lvlText w:val="3"/>
      <w:numFmt w:val="bullet"/>
      <w:start w:val="1"/>
    </w:lvl>
  </w:abstractNum>
  <w:abstractNum w:abstractNumId="11">
    <w:nsid w:val="836C40E"/>
    <w:multiLevelType w:val="hybridMultilevel"/>
    <w:lvl w:ilvl="0">
      <w:lvlJc w:val="left"/>
      <w:lvlText w:val="-"/>
      <w:numFmt w:val="bullet"/>
      <w:start w:val="1"/>
    </w:lvl>
    <w:lvl w:ilvl="1">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lvl w:ilvl="1">
      <w:lvlJc w:val="left"/>
      <w:lvlText w:val="3"/>
      <w:numFmt w:val="bullet"/>
      <w:start w:val="1"/>
    </w:lvl>
  </w:abstractNum>
  <w:abstractNum w:abstractNumId="14">
    <w:nsid w:val="8138641"/>
    <w:multiLevelType w:val="hybridMultilevel"/>
    <w:lvl w:ilvl="0">
      <w:lvlJc w:val="left"/>
      <w:lvlText w:val="-"/>
      <w:numFmt w:val="bullet"/>
      <w:start w:val="1"/>
    </w:lvl>
    <w:lvl w:ilvl="1">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lvl w:ilvl="1">
      <w:lvlJc w:val="left"/>
      <w:lvlText w:val="3"/>
      <w:numFmt w:val="bullet"/>
      <w:start w:val="1"/>
    </w:lvl>
  </w:abstractNum>
  <w:abstractNum w:abstractNumId="17">
    <w:nsid w:val="737B8DDC"/>
    <w:multiLevelType w:val="hybridMultilevel"/>
    <w:lvl w:ilvl="0">
      <w:lvlJc w:val="left"/>
      <w:lvlText w:val="-"/>
      <w:numFmt w:val="bullet"/>
      <w:start w:val="1"/>
    </w:lvl>
    <w:lvl w:ilvl="1">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lvl w:ilvl="1">
      <w:lvlJc w:val="left"/>
      <w:lvlText w:val="3"/>
      <w:numFmt w:val="bullet"/>
      <w:start w:val="1"/>
    </w:lvl>
  </w:abstractNum>
  <w:abstractNum w:abstractNumId="20">
    <w:nsid w:val="4516DDE9"/>
    <w:multiLevelType w:val="hybridMultilevel"/>
    <w:lvl w:ilvl="0">
      <w:lvlJc w:val="left"/>
      <w:lvlText w:val="-"/>
      <w:numFmt w:val="bullet"/>
      <w:start w:val="1"/>
    </w:lvl>
    <w:lvl w:ilvl="1">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lvl w:ilvl="1">
      <w:lvlJc w:val="left"/>
      <w:lvlText w:val="3"/>
      <w:numFmt w:val="bullet"/>
      <w:start w:val="1"/>
    </w:lvl>
  </w:abstractNum>
  <w:abstractNum w:abstractNumId="23">
    <w:nsid w:val="419AC241"/>
    <w:multiLevelType w:val="hybridMultilevel"/>
    <w:lvl w:ilvl="0">
      <w:lvlJc w:val="left"/>
      <w:lvlText w:val="-"/>
      <w:numFmt w:val="bullet"/>
      <w:start w:val="1"/>
    </w:lvl>
    <w:lvl w:ilvl="1">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3"/>
      <w:numFmt w:val="bullet"/>
      <w:start w:val="1"/>
    </w:lvl>
  </w:abstractNum>
  <w:abstractNum w:abstractNumId="26">
    <w:nsid w:val="5072367"/>
    <w:multiLevelType w:val="hybridMultilevel"/>
    <w:lvl w:ilvl="0">
      <w:lvlJc w:val="left"/>
      <w:lvlText w:val="-"/>
      <w:numFmt w:val="bullet"/>
      <w:start w:val="1"/>
    </w:lvl>
    <w:lvl w:ilvl="1">
      <w:lvlJc w:val="left"/>
      <w:lvlText w:val="*"/>
      <w:numFmt w:val="bullet"/>
      <w:start w:val="1"/>
    </w:lvl>
  </w:abstractNum>
  <w:abstractNum w:abstractNumId="27">
    <w:nsid w:val="3804823E"/>
    <w:multiLevelType w:val="hybridMultilevel"/>
    <w:lvl w:ilvl="0">
      <w:lvlJc w:val="left"/>
      <w:lvlText w:val="o"/>
      <w:numFmt w:val="bullet"/>
      <w:start w:val="1"/>
    </w:lvl>
  </w:abstractNum>
  <w:abstractNum w:abstractNumId="28">
    <w:nsid w:val="77465F01"/>
    <w:multiLevelType w:val="hybridMultilevel"/>
    <w:lvl w:ilvl="0">
      <w:lvlJc w:val="left"/>
      <w:lvlText w:val="o"/>
      <w:numFmt w:val="bullet"/>
      <w:start w:val="1"/>
    </w:lvl>
  </w:abstractNum>
  <w:abstractNum w:abstractNumId="29">
    <w:nsid w:val="7724C67E"/>
    <w:multiLevelType w:val="hybridMultilevel"/>
    <w:lvl w:ilvl="0">
      <w:lvlJc w:val="left"/>
      <w:lvlText w:val="o"/>
      <w:numFmt w:val="bullet"/>
      <w:start w:val="1"/>
    </w:lvl>
  </w:abstractNum>
  <w:abstractNum w:abstractNumId="30">
    <w:nsid w:val="5C482A97"/>
    <w:multiLevelType w:val="hybridMultilevel"/>
    <w:lvl w:ilvl="0">
      <w:lvlJc w:val="left"/>
      <w:lvlText w:val="o"/>
      <w:numFmt w:val="bullet"/>
      <w:start w:val="1"/>
    </w:lvl>
  </w:abstractNum>
  <w:abstractNum w:abstractNumId="31">
    <w:nsid w:val="2463B9EA"/>
    <w:multiLevelType w:val="hybridMultilevel"/>
    <w:lvl w:ilvl="0">
      <w:lvlJc w:val="left"/>
      <w:lvlText w:val="o"/>
      <w:numFmt w:val="bullet"/>
      <w:start w:val="1"/>
    </w:lvl>
  </w:abstractNum>
  <w:abstractNum w:abstractNumId="32">
    <w:nsid w:val="5E884ADC"/>
    <w:multiLevelType w:val="hybridMultilevel"/>
    <w:lvl w:ilvl="0">
      <w:lvlJc w:val="left"/>
      <w:lvlText w:val="(%1)"/>
      <w:numFmt w:val="lowerRoman"/>
      <w:start w:val="3"/>
    </w:lvl>
  </w:abstractNum>
  <w:abstractNum w:abstractNumId="33">
    <w:nsid w:val="51EAD36B"/>
    <w:multiLevelType w:val="hybridMultilevel"/>
    <w:lvl w:ilvl="0">
      <w:lvlJc w:val="left"/>
      <w:lvlText w:val="(%1)"/>
      <w:numFmt w:val="lowerRoman"/>
      <w:start w:val="1"/>
    </w:lvl>
    <w:lvl w:ilvl="1">
      <w:lvlJc w:val="left"/>
      <w:lvlText w:val="(%2)"/>
      <w:numFmt w:val="upperLetter"/>
      <w:start w:val="1"/>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lvl w:ilvl="1">
      <w:lvlJc w:val="left"/>
      <w:lvlText w:val="%2."/>
      <w:numFmt w:val="decimal"/>
      <w:start w:val="1"/>
    </w:lvl>
  </w:abstractNum>
  <w:abstractNum w:abstractNumId="43">
    <w:nsid w:val="2CD89A32"/>
    <w:multiLevelType w:val="hybridMultilevel"/>
    <w:lvl w:ilvl="0">
      <w:lvlJc w:val="left"/>
      <w:lvlText w:val="%1:"/>
      <w:numFmt w:val="lowerLetter"/>
      <w:start w:val="29"/>
    </w:lvl>
  </w:abstractNum>
  <w:abstractNum w:abstractNumId="44">
    <w:nsid w:val="57E4CCA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2019-12-14T03:40:47Z</dcterms:created>
  <dcterms:modified xsi:type="dcterms:W3CDTF">2019-12-14T03:40:47Z</dcterms:modified>
</cp:coreProperties>
</file>