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left="1720" w:right="50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November 2025 No.1</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000-24790</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6" w:right="1440" w:bottom="1440" w:gutter="0" w:footer="0" w:header="0"/>
        </w:sectPr>
      </w:pPr>
    </w:p>
    <w:bookmarkStart w:id="1" w:name="page2"/>
    <w:bookmarkEnd w:id="1"/>
    <w:p>
      <w:pPr>
        <w:ind w:firstLine="324"/>
        <w:spacing w:after="0" w:line="282" w:lineRule="auto"/>
        <w:rPr>
          <w:sz w:val="20"/>
          <w:szCs w:val="20"/>
          <w:color w:val="auto"/>
        </w:rPr>
      </w:pPr>
      <w:r>
        <w:rPr>
          <w:rFonts w:ascii="Times New Roman" w:cs="Times New Roman" w:eastAsia="Times New Roman" w:hAnsi="Times New Roman"/>
          <w:sz w:val="18"/>
          <w:szCs w:val="18"/>
          <w:color w:val="auto"/>
        </w:rPr>
        <w:t>On November 10, 2025, the Registrant issued a press release announcing its financial results for the nine months and the three months ended September 30, 2025. The press release is attached hereto as Exhibit 99.1.</w:t>
      </w:r>
    </w:p>
    <w:p>
      <w:pPr>
        <w:spacing w:after="0" w:line="18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Exhibit</w:t>
        <w:tab/>
        <w:t>Press release dated November 10,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351" w:right="11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20"/>
          </w:cols>
          <w:pgMar w:left="320" w:top="34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91615" cy="86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Reports Third Quarter 2025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Guiding Fourth Quarter 2025 Revenue to be Record $440 Million,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Citing Revenue Growth Across its Core Technologies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Investing an additional $300 Million in SiPho and SiGe Capacity Growth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Next Generation Capabilities</w:t>
      </w:r>
    </w:p>
    <w:p>
      <w:pPr>
        <w:spacing w:after="0" w:line="23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November 10, 2025 – </w:t>
      </w:r>
      <w:r>
        <w:rPr>
          <w:rFonts w:ascii="Times New Roman" w:cs="Times New Roman" w:eastAsia="Times New Roman" w:hAnsi="Times New Roman"/>
          <w:sz w:val="18"/>
          <w:szCs w:val="18"/>
          <w:color w:val="auto"/>
        </w:rPr>
        <w:t>Tower Semiconductor (NASDAQ/TASE: TSEM) reports today its results for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2025 Results 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third quarter of 2025 was $396 million, representing revenue growth of 6% quarter-over-quarter.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third quarter of 2025 was $93 million, compared to $80 million in the second quarter of 2025.</w:t>
      </w:r>
    </w:p>
    <w:p>
      <w:pPr>
        <w:spacing w:after="0" w:line="23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Net profit for the third quarter of 2025 was $54 million, reflecting $0.48 basic and $0.47 diluted earnings per share. Second quarter of 2025 net profit was $47 million, reflecting $0.42 basic and $0.41 diluted earnings per share.</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Cash flow generated from operating activities in the third quarter of 2025 was $139 million and investments in property and equipment, net, were $103 million. In the second quarter of 2025, cash flow generated from operating activities was $123 million and investments in property and equipment, net, were $111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guides revenue for the fourth quarter of 2025 to be $440 million, with an upward or downward range of 5%, reflecting revenue increase of 14% year-over-year and 11% quarter-over-quarter.</w:t>
      </w:r>
    </w:p>
    <w:p>
      <w:pPr>
        <w:spacing w:after="0" w:line="1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Russell Ellwanger, Chief Executive Officer of Tower Semiconductor, stated: </w:t>
      </w:r>
      <w:r>
        <w:rPr>
          <w:rFonts w:ascii="Times New Roman" w:cs="Times New Roman" w:eastAsia="Times New Roman" w:hAnsi="Times New Roman"/>
          <w:sz w:val="18"/>
          <w:szCs w:val="18"/>
          <w:color w:val="auto"/>
        </w:rPr>
        <w:t>“We are in the best position, our core technologies - Power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Image Sensors and 65nm RF Mobile, – each demonstrating year over year revenue growth. This is an excellent foundation, on top of which our number one position in SiGe and SiPho technologies for optical transceivers, combined with data center surging demand, gives Tower a present and future pathway for unprecedented growth – both top and bottom line, given the accretive margins of these value-add solutions.”</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Ellwanger added: “We are well underway with customer qualifications, further investing in Newport Beach Fab 3, and repurposing and investing in three additional fabs towards a new and rich SiPho as well as SiGe mix. The very initial step in ramping these added capacities is evidenced by the fourth quarter 2025 revenue guidance of a record of $440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Investments</w:t>
      </w:r>
    </w:p>
    <w:p>
      <w:pPr>
        <w:spacing w:after="0" w:line="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support of the growth of the Company’s SiPho and SiGe business, the Company is allocating an additional $300 million investment for capacity growth and next generation capabilities. The additional investment includes Fab3 capacity expansion, whilst maintaining the fab at full utilization. Hence, the Company is extending its Newport Beach site lease, enabling up to an additional 3.5 years from the previous 2027 term, at an average of $24 million per year over the five-year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Monday, November 10, 2025, at 10:00 a.m. Eastern time (9:00 a.m. Central time, 8:00 a.m. Mountain time, 7:00 a.m. Pacific time and 5:00 p.m. Israel time) to discuss the Company’s financial results for the third quarter of 2025 and its business outlook.</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w:t>
      </w:r>
      <w:r>
        <w:rPr>
          <w:rFonts w:ascii="Times New Roman" w:cs="Times New Roman" w:eastAsia="Times New Roman" w:hAnsi="Times New Roman"/>
          <w:sz w:val="18"/>
          <w:szCs w:val="18"/>
          <w:u w:val="single" w:color="auto"/>
          <w:color w:val="auto"/>
        </w:rPr>
        <w:t>ir.towersemi.com</w:t>
      </w:r>
      <w:r>
        <w:rPr>
          <w:rFonts w:ascii="Times New Roman" w:cs="Times New Roman" w:eastAsia="Times New Roman" w:hAnsi="Times New Roman"/>
          <w:sz w:val="18"/>
          <w:szCs w:val="18"/>
          <w:color w:val="auto"/>
        </w:rPr>
        <w:t xml:space="preserve">. The pre-registration form required for dial-in participation is accessible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Upon completing the registration, participants will receive the dial-in details, a unique PIN, and a confirmation email with all necessary information. To access the webcast,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The teleconference will be available for replay for 90 days.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The Company presents its financial statements in accordance with U.S. generally accepted accounting principles (“GAAP”). The financial information included in 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 related reporting requirements promulgated by the Securities and Exchange Commission (the “SEC”) as they apply to our Company. These adjusted financial measures are calculated excluding the following: (i) amortization of acquired intangible assets as included in our costs and expenses, (ii) compensation expenses in respect of equity grants to directors, officers, and employees as included in our costs and expenses, (iii) merger contract termination fees received from Intel, net of associated cost and taxes following the previously announced Intel contract termination as included in net profit in 2023 and (iv) restructuring income, net, which includes income, net of cost and taxes associated with the reorganization and restructure of our operations in Japan including the cessation of operations of the Arai facility, which occurred during </w:t>
      </w:r>
      <w:r>
        <w:rPr>
          <w:rFonts w:ascii="Times New Roman" w:cs="Times New Roman" w:eastAsia="Times New Roman" w:hAnsi="Times New Roman"/>
          <w:sz w:val="18"/>
          <w:szCs w:val="18"/>
          <w:color w:val="auto"/>
        </w:rPr>
        <w:t>2022</w:t>
      </w:r>
      <w:r>
        <w:rPr>
          <w:rFonts w:ascii="Times New Roman" w:cs="Times New Roman" w:eastAsia="Times New Roman" w:hAnsi="Times New Roman"/>
          <w:sz w:val="18"/>
          <w:szCs w:val="18"/>
          <w:i w:val="1"/>
          <w:iCs w:val="1"/>
          <w:color w:val="auto"/>
        </w:rPr>
        <w:t>, as included in net profit. These adjusted financial measures should be evaluated in conjunction with, and are not a substitute for, GAAP financial measures. The tables also present the GAAP financial measures, which are most comparable to the adjusted financial measures used and/or presented in this release, as well as a reconciliation between the adjusted financial measures and the comparable GAAP financial measures. As used and/or presented in this release and/or prior earnings related filings and/or in related public disclosures or filings with respect to the financial statements and/or results of the Company, as well as may be included and calculated in the tables herein, the term Earnings Before Interest Taxes, Depreciation and Amortization which we define as EBITDA consists of operating profit in accordance with GAAP, excluding (i) depreciation expenses, which include depreciation recorded in cost of revenue and in operating cost and expenses lines (e.g.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research and development related equipment and/or fixed other assets depreciation), (ii) stock-based compensation expense,</w:t>
      </w:r>
    </w:p>
    <w:p>
      <w:pPr>
        <w:spacing w:after="0" w:line="9" w:lineRule="exact"/>
        <w:rPr>
          <w:sz w:val="20"/>
          <w:szCs w:val="20"/>
          <w:color w:val="auto"/>
        </w:rPr>
      </w:pPr>
    </w:p>
    <w:p>
      <w:pPr>
        <w:jc w:val="both"/>
        <w:ind w:firstLine="8"/>
        <w:spacing w:after="0" w:line="277" w:lineRule="auto"/>
        <w:tabs>
          <w:tab w:leader="none" w:pos="330" w:val="left"/>
        </w:tabs>
        <w:numPr>
          <w:ilvl w:val="0"/>
          <w:numId w:val="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amortization of acquired intangible assets, (iv) merger contract termination fees received from Intel, net of associated cost following the previously announced Intel contract termination, as included in operating profit and (v) restructuring income, net in relation to the reorganization and restructure of our operations in Japan including the cessation of operations of the Arai facility, as included in operating profit. EBITDA is reconciled in the tables below and/or prior earnings-related filings and/or in related public disclosures or filings with respect to the financial statements and/or results of the Company from GAAP operating profit. EBITDA and the adjusted 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 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 filings and/or in related public disclosures or filings with respect to the financial statements and/or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 be net cash provided by operating activities (in the amounts of $139 million, $123 million and $125 million for the three months periods ended September 30, 2025, June 30, 2025 and September 30, 2024, respectively and in the amounts of $356 million and $348 million for the nine months periods ended September 30, 2025 and September 30, 2024, respectively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less cash used for investments in property and equipment, net (in the amounts of $103 million, $111 million and $128 million for the three months periods ended September 30, 2025, June 30, 2025 and September 30, 2024, respectively and in the amounts of $326 million and $338 million for the nine months periods ended September 30, 2025 and September 30, 2024,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and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Liat Avraham | Investor Relations | +972-4-6506154 |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release, as well as other statements and reports filed, stated and published in relation to this quarter’s results, include certain “forward-looking” statements within the meaning of Section 21E of the Securities Exchange Act of 1934, as amended. These forward-looking statements include, among others, projections and statements with respect to our future business, financial performance and activities. The use of words such as “projects”, “expects”, “may”, “targets”, “plans”, “intends”, “committed to”, “tracking”, or words of similar import, identifies a statement as “forward-looking.” Actual results may vary from those projected or implied by such forward-looking statements and you should not place any undue reliance on such forward-looking statements, which describe information known to us only as of the date of this release. Factors that could cause actual results to differ materially from those projected or implied by such forward-looking statements include, without limitation, risks and uncertainties associated with: (i) demand in our customers’ end markets, (ii) reliance on acquisitions and/or gaining additional capacity for growth, (iii) difficulties in achieving acceptable operational metrics and indices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resulting in high utilization and its effect on cycle time, yield and on schedule delivery, as well as customers potentially being placed on allocation, which may cause customers to transfer their business to other vendors, (vii) financial results may fluctuate from quarter to quarter,</w:t>
      </w:r>
    </w:p>
    <w:p>
      <w:pPr>
        <w:spacing w:after="0" w:line="9" w:lineRule="exact"/>
        <w:rPr>
          <w:sz w:val="20"/>
          <w:szCs w:val="20"/>
          <w:color w:val="auto"/>
        </w:rPr>
      </w:pPr>
    </w:p>
    <w:p>
      <w:pPr>
        <w:jc w:val="both"/>
        <w:ind w:firstLine="8"/>
        <w:spacing w:after="0" w:line="261" w:lineRule="auto"/>
        <w:tabs>
          <w:tab w:leader="none" w:pos="4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and other liabilities may impact our financial position and operations, (ix) our ability to successfully execute acquisitions, integrate them into our business, utilize our expanded capacity and find new business, (x) fluctuations in cash flow, (xi) our ability to satisfy the covenants stipulated in our agreements with our debt holders, (xii) pending litigation, (xiii) meeting the conditions set in approval certificates and other regulations under which we received grants and/or royalties and/or any type of funding from the Israeli, US and/or Japan governmental agencies, (xiv) receipt of orders that are lower than the customer purchase commitments or forecast and/or failure to receive customer orders currently expected, (xv) possible incurrence of additional indebtedness, (xvi) the effects of global recession, credit crisis and/or unfavorable macro-economic conditions, such as the imposition of regulatory requirements, tariffs, import and export restrictions and other trade barriers and restrictions, including the timing and availability of export licenses and permits, (xvii) our ability to accurately forecast financial performance, which is affected by limited order backlog and lengthy sales cycles which may cause financial results to fluctuate from quarter to quarter, (xviii) possible situations of obsolete inventory if forecasted demand exceeds actual demand when we create inventory before receipt of customer orders, (xix) the cyclical nature of the semiconductor industry and the resulting periodic overcapacity, fluctuations in operating results and future average selling price erosion, (xx) capacity expansion and acquisition related transactions, strategic and/or other growth or M&amp;A opportunities, including risks associated with the capacity corridor transaction with Intel announced in September 2023, in addition to other capacity and capability expansion plans, (xxi) operating our facilities at sufficient utilization rates necessary to generate and maintain positive and sustainable gross, operating and net profit, (xxii) the purchase of equipment and/or raw material (including purchases under committed contracts), the timely completion of the equipment installation, technology transfer and raising the funds 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the use of outsourced foundry services by both fabless semiconductor companies and integrated device manufacturers, (xxvii) our dependence on intellectual property rights of others, our ability to operate our business without infringing others’ intellectual property rights and our ability to enforce our intellectual property against infringement, (xxviii) the Fab 3 landlord’s alleged claims regarding noise abatement and request for judicial declaration of material non-curable breach of the lease , (xxix) retention of key employees and recruitment and retention of skilled qualified personnel, (xxx) exposure to inflation, currency rates (mainly the Israeli Shekel, the Japanese Yen and the Euro)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engagements for fab establishment, joint venture and/or capital lease transactions for capacity enhancement in advanced technologies, including risks and uncertainties associated with the Agrate fab and the capacity corridor agreement with Intel announced in September 2023, such as their qualification schedule, technology, equipment and process qualification, facility operational ramp-up, customer engagements, cost structure, required investments and other terms, which may require additional funding to cover significant capacity investment needs and other payments, the availability of which cannot be assured on favorable terms, if at all, (xxxiii) potential liabilities, cost and other impact due to reorganization and consolidation of fabrication facilities, or cessation of operations,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 stock options and/or restricted stock units, or any market expectation thereof, which may depress the market value of the Company and the price of the Company’s ordinary shares, and in addition may impair our ability to raise future capital, and (xxxvii) climate change, business interruptions due to floods, fires, pandemics, earthquakes and other natural disasters, the security situation in Israel and global trade “war”, including the potential inability to continue uninterrupted operations of the Israeli fab, impact on global supply chain to and from the Israeli fab, power interruptions, chemicals or other leaks or damages as a result therefrom, absence of workforce due to military service as well as risk that certain countries will restrict doing business with Israeli companies, including imposing restrictions due to hostilities in Israel or political instability in the region that may continue or exacerbate, and other events beyond our control. Due to instability in neighboring states, Israel could be subject to additional political, economic, and military confines, and our Israeli facility’s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release or which may otherwise affect our business is included under the heading "Risk Factors" in the Company’s most recent filings on Forms 20-F and 6-K, as were filed with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 #</w:t>
      </w:r>
    </w:p>
    <w:p>
      <w:pPr>
        <w:sectPr>
          <w:pgSz w:w="11900" w:h="16838" w:orient="portrait"/>
          <w:cols w:equalWidth="0" w:num="1">
            <w:col w:w="11240"/>
          </w:cols>
          <w:pgMar w:left="320" w:top="347" w:right="339" w:bottom="1440" w:gutter="0" w:footer="0" w:header="0"/>
        </w:sect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271,894</w:t>
            </w:r>
          </w:p>
        </w:tc>
      </w:tr>
      <w:tr>
        <w:trPr>
          <w:trHeight w:val="229"/>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950,560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946,351</w:t>
            </w:r>
          </w:p>
        </w:tc>
      </w:tr>
      <w:tr>
        <w:trPr>
          <w:trHeight w:val="230"/>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213,013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211,932</w:t>
            </w:r>
          </w:p>
        </w:tc>
      </w:tr>
      <w:tr>
        <w:trPr>
          <w:trHeight w:val="229"/>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286,682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268,295</w:t>
            </w:r>
          </w:p>
        </w:tc>
      </w:tr>
      <w:tr>
        <w:trPr>
          <w:trHeight w:val="237"/>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56,564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61,817</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1,779,561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1,760,289</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1,440,238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1,286,622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 LONG-TERM ASSETS,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32,803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33,574</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3,252,602</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3,080,485</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33,204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48,376</w:t>
            </w:r>
          </w:p>
        </w:tc>
      </w:tr>
      <w:tr>
        <w:trPr>
          <w:trHeight w:val="229"/>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131,906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130,624</w:t>
            </w:r>
          </w:p>
        </w:tc>
      </w:tr>
      <w:tr>
        <w:trPr>
          <w:trHeight w:val="230"/>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19,926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21,655</w:t>
            </w:r>
          </w:p>
        </w:tc>
      </w:tr>
      <w:tr>
        <w:trPr>
          <w:trHeight w:val="237"/>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84,206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84,409</w:t>
            </w:r>
          </w:p>
        </w:tc>
      </w:tr>
      <w:tr>
        <w:trPr>
          <w:trHeight w:val="229"/>
        </w:trPr>
        <w:tc>
          <w:tcPr>
            <w:tcW w:w="8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269,242</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285,064</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130,883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132,437</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19,895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22,804</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420,020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440,305</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2,832,582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2,640,180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3,252,602</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3,080,485</w:t>
            </w:r>
          </w:p>
        </w:tc>
      </w:tr>
      <w:tr>
        <w:trPr>
          <w:trHeight w:val="405"/>
        </w:trPr>
        <w:tc>
          <w:tcPr>
            <w:tcW w:w="86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395,667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372,061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370,512</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302,622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292,035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277,451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93,045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80,026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93,061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19,418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19,867</w:t>
            </w:r>
          </w:p>
        </w:tc>
      </w:tr>
      <w:tr>
        <w:trPr>
          <w:trHeight w:val="237"/>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20,409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20,743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17,432</w:t>
            </w:r>
          </w:p>
        </w:tc>
      </w:tr>
      <w:tr>
        <w:trPr>
          <w:trHeight w:val="270"/>
        </w:trPr>
        <w:tc>
          <w:tcPr>
            <w:tcW w:w="7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40,161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37,299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50,580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39,865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55,762</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14,387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6,104</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61,071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54,252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61,866</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(7,625)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(8,660)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(7,026)</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53,446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45,592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54,840</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(profit) attributable to non-controlling interest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(193)</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53,645</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46,551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54,647</w:t>
            </w: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0.49</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112,132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111,810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111,237</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0.41</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113,751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113,282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53,645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46,551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54,647</w:t>
            </w:r>
          </w:p>
        </w:tc>
        <w:tc>
          <w:tcPr>
            <w:tcW w:w="0" w:type="dxa"/>
            <w:vAlign w:val="bottom"/>
          </w:tcPr>
          <w:p>
            <w:pPr>
              <w:spacing w:after="0"/>
              <w:rPr>
                <w:sz w:val="1"/>
                <w:szCs w:val="1"/>
                <w:color w:val="auto"/>
              </w:rPr>
            </w:pPr>
          </w:p>
        </w:tc>
      </w:tr>
      <w:tr>
        <w:trPr>
          <w:trHeight w:val="207"/>
        </w:trPr>
        <w:tc>
          <w:tcPr>
            <w:tcW w:w="73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Stock based compensation and amortization</w:t>
            </w:r>
          </w:p>
        </w:tc>
        <w:tc>
          <w:tcPr>
            <w:tcW w:w="3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9,111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10,595</w:t>
            </w:r>
          </w:p>
        </w:tc>
        <w:tc>
          <w:tcPr>
            <w:tcW w:w="360" w:type="dxa"/>
            <w:vAlign w:val="bottom"/>
          </w:tcPr>
          <w:p>
            <w:pPr>
              <w:spacing w:after="0"/>
              <w:rPr>
                <w:sz w:val="18"/>
                <w:szCs w:val="18"/>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9,059</w:t>
            </w:r>
          </w:p>
        </w:tc>
        <w:tc>
          <w:tcPr>
            <w:tcW w:w="0" w:type="dxa"/>
            <w:vAlign w:val="bottom"/>
          </w:tcPr>
          <w:p>
            <w:pPr>
              <w:spacing w:after="0"/>
              <w:rPr>
                <w:sz w:val="1"/>
                <w:szCs w:val="1"/>
                <w:color w:val="auto"/>
              </w:rPr>
            </w:pPr>
          </w:p>
        </w:tc>
      </w:tr>
      <w:tr>
        <w:trPr>
          <w:trHeight w:val="245"/>
        </w:trPr>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of acquired intangible assets</w:t>
            </w:r>
          </w:p>
        </w:tc>
        <w:tc>
          <w:tcPr>
            <w:tcW w:w="3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62,756</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57,146</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63,706</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0.57</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7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20" w:type="dxa"/>
            <w:vAlign w:val="bottom"/>
            <w:tcBorders>
              <w:top w:val="single" w:sz="8" w:color="auto"/>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1,125,898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1,048,931</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879,656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796,342</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246,242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252,589</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61,646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58,812</w:t>
            </w:r>
          </w:p>
        </w:tc>
      </w:tr>
      <w:tr>
        <w:trPr>
          <w:trHeight w:val="229"/>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61,253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55,152</w:t>
            </w:r>
          </w:p>
        </w:tc>
      </w:tr>
      <w:tr>
        <w:trPr>
          <w:trHeight w:val="237"/>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(6,270)</w:t>
            </w:r>
          </w:p>
        </w:tc>
      </w:tr>
      <w:tr>
        <w:trPr>
          <w:trHeight w:val="230"/>
        </w:trPr>
        <w:tc>
          <w:tcPr>
            <w:tcW w:w="86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122,899</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107,694</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123,343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144,895</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35,476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17,798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158,819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162,693</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(20,064)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(8,056)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138,755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154,637</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(profit) attributable to non-controlling interest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1,583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140,338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152,726</w:t>
            </w:r>
          </w:p>
        </w:tc>
        <w:tc>
          <w:tcPr>
            <w:tcW w:w="10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111,841</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1.36</w:t>
            </w: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113,397</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112,135</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Restructuring income, net resulted from the previously disclosed reorganization and restructure of our Japan operations.</w:t>
      </w:r>
    </w:p>
    <w:p>
      <w:pPr>
        <w:spacing w:after="0" w:line="225"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140,338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152,726</w:t>
            </w:r>
          </w:p>
        </w:tc>
        <w:tc>
          <w:tcPr>
            <w:tcW w:w="0" w:type="dxa"/>
            <w:vAlign w:val="bottom"/>
          </w:tcPr>
          <w:p>
            <w:pPr>
              <w:spacing w:after="0"/>
              <w:rPr>
                <w:sz w:val="1"/>
                <w:szCs w:val="1"/>
                <w:color w:val="auto"/>
              </w:rPr>
            </w:pPr>
          </w:p>
        </w:tc>
      </w:tr>
      <w:tr>
        <w:trPr>
          <w:trHeight w:val="207"/>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Stock based compensation and amortization</w:t>
            </w:r>
          </w:p>
        </w:tc>
        <w:tc>
          <w:tcPr>
            <w:tcW w:w="320" w:type="dxa"/>
            <w:vAlign w:val="bottom"/>
          </w:tcPr>
          <w:p>
            <w:pPr>
              <w:spacing w:after="0"/>
              <w:rPr>
                <w:sz w:val="18"/>
                <w:szCs w:val="18"/>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30,041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24,497</w:t>
            </w:r>
          </w:p>
        </w:tc>
        <w:tc>
          <w:tcPr>
            <w:tcW w:w="0" w:type="dxa"/>
            <w:vAlign w:val="bottom"/>
          </w:tcPr>
          <w:p>
            <w:pPr>
              <w:spacing w:after="0"/>
              <w:rPr>
                <w:sz w:val="1"/>
                <w:szCs w:val="1"/>
                <w:color w:val="auto"/>
              </w:rPr>
            </w:pPr>
          </w:p>
        </w:tc>
      </w:tr>
      <w:tr>
        <w:trPr>
          <w:trHeight w:val="238"/>
        </w:trPr>
        <w:tc>
          <w:tcPr>
            <w:tcW w:w="8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of acquired intangible assets</w:t>
            </w:r>
          </w:p>
        </w:tc>
        <w:tc>
          <w:tcPr>
            <w:tcW w:w="3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(2,634)</w:t>
            </w:r>
          </w:p>
        </w:tc>
        <w:tc>
          <w:tcPr>
            <w:tcW w:w="0" w:type="dxa"/>
            <w:vAlign w:val="bottom"/>
          </w:tcPr>
          <w:p>
            <w:pPr>
              <w:spacing w:after="0"/>
              <w:rPr>
                <w:sz w:val="1"/>
                <w:szCs w:val="1"/>
                <w:color w:val="auto"/>
              </w:rPr>
            </w:pPr>
          </w:p>
        </w:tc>
      </w:tr>
      <w:tr>
        <w:trPr>
          <w:trHeight w:val="229"/>
        </w:trPr>
        <w:tc>
          <w:tcPr>
            <w:tcW w:w="8680" w:type="dxa"/>
            <w:vAlign w:val="bottom"/>
            <w:tcBorders>
              <w:top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170,379</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174,589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40" w:firstLine="8"/>
        <w:spacing w:after="0" w:line="302" w:lineRule="auto"/>
        <w:tabs>
          <w:tab w:leader="none" w:pos="22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net of tax and profit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7"/>
        </w:trPr>
        <w:tc>
          <w:tcPr>
            <w:tcW w:w="8680" w:type="dxa"/>
            <w:vAlign w:val="bottom"/>
          </w:tcPr>
          <w:p>
            <w:pPr>
              <w:spacing w:after="0"/>
              <w:rPr>
                <w:sz w:val="20"/>
                <w:szCs w:val="20"/>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265,293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139,423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124,743</w:t>
            </w:r>
          </w:p>
        </w:tc>
      </w:tr>
      <w:tr>
        <w:trPr>
          <w:trHeight w:val="22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(103,490)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(127,624)</w:t>
            </w:r>
          </w:p>
        </w:tc>
      </w:tr>
      <w:tr>
        <w:trPr>
          <w:trHeight w:val="230"/>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Debt received (repaid),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(6,875)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(16,402)</w:t>
            </w:r>
          </w:p>
        </w:tc>
      </w:tr>
      <w:tr>
        <w:trPr>
          <w:trHeight w:val="22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5,537</w:t>
            </w:r>
          </w:p>
        </w:tc>
      </w:tr>
      <w:tr>
        <w:trPr>
          <w:trHeight w:val="237"/>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and marketable securities, net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19,412</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46"/>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8680" w:type="dxa"/>
            <w:vAlign w:val="bottom"/>
          </w:tcPr>
          <w:p>
            <w:pPr>
              <w:spacing w:after="0"/>
              <w:rPr>
                <w:sz w:val="20"/>
                <w:szCs w:val="20"/>
                <w:color w:val="auto"/>
              </w:rPr>
            </w:pPr>
          </w:p>
        </w:tc>
        <w:tc>
          <w:tcPr>
            <w:tcW w:w="1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355,944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347,866</w:t>
            </w: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(325,583)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(338,257)</w:t>
            </w: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(28,645)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(35,250)</w:t>
            </w:r>
          </w:p>
        </w:tc>
      </w:tr>
      <w:tr>
        <w:trPr>
          <w:trHeight w:val="22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214</w:t>
            </w:r>
          </w:p>
        </w:tc>
      </w:tr>
      <w:tr>
        <w:trPr>
          <w:trHeight w:val="237"/>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and marketable securities, net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(3,530)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35,742</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jc w:val="center"/>
        <w:ind w:left="340" w:right="228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2"/>
                <w:szCs w:val="22"/>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6"/>
        </w:trPr>
        <w:tc>
          <w:tcPr>
            <w:tcW w:w="5980" w:type="dxa"/>
            <w:vAlign w:val="bottom"/>
          </w:tcPr>
          <w:p>
            <w:pPr>
              <w:spacing w:after="0"/>
              <w:rPr>
                <w:sz w:val="20"/>
                <w:szCs w:val="20"/>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53,446</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54,840</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138,755</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154,637</w:t>
            </w: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76,456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65,348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225,320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190,459</w:t>
            </w:r>
          </w:p>
        </w:tc>
      </w:tr>
      <w:tr>
        <w:trPr>
          <w:trHeight w:val="230"/>
        </w:trPr>
        <w:tc>
          <w:tcPr>
            <w:tcW w:w="5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6,289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3,995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12,282</w:t>
            </w:r>
          </w:p>
        </w:tc>
      </w:tr>
      <w:tr>
        <w:trPr>
          <w:trHeight w:val="229"/>
        </w:trPr>
        <w:tc>
          <w:tcPr>
            <w:tcW w:w="59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(27,911)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(41,002)</w:t>
            </w:r>
          </w:p>
        </w:tc>
      </w:tr>
      <w:tr>
        <w:trPr>
          <w:trHeight w:val="230"/>
        </w:trPr>
        <w:tc>
          <w:tcPr>
            <w:tcW w:w="59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12,785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5,435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2,472</w:t>
            </w:r>
          </w:p>
        </w:tc>
      </w:tr>
      <w:tr>
        <w:trPr>
          <w:trHeight w:val="229"/>
        </w:trPr>
        <w:tc>
          <w:tcPr>
            <w:tcW w:w="5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(1,983)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14,093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(13,856)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8,134</w:t>
            </w:r>
          </w:p>
        </w:tc>
      </w:tr>
      <w:tr>
        <w:trPr>
          <w:trHeight w:val="230"/>
        </w:trPr>
        <w:tc>
          <w:tcPr>
            <w:tcW w:w="59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(6,516)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4,646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(7,462)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17,464</w:t>
            </w:r>
          </w:p>
        </w:tc>
      </w:tr>
      <w:tr>
        <w:trPr>
          <w:trHeight w:val="229"/>
        </w:trPr>
        <w:tc>
          <w:tcPr>
            <w:tcW w:w="5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(2,049)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(7,506)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(6,071)</w:t>
            </w:r>
          </w:p>
        </w:tc>
      </w:tr>
      <w:tr>
        <w:trPr>
          <w:trHeight w:val="229"/>
        </w:trPr>
        <w:tc>
          <w:tcPr>
            <w:tcW w:w="59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(2,178)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14,964</w:t>
            </w:r>
          </w:p>
        </w:tc>
      </w:tr>
      <w:tr>
        <w:trPr>
          <w:trHeight w:val="230"/>
        </w:trPr>
        <w:tc>
          <w:tcPr>
            <w:tcW w:w="59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(1,120)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(5,473)</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59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139,423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124,743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355,944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347,866</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(103,490)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(127,624)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(325,583)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(338,257)</w:t>
            </w:r>
          </w:p>
        </w:tc>
      </w:tr>
      <w:tr>
        <w:trPr>
          <w:trHeight w:val="237"/>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and marketable securities, net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(20,000)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19,412</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(3,530)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35,742</w:t>
            </w:r>
          </w:p>
        </w:tc>
      </w:tr>
      <w:tr>
        <w:trPr>
          <w:trHeight w:val="236"/>
        </w:trPr>
        <w:tc>
          <w:tcPr>
            <w:tcW w:w="598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(123,490)</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(108,212)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(329,113)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(302,515)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(6,875)</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(16,402)</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(28,645)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(35,250)</w:t>
            </w:r>
          </w:p>
        </w:tc>
      </w:tr>
      <w:tr>
        <w:trPr>
          <w:trHeight w:val="236"/>
        </w:trPr>
        <w:tc>
          <w:tcPr>
            <w:tcW w:w="598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(6,875)</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(28,645)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(35,250)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(1,609)</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5,537</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2,662</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214</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5,666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10,315</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265,293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260,664</w:t>
            </w: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4" w:lineRule="exact"/>
        <w:rPr>
          <w:sz w:val="20"/>
          <w:szCs w:val="20"/>
          <w:color w:val="auto"/>
        </w:rPr>
      </w:pPr>
    </w:p>
    <w:p>
      <w:pPr>
        <w:jc w:val="both"/>
        <w:ind w:firstLine="8"/>
        <w:spacing w:after="0" w:line="273" w:lineRule="auto"/>
        <w:tabs>
          <w:tab w:leader="none" w:pos="1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stock based compensation and amortization of acquired intangible assets in the amounts of $9,111 and $9,059 for the three months periods ended September 30, 2025 and September 30, 2024, respectively; and includes stock based compensation and amortization of acquired intangible assets in the amounts of $30,041 and $24,497 for the nine months periods ended September 30, 2025, and September 30,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3"/>
    </w:lvl>
  </w:abstractNum>
  <w:abstractNum w:abstractNumId="1">
    <w:nsid w:val="19495CFF"/>
    <w:multiLevelType w:val="hybridMultilevel"/>
    <w:lvl w:ilvl="0">
      <w:lvlJc w:val="left"/>
      <w:lvlText w:val="(%1)"/>
      <w:numFmt w:val="lowerRoman"/>
      <w:start w:val="8"/>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2025-11-10T06:18:07Z</dcterms:created>
  <dcterms:modified xsi:type="dcterms:W3CDTF">2025-11-10T06:18:07Z</dcterms:modified>
</cp:coreProperties>
</file>