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FORM 6-K</w:t>
      </w: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of February 2012</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 7</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TOWER SEMICONDUCTOR LTD.</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Ramat Gavriel Industrial Park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ind w:left="4460"/>
        <w:spacing w:after="0"/>
        <w:tabs>
          <w:tab w:leader="none" w:pos="6040" w:val="left"/>
        </w:tabs>
        <w:rPr>
          <w:sz w:val="20"/>
          <w:szCs w:val="20"/>
          <w:color w:val="auto"/>
        </w:rPr>
      </w:pPr>
      <w:r>
        <w:rPr>
          <w:rFonts w:ascii="Arial" w:cs="Arial" w:eastAsia="Arial" w:hAnsi="Arial"/>
          <w:sz w:val="18"/>
          <w:szCs w:val="18"/>
          <w:color w:val="auto"/>
        </w:rPr>
        <w:t>Form 20-F S</w:t>
      </w:r>
      <w:r>
        <w:rPr>
          <w:sz w:val="20"/>
          <w:szCs w:val="20"/>
          <w:color w:val="auto"/>
        </w:rPr>
        <w:tab/>
      </w:r>
      <w:r>
        <w:rPr>
          <w:rFonts w:ascii="Arial" w:cs="Arial" w:eastAsia="Arial" w:hAnsi="Arial"/>
          <w:sz w:val="16"/>
          <w:szCs w:val="16"/>
          <w:color w:val="auto"/>
        </w:rPr>
        <w:t>Form 40-F £</w:t>
      </w:r>
    </w:p>
    <w:p>
      <w:pPr>
        <w:spacing w:after="0" w:line="252"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7" w:lineRule="exact"/>
        <w:rPr>
          <w:sz w:val="24"/>
          <w:szCs w:val="24"/>
          <w:color w:val="auto"/>
        </w:rPr>
      </w:pPr>
    </w:p>
    <w:p>
      <w:pPr>
        <w:ind w:left="5000"/>
        <w:spacing w:after="0"/>
        <w:tabs>
          <w:tab w:leader="none" w:pos="6040" w:val="left"/>
        </w:tabs>
        <w:rPr>
          <w:sz w:val="20"/>
          <w:szCs w:val="20"/>
          <w:color w:val="auto"/>
        </w:rPr>
      </w:pPr>
      <w:r>
        <w:rPr>
          <w:rFonts w:ascii="Arial" w:cs="Arial" w:eastAsia="Arial" w:hAnsi="Arial"/>
          <w:sz w:val="18"/>
          <w:szCs w:val="18"/>
          <w:color w:val="auto"/>
        </w:rPr>
        <w:t>Yes £</w:t>
      </w:r>
      <w:r>
        <w:rPr>
          <w:sz w:val="20"/>
          <w:szCs w:val="20"/>
          <w:color w:val="auto"/>
        </w:rPr>
        <w:tab/>
      </w:r>
      <w:r>
        <w:rPr>
          <w:rFonts w:ascii="Arial" w:cs="Arial" w:eastAsia="Arial" w:hAnsi="Arial"/>
          <w:sz w:val="16"/>
          <w:szCs w:val="16"/>
          <w:color w:val="auto"/>
        </w:rPr>
        <w:t>No 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306" w:right="259" w:bottom="144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On February 20, 2012, the registrant announces Successful Institutional Tender Results for the Expansion of Its Existing Series F Bonds.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438785</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9840"/>
          </w:cols>
          <w:pgMar w:left="900" w:top="517" w:right="115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February 20, 2012</w:t>
      </w:r>
      <w:r>
        <w:rPr>
          <w:sz w:val="20"/>
          <w:szCs w:val="20"/>
          <w:color w:val="auto"/>
        </w:rPr>
        <w:tab/>
      </w:r>
      <w:r>
        <w:rPr>
          <w:rFonts w:ascii="Arial" w:cs="Arial" w:eastAsia="Arial" w:hAnsi="Arial"/>
          <w:sz w:val="17"/>
          <w:szCs w:val="17"/>
          <w:color w:val="auto"/>
        </w:rPr>
        <w:t>By: /s/ Nati Somekh Gilboa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15862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Nati Somekh Gilboa</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552450</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940"/>
          </w:cols>
          <w:pgMar w:left="240" w:top="513" w:right="719" w:bottom="1440" w:gutter="0" w:footer="0" w:header="0"/>
        </w:sectPr>
      </w:pPr>
    </w:p>
    <w:bookmarkStart w:id="3" w:name="page4"/>
    <w:bookmarkEnd w:id="3"/>
    <w:p>
      <w:pPr>
        <w:jc w:val="center"/>
        <w:spacing w:after="0"/>
        <w:rPr>
          <w:sz w:val="20"/>
          <w:szCs w:val="20"/>
          <w:color w:val="auto"/>
        </w:rPr>
      </w:pPr>
      <w:r>
        <w:rPr>
          <w:rFonts w:ascii="Arial" w:cs="Arial" w:eastAsia="Arial" w:hAnsi="Arial"/>
          <w:sz w:val="25"/>
          <w:szCs w:val="25"/>
          <w:b w:val="1"/>
          <w:bCs w:val="1"/>
          <w:color w:val="auto"/>
        </w:rPr>
        <w:t>Towerjazz Announces Successful Institutional Tender</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Results for the Expansion of Its Existing Series F Bonds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Received Binding Commitments of $64 Million from Institutional</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Investors for Bonds Maturing 2015-2016</w:t>
      </w:r>
    </w:p>
    <w:p>
      <w:pPr>
        <w:spacing w:after="0" w:line="2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Migdal Haemek, Israel, February 20, 2012– TowerJazz, the global specialty foundry leader, announced today that the Company received binding commitments from Israeli institutional investors for investments of approximately NIS 240 million (approximately $64 million) in an expansion of an existing series of long-term bonds issued in 2010 (‘Series F Bonds’), maturing in two equal installments in December 2015 and December 2016. The Series F Bonds are denominated in NIS and linked to the US dollar. The bonds carry an interest rate of 7.8 percent per annum, payable semi-annually on June 30 and on December 31 of each year through maturity.</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During 2011, TowerJazz redeemed and repaid debt in an aggregate amount of approximately $140 million, most of which carried interest rates of 8% or more.</w:t>
      </w:r>
    </w:p>
    <w:p>
      <w:pPr>
        <w:spacing w:after="0" w:line="2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tender, institutional investors committed to purchase 207,927 units, each comprised of (i) NIS 1,250 aggregate principal amount of Series F Bonds, maturing in December 2015 and 2016, convertible into ordinary shares commencing September 2012 at an approximate premium of 20 percent over the average market price during the period described in the offering documents filed in October 2010 in connection with the issuance of Series F Bonds; and (ii) 100 warrants to purchase ordinary shares, with a vesting schedule of two years, which may only be exercised between March 2014 and March 2016 at an approximate 20 percent premium over the average market price during a fifteen day period prior thereto, resulting in a total warrant coverage ratio of 8% of the total bond par value.</w:t>
      </w:r>
    </w:p>
    <w:p>
      <w:pPr>
        <w:spacing w:after="0" w:line="22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institutional tender was held on February 20, 2012 and commitments granted to the Company pursuant to the tender are binding. The Israeli public tender for the expansion of the Series F Bonds is expected to be held on or about February 23, 2012, subject to TASE approval.</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Series F Bonds are listed for trading on the TASE, offered in Israel only, and are not registered under the U.S. Securities Act of 1933, as amended (the "Securities Act"), and may not be offered or sold in the United States or to U.S. Persons (as defined in Regulation “S” promulgated under the Securities Act) without registration under the Securities Act or an exemption from the registration requirements of the Securities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This press release shall not be deemed to be an offer to sell or a solicitation of an offer to buy any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About TowerJazz</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Tower Semiconductor Ltd. (NASDAQ: TSEM, TASE: TSEM), the global specialty foundry leader, its fully owned U.S. subsidiary Jazz Semiconductor Ltd., and its fully owned Japanese subsidiary TowerJazz Japan, LTD, operate collectively under the brand name TowerJazz, manufacturing integrated circuits with geometries ranging from 1.0 to 0.13-micron. TowerJazz provides industry leading design enablement tools to allow complex designs to be achieved quickly and more accurately and offers a broad range of customizable process technologies including SiGe, BiCMOS, Mixed-Signal and RFCMOS, CMOS Image Sensor, Power Management (BCD), and Non-Volatile Memory (NVM) as well as MEMS capabilities. To provide multi-fab sourcing, TowerJazz maintains two manufacturing facilities in Israel, one in the U.S., and one in Japan with additional capacity available in China through manufacturing partnerships. For more information, please visit </w:t>
      </w:r>
      <w:r>
        <w:rPr>
          <w:rFonts w:ascii="Arial" w:cs="Arial" w:eastAsia="Arial" w:hAnsi="Arial"/>
          <w:sz w:val="18"/>
          <w:szCs w:val="18"/>
          <w:u w:val="single" w:color="auto"/>
          <w:color w:val="auto"/>
        </w:rPr>
        <w:t>www.towerjazz.com</w:t>
      </w:r>
      <w:r>
        <w:rPr>
          <w:rFonts w:ascii="Arial" w:cs="Arial" w:eastAsia="Arial" w:hAnsi="Arial"/>
          <w:sz w:val="18"/>
          <w:szCs w:val="18"/>
          <w:color w:val="auto"/>
        </w:rPr>
        <w: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Regarding Forward-Looking Statements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 and/or 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respectively. Tower and Jazz do not intend to update, and expressly disclaim any obligation to update, the information contained in this release.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Contacts</w:t>
            </w:r>
          </w:p>
        </w:tc>
        <w:tc>
          <w:tcPr>
            <w:tcW w:w="1920" w:type="dxa"/>
            <w:vAlign w:val="bottom"/>
          </w:tcPr>
          <w:p>
            <w:pPr>
              <w:spacing w:after="0"/>
              <w:rPr>
                <w:sz w:val="19"/>
                <w:szCs w:val="19"/>
                <w:color w:val="auto"/>
              </w:rPr>
            </w:pPr>
          </w:p>
        </w:tc>
        <w:tc>
          <w:tcPr>
            <w:tcW w:w="3780" w:type="dxa"/>
            <w:vAlign w:val="bottom"/>
          </w:tcPr>
          <w:p>
            <w:pPr>
              <w:spacing w:after="0"/>
              <w:rPr>
                <w:sz w:val="19"/>
                <w:szCs w:val="19"/>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TowerJazz Investor Relations</w:t>
            </w:r>
          </w:p>
        </w:tc>
        <w:tc>
          <w:tcPr>
            <w:tcW w:w="5700" w:type="dxa"/>
            <w:vAlign w:val="bottom"/>
            <w:gridSpan w:val="2"/>
          </w:tcPr>
          <w:p>
            <w:pPr>
              <w:spacing w:after="0"/>
              <w:rPr>
                <w:sz w:val="20"/>
                <w:szCs w:val="20"/>
                <w:color w:val="auto"/>
              </w:rPr>
            </w:pPr>
            <w:r>
              <w:rPr>
                <w:rFonts w:ascii="Arial" w:cs="Arial" w:eastAsia="Arial" w:hAnsi="Arial"/>
                <w:sz w:val="18"/>
                <w:szCs w:val="18"/>
                <w:color w:val="auto"/>
              </w:rPr>
              <w:t>CCG Investor Relations</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Noit Levi, +972 4 604 7066</w:t>
            </w:r>
          </w:p>
        </w:tc>
        <w:tc>
          <w:tcPr>
            <w:tcW w:w="5700" w:type="dxa"/>
            <w:vAlign w:val="bottom"/>
            <w:gridSpan w:val="2"/>
          </w:tcPr>
          <w:p>
            <w:pPr>
              <w:spacing w:after="0"/>
              <w:rPr>
                <w:sz w:val="20"/>
                <w:szCs w:val="20"/>
                <w:color w:val="auto"/>
              </w:rPr>
            </w:pPr>
            <w:r>
              <w:rPr>
                <w:rFonts w:ascii="Arial" w:cs="Arial" w:eastAsia="Arial" w:hAnsi="Arial"/>
                <w:sz w:val="18"/>
                <w:szCs w:val="18"/>
                <w:color w:val="auto"/>
              </w:rPr>
              <w:t>Ehud Helft / Kenny Green, (646) 201 9246</w:t>
            </w:r>
          </w:p>
        </w:tc>
      </w:tr>
      <w:tr>
        <w:trPr>
          <w:trHeight w:val="190"/>
        </w:trPr>
        <w:tc>
          <w:tcPr>
            <w:tcW w:w="5720" w:type="dxa"/>
            <w:vAlign w:val="bottom"/>
            <w:gridSpan w:val="2"/>
          </w:tcPr>
          <w:p>
            <w:pPr>
              <w:spacing w:after="0" w:line="190" w:lineRule="exact"/>
              <w:rPr>
                <w:sz w:val="20"/>
                <w:szCs w:val="20"/>
                <w:color w:val="auto"/>
              </w:rPr>
            </w:pPr>
            <w:r>
              <w:rPr>
                <w:rFonts w:ascii="Arial" w:cs="Arial" w:eastAsia="Arial" w:hAnsi="Arial"/>
                <w:sz w:val="18"/>
                <w:szCs w:val="18"/>
                <w:color w:val="auto"/>
              </w:rPr>
              <w:t>noitle@towersemi.com</w:t>
            </w:r>
          </w:p>
        </w:tc>
        <w:tc>
          <w:tcPr>
            <w:tcW w:w="5700" w:type="dxa"/>
            <w:vAlign w:val="bottom"/>
            <w:gridSpan w:val="2"/>
          </w:tcPr>
          <w:p>
            <w:pPr>
              <w:spacing w:after="0" w:line="190" w:lineRule="exact"/>
              <w:rPr>
                <w:sz w:val="20"/>
                <w:szCs w:val="20"/>
                <w:color w:val="auto"/>
              </w:rPr>
            </w:pPr>
            <w:r>
              <w:rPr>
                <w:rFonts w:ascii="Arial" w:cs="Arial" w:eastAsia="Arial" w:hAnsi="Arial"/>
                <w:sz w:val="18"/>
                <w:szCs w:val="18"/>
                <w:color w:val="auto"/>
              </w:rPr>
              <w:t>towersemi@ccgisrael.com</w:t>
            </w:r>
          </w:p>
        </w:tc>
      </w:tr>
      <w:tr>
        <w:trPr>
          <w:trHeight w:val="355"/>
        </w:trPr>
        <w:tc>
          <w:tcPr>
            <w:tcW w:w="1680" w:type="dxa"/>
            <w:vAlign w:val="bottom"/>
            <w:tcBorders>
              <w:top w:val="single" w:sz="8" w:color="auto"/>
            </w:tcBorders>
          </w:tcPr>
          <w:p>
            <w:pPr>
              <w:spacing w:after="0"/>
              <w:rPr>
                <w:sz w:val="24"/>
                <w:szCs w:val="24"/>
                <w:color w:val="auto"/>
              </w:rPr>
            </w:pPr>
          </w:p>
        </w:tc>
        <w:tc>
          <w:tcPr>
            <w:tcW w:w="404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3780" w:type="dxa"/>
            <w:vAlign w:val="bottom"/>
          </w:tcPr>
          <w:p>
            <w:pPr>
              <w:spacing w:after="0"/>
              <w:rPr>
                <w:sz w:val="24"/>
                <w:szCs w:val="24"/>
                <w:color w:val="auto"/>
              </w:rPr>
            </w:pPr>
          </w:p>
        </w:tc>
      </w:tr>
      <w:tr>
        <w:trPr>
          <w:trHeight w:val="71"/>
        </w:trPr>
        <w:tc>
          <w:tcPr>
            <w:tcW w:w="1680" w:type="dxa"/>
            <w:vAlign w:val="bottom"/>
            <w:shd w:val="clear" w:color="auto" w:fill="808080"/>
          </w:tcPr>
          <w:p>
            <w:pPr>
              <w:spacing w:after="0"/>
              <w:rPr>
                <w:sz w:val="6"/>
                <w:szCs w:val="6"/>
                <w:color w:val="auto"/>
              </w:rPr>
            </w:pPr>
          </w:p>
        </w:tc>
        <w:tc>
          <w:tcPr>
            <w:tcW w:w="4040" w:type="dxa"/>
            <w:vAlign w:val="bottom"/>
            <w:shd w:val="clear" w:color="auto" w:fill="808080"/>
          </w:tcPr>
          <w:p>
            <w:pPr>
              <w:spacing w:after="0"/>
              <w:rPr>
                <w:sz w:val="6"/>
                <w:szCs w:val="6"/>
                <w:color w:val="auto"/>
              </w:rPr>
            </w:pPr>
          </w:p>
        </w:tc>
        <w:tc>
          <w:tcPr>
            <w:tcW w:w="1920" w:type="dxa"/>
            <w:vAlign w:val="bottom"/>
            <w:shd w:val="clear" w:color="auto" w:fill="808080"/>
          </w:tcPr>
          <w:p>
            <w:pPr>
              <w:spacing w:after="0"/>
              <w:rPr>
                <w:sz w:val="6"/>
                <w:szCs w:val="6"/>
                <w:color w:val="auto"/>
              </w:rPr>
            </w:pPr>
          </w:p>
        </w:tc>
        <w:tc>
          <w:tcPr>
            <w:tcW w:w="3780" w:type="dxa"/>
            <w:vAlign w:val="bottom"/>
            <w:shd w:val="clear" w:color="auto" w:fill="808080"/>
          </w:tcPr>
          <w:p>
            <w:pPr>
              <w:spacing w:after="0"/>
              <w:rPr>
                <w:sz w:val="6"/>
                <w:szCs w:val="6"/>
                <w:color w:val="auto"/>
              </w:rPr>
            </w:pPr>
          </w:p>
        </w:tc>
      </w:tr>
    </w:tbl>
    <w:p>
      <w:pPr>
        <w:spacing w:after="0" w:line="1" w:lineRule="exact"/>
        <w:rPr>
          <w:sz w:val="20"/>
          <w:szCs w:val="20"/>
          <w:color w:val="auto"/>
        </w:rPr>
      </w:pPr>
    </w:p>
    <w:sectPr>
      <w:pgSz w:w="11900" w:h="16838" w:orient="portrait"/>
      <w:cols w:equalWidth="0" w:num="1">
        <w:col w:w="11420"/>
      </w:cols>
      <w:pgMar w:left="240" w:top="5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2019-12-09T11:29:14Z</dcterms:created>
  <dcterms:modified xsi:type="dcterms:W3CDTF">2019-12-09T11:29:14Z</dcterms:modified>
</cp:coreProperties>
</file>