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As filed with the Securities and Exchange Commission on March 29, 2007 </w:t>
      </w:r>
      <w:r>
        <w:rPr>
          <w:rFonts w:ascii="Arial" w:cs="Arial" w:eastAsia="Arial" w:hAnsi="Arial"/>
          <w:sz w:val="15"/>
          <w:szCs w:val="15"/>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199"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F-3</w:t>
      </w:r>
    </w:p>
    <w:p>
      <w:pPr>
        <w:spacing w:after="0" w:line="3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908" w:orient="portrait"/>
          <w:cols w:equalWidth="0" w:num="2">
            <w:col w:w="6580" w:space="720"/>
            <w:col w:w="4120"/>
          </w:cols>
          <w:pgMar w:left="240" w:top="233" w:right="239" w:bottom="0" w:gutter="0" w:footer="0" w:header="0"/>
          <w:type w:val="continuous"/>
        </w:sectPr>
      </w:pP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8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480" w:type="dxa"/>
            <w:vAlign w:val="bottom"/>
          </w:tcPr>
          <w:p>
            <w:pPr>
              <w:jc w:val="center"/>
              <w:ind w:right="212"/>
              <w:spacing w:after="0"/>
              <w:rPr>
                <w:sz w:val="20"/>
                <w:szCs w:val="20"/>
                <w:color w:val="auto"/>
              </w:rPr>
            </w:pPr>
            <w:r>
              <w:rPr>
                <w:rFonts w:ascii="Arial" w:cs="Arial" w:eastAsia="Arial" w:hAnsi="Arial"/>
                <w:sz w:val="18"/>
                <w:szCs w:val="18"/>
                <w:b w:val="1"/>
                <w:bCs w:val="1"/>
                <w:color w:val="auto"/>
                <w:w w:val="95"/>
              </w:rPr>
              <w:t>DAVID H. SCHAPIRO, ESQ</w:t>
            </w:r>
          </w:p>
        </w:tc>
        <w:tc>
          <w:tcPr>
            <w:tcW w:w="5380" w:type="dxa"/>
            <w:vAlign w:val="bottom"/>
          </w:tcPr>
          <w:p>
            <w:pPr>
              <w:jc w:val="center"/>
              <w:ind w:left="315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480" w:type="dxa"/>
            <w:vAlign w:val="bottom"/>
          </w:tcPr>
          <w:p>
            <w:pPr>
              <w:jc w:val="center"/>
              <w:ind w:right="232"/>
              <w:spacing w:after="0"/>
              <w:rPr>
                <w:sz w:val="20"/>
                <w:szCs w:val="20"/>
                <w:color w:val="auto"/>
              </w:rPr>
            </w:pPr>
            <w:r>
              <w:rPr>
                <w:rFonts w:ascii="Arial" w:cs="Arial" w:eastAsia="Arial" w:hAnsi="Arial"/>
                <w:sz w:val="18"/>
                <w:szCs w:val="18"/>
                <w:b w:val="1"/>
                <w:bCs w:val="1"/>
                <w:color w:val="auto"/>
                <w:w w:val="98"/>
              </w:rPr>
              <w:t>ARI FRIED, ESQ</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89"/>
              </w:rPr>
              <w:t>Eilenberg, Krause &amp; Paul LLP</w:t>
            </w:r>
          </w:p>
        </w:tc>
      </w:tr>
      <w:tr>
        <w:trPr>
          <w:trHeight w:val="255"/>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93"/>
              </w:rPr>
              <w:t>Yigal Arnon &amp; Co.</w:t>
            </w:r>
          </w:p>
        </w:tc>
        <w:tc>
          <w:tcPr>
            <w:tcW w:w="5380" w:type="dxa"/>
            <w:vAlign w:val="bottom"/>
          </w:tcPr>
          <w:p>
            <w:pPr>
              <w:jc w:val="center"/>
              <w:ind w:left="315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92"/>
              </w:rPr>
              <w:t>1 Azrieli Center</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480" w:type="dxa"/>
            <w:vAlign w:val="bottom"/>
          </w:tcPr>
          <w:p>
            <w:pPr>
              <w:jc w:val="center"/>
              <w:ind w:right="232"/>
              <w:spacing w:after="0"/>
              <w:rPr>
                <w:sz w:val="20"/>
                <w:szCs w:val="20"/>
                <w:color w:val="auto"/>
              </w:rPr>
            </w:pPr>
            <w:r>
              <w:rPr>
                <w:rFonts w:ascii="Arial" w:cs="Arial" w:eastAsia="Arial" w:hAnsi="Arial"/>
                <w:sz w:val="18"/>
                <w:szCs w:val="18"/>
                <w:color w:val="auto"/>
                <w:w w:val="90"/>
              </w:rPr>
              <w:t>Tel Aviv, 67021 Israel</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88"/>
              </w:rPr>
              <w:t>Tel: 212-986-9700</w:t>
            </w:r>
          </w:p>
        </w:tc>
      </w:tr>
      <w:tr>
        <w:trPr>
          <w:trHeight w:val="222"/>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89"/>
              </w:rPr>
              <w:t>Tel: 972-3-608-7856</w:t>
            </w:r>
          </w:p>
        </w:tc>
        <w:tc>
          <w:tcPr>
            <w:tcW w:w="538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Class of</w:t>
            </w: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49"/>
        </w:trPr>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 Price Per</w:t>
            </w:r>
          </w:p>
        </w:tc>
        <w:tc>
          <w:tcPr>
            <w:tcW w:w="6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95"/>
        </w:trPr>
        <w:tc>
          <w:tcPr>
            <w:tcW w:w="3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r>
    </w:tbl>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Ordinary Shares, par</w:t>
            </w:r>
          </w:p>
        </w:tc>
        <w:tc>
          <w:tcPr>
            <w:tcW w:w="2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value NIS 1.00 per</w:t>
            </w:r>
          </w:p>
        </w:tc>
        <w:tc>
          <w:tcPr>
            <w:tcW w:w="2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share (1)</w:t>
            </w:r>
          </w:p>
        </w:tc>
        <w:tc>
          <w:tcPr>
            <w:tcW w:w="2560" w:type="dxa"/>
            <w:vAlign w:val="bottom"/>
          </w:tcPr>
          <w:p>
            <w:pPr>
              <w:jc w:val="right"/>
              <w:ind w:right="172"/>
              <w:spacing w:after="0"/>
              <w:rPr>
                <w:sz w:val="20"/>
                <w:szCs w:val="20"/>
                <w:color w:val="auto"/>
              </w:rPr>
            </w:pPr>
            <w:r>
              <w:rPr>
                <w:rFonts w:ascii="Arial" w:cs="Arial" w:eastAsia="Arial" w:hAnsi="Arial"/>
                <w:sz w:val="18"/>
                <w:szCs w:val="18"/>
                <w:color w:val="auto"/>
              </w:rPr>
              <w:t>47,012,993</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1.725(2)</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81,097,413</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2,490</w:t>
            </w:r>
          </w:p>
        </w:tc>
      </w:tr>
    </w:tbl>
    <w:p>
      <w:pPr>
        <w:spacing w:after="0" w:line="237" w:lineRule="exact"/>
        <w:rPr>
          <w:sz w:val="24"/>
          <w:szCs w:val="24"/>
          <w:color w:val="auto"/>
        </w:rPr>
      </w:pPr>
    </w:p>
    <w:p>
      <w:pPr>
        <w:jc w:val="both"/>
        <w:ind w:left="580" w:hanging="572"/>
        <w:spacing w:after="0" w:line="370"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(i) 18,805,197 ordinary shares of the Registrant presently outstanding, (ii) 9,402,599 ordinary shares issuable upon exercise of the Registrant’s Series I Warrants and (iii) 18,805,197 ordinary shares issuable upon exercise of the Registrant’s Series II Warrants. Pursuant to Rule 416 of the Securities</w:t>
      </w:r>
    </w:p>
    <w:p>
      <w:pPr>
        <w:sectPr>
          <w:pgSz w:w="11900" w:h="16908" w:orient="portrait"/>
          <w:cols w:equalWidth="0" w:num="1">
            <w:col w:w="11420"/>
          </w:cols>
          <w:pgMar w:left="240" w:top="233" w:right="239" w:bottom="0" w:gutter="0" w:footer="0" w:header="0"/>
          <w:type w:val="continuous"/>
        </w:sectPr>
      </w:pPr>
    </w:p>
    <w:bookmarkStart w:id="1" w:name="page2"/>
    <w:bookmarkEnd w:id="1"/>
    <w:p>
      <w:pPr>
        <w:ind w:left="580" w:right="300"/>
        <w:spacing w:after="0" w:line="268" w:lineRule="auto"/>
        <w:rPr>
          <w:sz w:val="20"/>
          <w:szCs w:val="20"/>
          <w:color w:val="auto"/>
        </w:rPr>
      </w:pPr>
      <w:r>
        <w:rPr>
          <w:rFonts w:ascii="Arial" w:cs="Arial" w:eastAsia="Arial" w:hAnsi="Arial"/>
          <w:sz w:val="18"/>
          <w:szCs w:val="18"/>
          <w:color w:val="auto"/>
        </w:rPr>
        <w:t>Act of 1933, this registration statement also includes an indeterminate number of shares that may be issued to prevent dilution from stock splits, stock dividends or similar transactions that could affect the shares to be offered by selling stockholders.</w:t>
      </w:r>
    </w:p>
    <w:p>
      <w:pPr>
        <w:spacing w:after="0" w:line="213" w:lineRule="exact"/>
        <w:rPr>
          <w:sz w:val="20"/>
          <w:szCs w:val="20"/>
          <w:color w:val="auto"/>
        </w:rPr>
      </w:pPr>
    </w:p>
    <w:p>
      <w:pPr>
        <w:ind w:left="580" w:right="6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of 1933 on the basis of the average of the high and low prices, as reported on the Nasdaq Global Market on March 27, 2007.</w:t>
      </w: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SUBJECT TO COMPLETION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DATED ____ __, 2007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194945</wp:posOffset>
            </wp:positionV>
            <wp:extent cx="20580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47,012,993 Ordinary Shares</w:t>
      </w:r>
    </w:p>
    <w:p>
      <w:pPr>
        <w:spacing w:after="0" w:line="225" w:lineRule="exact"/>
        <w:rPr>
          <w:sz w:val="20"/>
          <w:szCs w:val="20"/>
          <w:color w:val="auto"/>
        </w:rPr>
      </w:pPr>
    </w:p>
    <w:p>
      <w:pPr>
        <w:jc w:val="both"/>
        <w:ind w:right="200" w:firstLine="348"/>
        <w:spacing w:after="0" w:line="268" w:lineRule="auto"/>
        <w:rPr>
          <w:sz w:val="20"/>
          <w:szCs w:val="20"/>
          <w:color w:val="auto"/>
        </w:rPr>
      </w:pPr>
      <w:r>
        <w:rPr>
          <w:rFonts w:ascii="Arial" w:cs="Arial" w:eastAsia="Arial" w:hAnsi="Arial"/>
          <w:sz w:val="18"/>
          <w:szCs w:val="18"/>
          <w:color w:val="auto"/>
        </w:rPr>
        <w:t>This prospectus relates to the resale, from time to time, by the selling stockholders named in this prospectus of up to 47,012,993 ordinary shares, including 28,207,796 ordinary shares issuable upon exercise of outstanding warrants held by the selling stockholders.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selling stockholders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Our ordinary shares are listed on the NASDAQ Global Market under the symbol “TSEM” and on the Tel Aviv Stock Exchange in Israel under the symbol “TSEM.” On March 27, 2007, the last reported sale price of our ordinary shares on the NASDAQ Global Market was $1.71 per share and on the Tel Aviv Stock Exchange was NIS 7.182 per share.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date of this prospectus is ________,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6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461"/>
        </w:trPr>
        <w:tc>
          <w:tcPr>
            <w:tcW w:w="32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ABOUT TOWER SEMICONDUCTOR LTD</w:t>
              </w:r>
            </w:hyperlink>
          </w:p>
        </w:tc>
        <w:tc>
          <w:tcPr>
            <w:tcW w:w="6700" w:type="dxa"/>
            <w:vAlign w:val="bottom"/>
            <w:gridSpan w:val="5"/>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SPECIAL NOTE ON FORWARD-LOOKING STATEMENTS</w:t>
              </w:r>
            </w:hyperlink>
          </w:p>
        </w:tc>
        <w:tc>
          <w:tcPr>
            <w:tcW w:w="546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CAPITALIZATION</w:t>
              </w:r>
            </w:hyperlink>
          </w:p>
        </w:tc>
        <w:tc>
          <w:tcPr>
            <w:tcW w:w="846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USE OF PROCEEDS</w:t>
              </w:r>
            </w:hyperlink>
          </w:p>
        </w:tc>
        <w:tc>
          <w:tcPr>
            <w:tcW w:w="834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SELLING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SHARE CAPITAL</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TAXATION</w:t>
              </w:r>
            </w:hyperlink>
          </w:p>
        </w:tc>
        <w:tc>
          <w:tcPr>
            <w:tcW w:w="496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836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WHERE YOU CAN FIND MORE INFORMATION; INCORPORATION OF INFORMATION BY REFERENCE</w:t>
              </w:r>
            </w:hyperlink>
          </w:p>
        </w:tc>
        <w:tc>
          <w:tcPr>
            <w:tcW w:w="48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ABOUT TOWER SEMICONDUCTOR LTD.</w:t>
      </w:r>
    </w:p>
    <w:p>
      <w:pPr>
        <w:sectPr>
          <w:pgSz w:w="11900" w:h="16838" w:orient="portrait"/>
          <w:cols w:equalWidth="0" w:num="1">
            <w:col w:w="11420"/>
          </w:cols>
          <w:pgMar w:left="240" w:top="131" w:right="239" w:bottom="82" w:gutter="0" w:footer="0" w:header="0"/>
          <w:type w:val="continuous"/>
        </w:sectPr>
      </w:pPr>
    </w:p>
    <w:bookmarkStart w:id="2" w:name="page3"/>
    <w:bookmarkEnd w:id="2"/>
    <w:p>
      <w:pPr>
        <w:spacing w:after="0" w:line="68"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jc w:val="both"/>
        <w:ind w:right="40" w:firstLine="351"/>
        <w:spacing w:after="0" w:line="294" w:lineRule="auto"/>
        <w:rPr>
          <w:sz w:val="20"/>
          <w:szCs w:val="20"/>
          <w:color w:val="auto"/>
        </w:rPr>
      </w:pPr>
      <w:r>
        <w:rPr>
          <w:rFonts w:ascii="Arial" w:cs="Arial" w:eastAsia="Arial" w:hAnsi="Arial"/>
          <w:sz w:val="16"/>
          <w:szCs w:val="16"/>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February 28, 2007, Fab 1 is able to achieve capacity levels of approximately 16,000 wafers per month.</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February 28, 2007 was approximately 19,000 wafers per month. Depending on the process technology and product mix, when fully ramped-up we estimate that Fab 2 will be able to achieve capacity levels of up to approximately 40,000 wafers per month.</w:t>
      </w:r>
    </w:p>
    <w:p>
      <w:pPr>
        <w:spacing w:after="0" w:line="17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30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right="100" w:firstLine="351"/>
        <w:spacing w:after="0" w:line="285" w:lineRule="auto"/>
        <w:rPr>
          <w:sz w:val="20"/>
          <w:szCs w:val="20"/>
          <w:color w:val="auto"/>
        </w:rPr>
      </w:pPr>
      <w:r>
        <w:rPr>
          <w:rFonts w:ascii="Arial" w:cs="Arial" w:eastAsia="Arial" w:hAnsi="Arial"/>
          <w:sz w:val="16"/>
          <w:szCs w:val="16"/>
          <w:color w:val="auto"/>
        </w:rPr>
        <w:t>Fab 2 production capacity as of February 28, 2007 was approximately 19,000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7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96"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February 28, 2007, we received a cumulative amount of approximately $163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w:t>
      </w:r>
    </w:p>
    <w:p>
      <w:pPr>
        <w:sectPr>
          <w:pgSz w:w="11900" w:h="16906" w:orient="portrait"/>
          <w:cols w:equalWidth="0" w:num="1">
            <w:col w:w="11420"/>
          </w:cols>
          <w:pgMar w:left="240" w:top="131" w:right="239" w:bottom="0" w:gutter="0" w:footer="0" w:header="0"/>
        </w:sectPr>
      </w:pPr>
    </w:p>
    <w:bookmarkStart w:id="3" w:name="page4"/>
    <w:bookmarkEnd w:id="3"/>
    <w:p>
      <w:pPr>
        <w:ind w:right="20"/>
        <w:spacing w:after="0" w:line="285" w:lineRule="auto"/>
        <w:rPr>
          <w:sz w:val="20"/>
          <w:szCs w:val="20"/>
          <w:color w:val="auto"/>
        </w:rPr>
      </w:pPr>
      <w:r>
        <w:rPr>
          <w:rFonts w:ascii="Arial" w:cs="Arial" w:eastAsia="Arial" w:hAnsi="Arial"/>
          <w:sz w:val="16"/>
          <w:szCs w:val="16"/>
          <w:color w:val="auto"/>
        </w:rPr>
        <w:t>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December 31, 2006, we have invested approximately $150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cease our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 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reduce our losses.</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ectPr>
          <w:pgSz w:w="11900" w:h="16838" w:orient="portrait"/>
          <w:cols w:equalWidth="0" w:num="1">
            <w:col w:w="11420"/>
          </w:cols>
          <w:pgMar w:left="240" w:top="131" w:right="239" w:bottom="0" w:gutter="0" w:footer="0" w:header="0"/>
        </w:sectPr>
      </w:pPr>
    </w:p>
    <w:bookmarkStart w:id="4" w:name="page5"/>
    <w:bookmarkEnd w:id="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New accounting rules affecting our results.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 including our operating results, financial condition and ability to maintain our operations.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During the three months ended December 31, 2006, approximately 69% of our business was generated by six significant customers that contributed 25%, 11%, 9%, 8%, 8% and 8%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ectPr>
          <w:pgSz w:w="11900" w:h="16838" w:orient="portrait"/>
          <w:cols w:equalWidth="0" w:num="1">
            <w:col w:w="11420"/>
          </w:cols>
          <w:pgMar w:left="240" w:top="374" w:right="239" w:bottom="100" w:gutter="0" w:footer="0" w:header="0"/>
        </w:sectPr>
      </w:pPr>
    </w:p>
    <w:bookmarkStart w:id="5" w:name="page6"/>
    <w:bookmarkEnd w:id="5"/>
    <w:p>
      <w:pPr>
        <w:ind w:firstLine="348"/>
        <w:spacing w:after="0" w:line="253" w:lineRule="auto"/>
        <w:rPr>
          <w:sz w:val="20"/>
          <w:szCs w:val="20"/>
          <w:color w:val="auto"/>
        </w:rPr>
      </w:pPr>
      <w:r>
        <w:rPr>
          <w:rFonts w:ascii="Arial" w:cs="Arial" w:eastAsia="Arial" w:hAnsi="Arial"/>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evolving industry standards;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We have a large amount of long-term debt, which could have significant negative consequences. As of February 28, 2007, we had approximately $369 million of bank debt and approximately $90 million of convertible debt. Our current and future indebtedness could have significant negative consequences, including:</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fail to satisfy the covenants set forth in our amended credit facility, our banks will be able to call our loans.</w:t>
      </w:r>
    </w:p>
    <w:p>
      <w:pPr>
        <w:sectPr>
          <w:pgSz w:w="11900" w:h="16838" w:orient="portrait"/>
          <w:cols w:equalWidth="0" w:num="1">
            <w:col w:w="11420"/>
          </w:cols>
          <w:pgMar w:left="240" w:top="131" w:right="239" w:bottom="0" w:gutter="0" w:footer="0" w:header="0"/>
          <w:type w:val="continuous"/>
        </w:sectPr>
      </w:pPr>
    </w:p>
    <w:bookmarkStart w:id="6" w:name="page7"/>
    <w:bookmarkEnd w:id="6"/>
    <w:p>
      <w:pPr>
        <w:ind w:right="180" w:firstLine="351"/>
        <w:spacing w:after="0" w:line="255" w:lineRule="auto"/>
        <w:rPr>
          <w:sz w:val="20"/>
          <w:szCs w:val="20"/>
          <w:color w:val="auto"/>
        </w:rPr>
      </w:pPr>
      <w:r>
        <w:rPr>
          <w:rFonts w:ascii="Arial" w:cs="Arial" w:eastAsia="Arial" w:hAnsi="Arial"/>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and inflation may increase our cost of operations.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pacing w:after="0" w:line="25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w:t>
      </w:r>
    </w:p>
    <w:p>
      <w:pPr>
        <w:sectPr>
          <w:pgSz w:w="11900" w:h="16838" w:orient="portrait"/>
          <w:cols w:equalWidth="0" w:num="1">
            <w:col w:w="11420"/>
          </w:cols>
          <w:pgMar w:left="240" w:top="131" w:right="239" w:bottom="0" w:gutter="0" w:footer="0" w:header="0"/>
        </w:sectPr>
      </w:pPr>
    </w:p>
    <w:bookmarkStart w:id="7" w:name="page8"/>
    <w:bookmarkEnd w:id="7"/>
    <w:p>
      <w:pPr>
        <w:ind w:right="140"/>
        <w:spacing w:after="0" w:line="332" w:lineRule="auto"/>
        <w:rPr>
          <w:sz w:val="20"/>
          <w:szCs w:val="20"/>
          <w:color w:val="auto"/>
        </w:rPr>
      </w:pPr>
      <w:r>
        <w:rPr>
          <w:rFonts w:ascii="Arial" w:cs="Arial" w:eastAsia="Arial" w:hAnsi="Arial"/>
          <w:sz w:val="16"/>
          <w:szCs w:val="16"/>
          <w:color w:val="auto"/>
        </w:rPr>
        <w:t>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39"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As of December 31, 2006, we held 60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Investment Center that we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8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ectPr>
          <w:pgSz w:w="11900" w:h="16838" w:orient="portrait"/>
          <w:cols w:equalWidth="0" w:num="1">
            <w:col w:w="11400"/>
          </w:cols>
          <w:pgMar w:left="240" w:top="131" w:right="259" w:bottom="26" w:gutter="0" w:footer="0" w:header="0"/>
        </w:sectPr>
      </w:pPr>
    </w:p>
    <w:bookmarkStart w:id="8" w:name="page9"/>
    <w:bookmarkEnd w:id="8"/>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29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9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March 15, 2007, we have approximately 120.9 million ordinary shares outstanding and have outstanding securities convertible or exercisable into up to approximately 247.3 million ordinary shares. As of March 15, 2007, up to approximately100.3 million additional ordinary shares may be issued upon the conversion of our 2002 outstanding convertible debentures, 2005 outstanding convertible debentures, 2006 outstanding convertible debentures and upon exercise of warrants held by some of our major shareholders and others including warrants to purchase approximately 9.4 million ordinary shares at an exercise price of $2.04 per share and warrants to purchase approximately 18.8 ordinary shares at an exercise price of $1.70 per share in a private placement (which shares are covered by this prospectus). Additionally, in September 2006, we issued equity equivalent capital notes to our banks and to Israel Corp., which are convertible into 51,973,684 and 65,789,474 of our ordinary shares, respectively.</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addition, as of March 15, 2007, we had outstanding employee and directors options to purchase up to approximately 29.2 million shares at a weighted average exercise price of $1.86.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March 15, 2007, we had issued approximately 4.8 million of our ordinary shares to SanDisk Corporation and approximately 2.6 million ordinary shares to Alliance Semiconductor upon conversion of approximately $12 million of wafer credits. We expect that approximately up to $4.7 million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7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Further 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 ending in May 2008 will represent less than 8% of the our shares on a fully diluted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If we obtain Investment Center approval for an expansion plan (see Risk Factors – “If the Investment Center will not approve our request for a new expansion program, we would be required to seek alternative financing sources to complete the ramp-up of Fab 2, which may not be available…”), we will still need to raise considerable additional funds from other sources to finance the ramp-up of Fab 2 to exceed capacity of 24,000 wafers per month, should we decide to further increase Fab 2‘s capacity, for which we currently estimate we would need to raise approximately up to $120 million to fully ramp-up Fab 2. We regularly engage in discussions with potential investors in order to attract them to make investments in our company. However, no understandings have been</w:t>
      </w:r>
    </w:p>
    <w:p>
      <w:pPr>
        <w:sectPr>
          <w:pgSz w:w="11900" w:h="16838" w:orient="portrait"/>
          <w:cols w:equalWidth="0" w:num="1">
            <w:col w:w="11420"/>
          </w:cols>
          <w:pgMar w:left="240" w:top="131" w:right="239" w:bottom="0" w:gutter="0" w:footer="0" w:header="0"/>
        </w:sectPr>
      </w:pPr>
    </w:p>
    <w:bookmarkStart w:id="9" w:name="page10"/>
    <w:bookmarkEnd w:id="9"/>
    <w:p>
      <w:pPr>
        <w:ind w:right="460"/>
        <w:spacing w:after="0" w:line="332" w:lineRule="auto"/>
        <w:rPr>
          <w:sz w:val="20"/>
          <w:szCs w:val="20"/>
          <w:color w:val="auto"/>
        </w:rPr>
      </w:pPr>
      <w:r>
        <w:rPr>
          <w:rFonts w:ascii="Arial" w:cs="Arial" w:eastAsia="Arial" w:hAnsi="Arial"/>
          <w:sz w:val="16"/>
          <w:szCs w:val="16"/>
          <w:color w:val="auto"/>
        </w:rPr>
        <w:t>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Of our approximately 120.9 million outstanding ordinary shares as of March 15, 2007, approximately 57.7 million are freely tradable and held by non-affiliates under U.S. securities laws. In addition, certain of our affiliates (Israel Corp., SanDisk Corporation, Alliance Semiconductor, and Macronix International) hold approximately 44.3 million of our shares, of which (i) approximately 3.3 million are registered for resale and are therefore freely tradable under U.S. securities laws, (ii) approximately 37.7 million are currently eligible for sale subject to the time, volume and manner of sale limitations of Rule 144 promulgated under the U.S. Securities Act of 1933, as amended, and (iii) approximately 64,000 shares held by Alliance Semiconductor and approximately 3.3 million shares held by SanDisk Corporation, will become eligible for sale subject to the volume and manner of sale limitations of Rule 144 during 2007. Shares held by these affiliates are subject to the share transfer restrictions set forth in the shareholders agreement to which they are a party and which remain in effect through January 2008. As of March 15, 2007, up to approximately 29.7 million additional shares issuable upon the conversion of our 2005 convertible debentures are held by non-affiliates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The additional up to: (i) approximately 30 million shares issuable upon the conversion and/or exercise of the securities sold in our June 2006 public offering in Israel and (ii) approximately 5.3 million shares issuable upon exercise of warrants sold in private placements completed in November 2006 are freely tradeable in normal trading transactions in the United States. Furthermore, we have filed a registration statement covering the resale of an additional up to approximately 117.8 million shares issuable upon the conversion of equity equivalent convertible capital notes issued to our banks and Israel Corp. and if declared effective, such shares would be freely tradeable under U.S. securities laws. The registration statement of which this prospectus forms a part covers the resale of up to approximately 18.8 million shares issued to the selling stockholders pursuant to an exemption from the registration requirements of the Securities Act of 1933 in our March 2007 private placement, as well as the resale of approximately 28.2 million shares issuable upon exercise of warrants issued in such transaction. The sales of large amounts of our ordinary shares (or the potential for those sales even if they do not actually occur) may depress the market price of our ordinary shares. This could also impair our ability to raise capital through the sale of our equity securities</w:t>
      </w:r>
      <w:r>
        <w:rPr>
          <w:rFonts w:ascii="Arial" w:cs="Arial" w:eastAsia="Arial" w:hAnsi="Arial"/>
          <w:sz w:val="16"/>
          <w:szCs w:val="16"/>
          <w:i w:val="1"/>
          <w:iCs w:val="1"/>
          <w:color w:val="auto"/>
        </w:rPr>
        <w:t>.</w:t>
      </w:r>
    </w:p>
    <w:p>
      <w:pPr>
        <w:spacing w:after="0" w:line="17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80"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of March 15, 2007, our major wafer partners and Israel Corp. collectively owned approximately 37%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payment of the redemption amount on account of our outstanding debentures is subordinated to our indebtedness to our banks and obligations to secured creditors.</w:t>
      </w:r>
    </w:p>
    <w:p>
      <w:pPr>
        <w:spacing w:after="0" w:line="180"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$163 million in grants received as of February 28,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312" w:lineRule="exact"/>
        <w:rPr>
          <w:sz w:val="20"/>
          <w:szCs w:val="20"/>
          <w:color w:val="auto"/>
        </w:rPr>
      </w:pPr>
    </w:p>
    <w:p>
      <w:pPr>
        <w:ind w:right="84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indebtedness. If new indebtedness is added to our current indebtedness levels, the related risks that we now face could intensify.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w:t>
      </w:r>
    </w:p>
    <w:p>
      <w:pPr>
        <w:sectPr>
          <w:pgSz w:w="11900" w:h="16838" w:orient="portrait"/>
          <w:cols w:equalWidth="0" w:num="1">
            <w:col w:w="11420"/>
          </w:cols>
          <w:pgMar w:left="240" w:top="131" w:right="239" w:bottom="0" w:gutter="0" w:footer="0" w:header="0"/>
        </w:sectPr>
      </w:pPr>
    </w:p>
    <w:bookmarkStart w:id="10" w:name="page11"/>
    <w:bookmarkEnd w:id="10"/>
    <w:p>
      <w:pPr>
        <w:spacing w:after="0" w:line="256" w:lineRule="auto"/>
        <w:rPr>
          <w:sz w:val="20"/>
          <w:szCs w:val="20"/>
          <w:color w:val="auto"/>
        </w:rPr>
      </w:pPr>
      <w:r>
        <w:rPr>
          <w:rFonts w:ascii="Arial" w:cs="Arial" w:eastAsia="Arial" w:hAnsi="Arial"/>
          <w:sz w:val="18"/>
          <w:szCs w:val="18"/>
          <w:color w:val="auto"/>
        </w:rPr>
        <w:t>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80" w:firstLine="345"/>
        <w:spacing w:after="0" w:line="332" w:lineRule="auto"/>
        <w:rPr>
          <w:sz w:val="20"/>
          <w:szCs w:val="20"/>
          <w:color w:val="auto"/>
        </w:rPr>
      </w:pPr>
      <w:r>
        <w:rPr>
          <w:rFonts w:ascii="Arial" w:cs="Arial" w:eastAsia="Arial" w:hAnsi="Arial"/>
          <w:sz w:val="16"/>
          <w:szCs w:val="16"/>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w:t>
      </w:r>
    </w:p>
    <w:p>
      <w:pPr>
        <w:sectPr>
          <w:pgSz w:w="11900" w:h="16838" w:orient="portrait"/>
          <w:cols w:equalWidth="0" w:num="1">
            <w:col w:w="11400"/>
          </w:cols>
          <w:pgMar w:left="240" w:top="131" w:right="259" w:bottom="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materially from those expressed in forward-looking statements. You should read and interpret any forward-looking statements together with these documents.</w:t>
      </w:r>
    </w:p>
    <w:p>
      <w:pPr>
        <w:spacing w:after="0" w:line="248"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following table sets forth our long-term debt, convertible debentures and capitalization as of December 31, 2006 on an actual basis and, on an as adjusted basis to give effect to the issuance of 18,805,197 shares and 28,207,796 warrants. This table does not give pro forma effect to the proceeds we may receive from the exercise of the warrants and the issuance of shares issuable upon the exercise of the warrants and was prepared in accordance with the Israeli GAAP. The financial data is derived from our audited consolidated financial statements as of December 31,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Actual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260"/>
              <w:spacing w:after="0"/>
              <w:rPr>
                <w:sz w:val="20"/>
                <w:szCs w:val="20"/>
                <w:color w:val="auto"/>
              </w:rPr>
            </w:pPr>
            <w:r>
              <w:rPr>
                <w:rFonts w:ascii="Arial" w:cs="Arial" w:eastAsia="Arial" w:hAnsi="Arial"/>
                <w:sz w:val="14"/>
                <w:szCs w:val="14"/>
                <w:b w:val="1"/>
                <w:bCs w:val="1"/>
                <w:color w:val="auto"/>
              </w:rPr>
              <w:t>(US dollars 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gridSpan w:val="2"/>
          </w:tcPr>
          <w:p>
            <w:pPr>
              <w:spacing w:after="0"/>
              <w:rPr>
                <w:sz w:val="8"/>
                <w:szCs w:val="8"/>
                <w:color w:val="auto"/>
              </w:rPr>
            </w:pPr>
          </w:p>
        </w:tc>
        <w:tc>
          <w:tcPr>
            <w:tcW w:w="7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6,632</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6,632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356,947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356,947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debentures excluding current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maturities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62,175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62,175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Series I warrants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3,640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liability in respect of customer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advances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46,042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46,042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Shareholders' equity (deficit):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Ordinary Shares, NIS 1.00 par value per share;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800,000,000 authorized shares, 102,052,767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issued shares*, as adjusted 120,857,964, and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100,752,767 outstanding shares, as adjusted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119,557,964</w:t>
            </w:r>
          </w:p>
        </w:tc>
        <w:tc>
          <w:tcPr>
            <w:tcW w:w="7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24,187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28,638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564,580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582,872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notes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176,401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176,401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Equity component of convertible debentures and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3"/>
          </w:tcPr>
          <w:p>
            <w:pPr>
              <w:ind w:left="40"/>
              <w:spacing w:after="0"/>
              <w:rPr>
                <w:sz w:val="20"/>
                <w:szCs w:val="20"/>
                <w:color w:val="auto"/>
              </w:rPr>
            </w:pPr>
            <w:r>
              <w:rPr>
                <w:rFonts w:ascii="Arial" w:cs="Arial" w:eastAsia="Arial" w:hAnsi="Arial"/>
                <w:sz w:val="18"/>
                <w:szCs w:val="18"/>
                <w:color w:val="auto"/>
              </w:rPr>
              <w:t>cumulative stock based compensation</w:t>
            </w:r>
          </w:p>
        </w:tc>
        <w:tc>
          <w:tcPr>
            <w:tcW w:w="24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23,576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23,576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(646,682)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(646,682)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Treasury stock, 1,300,000 shares</w:t>
            </w:r>
          </w:p>
        </w:tc>
        <w:tc>
          <w:tcPr>
            <w:tcW w:w="240" w:type="dxa"/>
            <w:vAlign w:val="bottom"/>
          </w:tcPr>
          <w:p>
            <w:pPr>
              <w:spacing w:after="0"/>
              <w:rPr>
                <w:sz w:val="18"/>
                <w:szCs w:val="18"/>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(9,072)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(9,072)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132,990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155,733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699,718</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726,101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340" w:type="dxa"/>
            <w:vAlign w:val="bottom"/>
            <w:tcBorders>
              <w:bottom w:val="single" w:sz="8" w:color="808080"/>
            </w:tcBorders>
            <w:gridSpan w:val="2"/>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7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240"/>
              <w:spacing w:after="0"/>
              <w:rPr>
                <w:sz w:val="20"/>
                <w:szCs w:val="20"/>
                <w:color w:val="auto"/>
              </w:rPr>
            </w:pPr>
            <w:r>
              <w:rPr>
                <w:rFonts w:ascii="Arial" w:cs="Arial" w:eastAsia="Arial" w:hAnsi="Arial"/>
                <w:sz w:val="18"/>
                <w:szCs w:val="18"/>
                <w:color w:val="auto"/>
              </w:rPr>
              <w:t>Includes 1,300,000 treasury shares.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March 15, 2007:</w:t>
      </w:r>
    </w:p>
    <w:p>
      <w:pPr>
        <w:spacing w:after="0" w:line="225" w:lineRule="exact"/>
        <w:rPr>
          <w:sz w:val="20"/>
          <w:szCs w:val="20"/>
          <w:color w:val="auto"/>
        </w:rPr>
      </w:pPr>
    </w:p>
    <w:p>
      <w:pPr>
        <w:ind w:left="1160" w:right="38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20,112,543 shares that we issued since December 31, 2006, including 18,805,197 outstanding shares covered by the registration statement of which this prospectus forms a part;</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14,384,885 ordinary shares issuable upon exercise of options granted to employees and directors at a weighted average exercise price of $2.15;</w:t>
      </w:r>
    </w:p>
    <w:p>
      <w:pPr>
        <w:spacing w:after="0" w:line="275" w:lineRule="exact"/>
        <w:rPr>
          <w:rFonts w:ascii="Arial" w:cs="Arial" w:eastAsia="Arial" w:hAnsi="Arial"/>
          <w:sz w:val="16"/>
          <w:szCs w:val="16"/>
          <w:color w:val="auto"/>
        </w:rPr>
      </w:pPr>
    </w:p>
    <w:p>
      <w:pPr>
        <w:ind w:left="1160" w:right="44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14,782,483 ordinary shares issuable upon exercise of options granted to our Chief Executive Officer at a weighted average exercise price of $1.44;</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1,348,527 ordinary shares issuable upon conversion of unsecured, subordinated convertible debentures, net, that we issued in January 2002, which are convertible through December 31, 2008;</w:t>
      </w:r>
    </w:p>
    <w:p>
      <w:pPr>
        <w:spacing w:after="0" w:line="212"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896,596 ordinary shares issuable upon exercise of warrants issued to our banks in connection with our credit facility with an exercise price of $6.17 per share exercisable until September 2011;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12"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12" w:lineRule="exact"/>
        <w:rPr>
          <w:rFonts w:ascii="Arial" w:cs="Arial" w:eastAsia="Arial" w:hAnsi="Arial"/>
          <w:sz w:val="18"/>
          <w:szCs w:val="18"/>
          <w:color w:val="auto"/>
        </w:rPr>
      </w:pPr>
    </w:p>
    <w:p>
      <w:pPr>
        <w:ind w:left="1160" w:right="56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26,678,718 ordinary shares issuable upon conversion of our debentures convertible until December 2011, pursuant to the prospectus dated December 15, 2005;</w:t>
      </w:r>
    </w:p>
    <w:p>
      <w:pPr>
        <w:sectPr>
          <w:pgSz w:w="11900" w:h="16838" w:orient="portrait"/>
          <w:cols w:equalWidth="0" w:num="1">
            <w:col w:w="11420"/>
          </w:cols>
          <w:pgMar w:left="240" w:top="131" w:right="239" w:bottom="0" w:gutter="0" w:footer="0" w:header="0"/>
        </w:sectPr>
      </w:pPr>
    </w:p>
    <w:bookmarkStart w:id="12" w:name="page13"/>
    <w:bookmarkEnd w:id="12"/>
    <w:p>
      <w:pPr>
        <w:ind w:left="1160" w:right="44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117,763,158 ordinary shares issuable upon conversion of the equity equivalent convertible capital notes we issued to our banks and to Israel Corp., in September 2006;</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5,481,000 ordinary shares issuable upon exercise of warrants issued in our June 2006 public offering in Israel with an exercise price of NIS 7.40 per share and exercisable until June 2009;</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5,227,500 ordinary shares issuable upon exercise of warrants sold in our private placements completed in November 2006, with an exercise price of approximately $2.26 per share and exercisable until December 2010;</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24,232,464 ordinary shares issuable upon conversion of our debentures convertible until December 2011, issued pursuant to our June 2006 public offering in Israel; and</w:t>
      </w:r>
    </w:p>
    <w:p>
      <w:pPr>
        <w:spacing w:after="0" w:line="212" w:lineRule="exact"/>
        <w:rPr>
          <w:rFonts w:ascii="Arial" w:cs="Arial" w:eastAsia="Arial" w:hAnsi="Arial"/>
          <w:sz w:val="18"/>
          <w:szCs w:val="18"/>
          <w:color w:val="auto"/>
        </w:rPr>
      </w:pPr>
    </w:p>
    <w:p>
      <w:pPr>
        <w:ind w:left="1160" w:right="30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28,207,796 ordinary shares covered by the registration statement of which this prospectus forms a part, issuable upon exercise of the warrants issued in our March 2007 private placement.</w:t>
      </w:r>
    </w:p>
    <w:p>
      <w:pPr>
        <w:spacing w:after="0" w:line="200" w:lineRule="exact"/>
        <w:rPr>
          <w:sz w:val="20"/>
          <w:szCs w:val="20"/>
          <w:color w:val="auto"/>
        </w:rPr>
      </w:pPr>
    </w:p>
    <w:p>
      <w:pPr>
        <w:spacing w:after="0" w:line="22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$4.7 million in wafer prepayment credits (as of January 31, 2007) which we have issued to our major wafer partners; (ii) ordinary shares issuable upon conversion of securities we may be required to issue in connection with a rights offering and outside investor provisions agreed to in the November 2003 amendment to our facility agreement;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We will not receive any proceeds from the sale of ordinary shares by the selling stockholders. All net proceeds from the sale of the ordinary shares covered by this prospectus will go to the selling stockholders. Upon exercise by payment of cash of any warrants whose underlying shares are covered hereby, however, we will receive the exercise price of the warrants. If all of such warrants are exercised for cash, we will receive approximately $51 million. We expect to use the proceeds we receive from the exercise of warrants, if any, for the purchase of equipment and for general working capital purposes.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1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ordinary shares or interests in shares of ordinary shares received after the date of this prospectus from a selling stockholder as a gift, pledge, partnership distribution or other transfer, may, from time to time, sell, transfer or otherwise dispose of any or all of their shares of ordinary shares or interests in shares of ordinary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right="260" w:firstLine="359"/>
        <w:spacing w:after="0" w:line="268" w:lineRule="auto"/>
        <w:tabs>
          <w:tab w:leader="none" w:pos="4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85"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 and</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combination of any such methods of sale, or any other methods permitted by applicable law.</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ordinary shares in other circumstances, in which case the transferees, pledgees or other successors in interest will be the selling beneficial owners for purposes of this prospectus.</w:t>
      </w:r>
    </w:p>
    <w:p>
      <w:pPr>
        <w:sectPr>
          <w:pgSz w:w="11900" w:h="16838" w:orient="portrait"/>
          <w:cols w:equalWidth="0" w:num="1">
            <w:col w:w="11420"/>
          </w:cols>
          <w:pgMar w:left="240" w:top="131" w:right="239" w:bottom="121" w:gutter="0" w:footer="0" w:header="0"/>
        </w:sectPr>
      </w:pPr>
    </w:p>
    <w:bookmarkStart w:id="13" w:name="page14"/>
    <w:bookmarkEnd w:id="13"/>
    <w:p>
      <w:pPr>
        <w:ind w:right="40" w:firstLine="351"/>
        <w:spacing w:after="0" w:line="290" w:lineRule="auto"/>
        <w:rPr>
          <w:sz w:val="20"/>
          <w:szCs w:val="20"/>
          <w:color w:val="auto"/>
        </w:rPr>
      </w:pPr>
      <w:r>
        <w:rPr>
          <w:rFonts w:ascii="Arial" w:cs="Arial" w:eastAsia="Arial" w:hAnsi="Arial"/>
          <w:sz w:val="16"/>
          <w:szCs w:val="16"/>
          <w:color w:val="auto"/>
        </w:rPr>
        <w:t>In connection with the sale of our ordinary shares or interests therein, the selling stockholders may enter into hedging transactions with broker-dealers or other financial institutions, which may in turn engage in short sales of the ordinary shares in the course of hedging the positions they assume. The selling stockholders may also sell our ordinary shares short and deliver these securities to close out their short positions and to return borrowed shares in connection with such short sales, or loan or pledge the ordinary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aggregate proceeds to the selling stockholders from the sale of the ordinary shares offered by them will be the purchase price of the ordinary shares less discounts or commissions, if any. Each of the selling stockholders reserves the right to accept and, together with their agents from time to time, to reject, in whole or in part, any proposed purchase of ordinary shares to be made directly or through agents. We will not receive any of the proceeds from this offering. Upon any exercise of any warrants by payment of cash, however, we will receive the exercise price of the warrants.</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ordinary shares or interests therein may be deemed to be “underwriters” within the meaning of Section 2(11) of the Securities Act. Any discounts, commissions, concessions or profit they earn on any resale of the shares may be deemed to be underwriting discounts and commissions under the Securities Act. At the time a particular offering of the ordinary shares is made, a prospectus supplement, if required (or if appropriate, a post-effective amendment to this registration statement which includes this prospectus), will be filed, which will set forth the aggregate amount of ordinary shares being offered and the terms of the offering, including the name or names of any broker-dealers or agents, any discounts, commissions and other terms constituting compensation from the selling stockholders and any discount, commissions or concessions allowed or reallowed or paid to broker-dealers.</w:t>
      </w:r>
    </w:p>
    <w:p>
      <w:pPr>
        <w:spacing w:after="0" w:line="172"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securities laws of some states,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86"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144(k) of the Securities 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the Offering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or expect to incur, the following estimated expenses in connection with the sale of the securities covered by this prospectus: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Securities and Exchange Commission Registration Fee</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20" w:type="dxa"/>
            <w:vAlign w:val="bottom"/>
            <w:shd w:val="clear" w:color="auto" w:fill="CCEEFF"/>
          </w:tcPr>
          <w:p>
            <w:pPr>
              <w:spacing w:after="0"/>
              <w:rPr>
                <w:sz w:val="18"/>
                <w:szCs w:val="18"/>
                <w:color w:val="auto"/>
              </w:rPr>
            </w:pPr>
          </w:p>
        </w:tc>
      </w:tr>
      <w:tr>
        <w:trPr>
          <w:trHeight w:val="430"/>
        </w:trPr>
        <w:tc>
          <w:tcPr>
            <w:tcW w:w="9960" w:type="dxa"/>
            <w:vAlign w:val="bottom"/>
          </w:tcPr>
          <w:p>
            <w:pPr>
              <w:ind w:left="580"/>
              <w:spacing w:after="0"/>
              <w:rPr>
                <w:sz w:val="20"/>
                <w:szCs w:val="20"/>
                <w:color w:val="auto"/>
              </w:rPr>
            </w:pPr>
            <w:r>
              <w:rPr>
                <w:rFonts w:ascii="Arial" w:cs="Arial" w:eastAsia="Arial" w:hAnsi="Arial"/>
                <w:sz w:val="18"/>
                <w:szCs w:val="18"/>
                <w:color w:val="auto"/>
              </w:rPr>
              <w:t>Legal fees and expenses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4"/>
                <w:szCs w:val="24"/>
                <w:color w:val="auto"/>
              </w:rPr>
            </w:pPr>
          </w:p>
        </w:tc>
      </w:tr>
      <w:tr>
        <w:trPr>
          <w:trHeight w:val="218"/>
        </w:trPr>
        <w:tc>
          <w:tcPr>
            <w:tcW w:w="9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Miscellaneous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9960" w:type="dxa"/>
            <w:vAlign w:val="bottom"/>
          </w:tcPr>
          <w:p>
            <w:pPr>
              <w:ind w:left="58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18,490</w:t>
            </w:r>
          </w:p>
        </w:tc>
        <w:tc>
          <w:tcPr>
            <w:tcW w:w="220" w:type="dxa"/>
            <w:vAlign w:val="bottom"/>
          </w:tcPr>
          <w:p>
            <w:pPr>
              <w:spacing w:after="0"/>
              <w:rPr>
                <w:sz w:val="24"/>
                <w:szCs w:val="24"/>
                <w:color w:val="auto"/>
              </w:rPr>
            </w:pPr>
          </w:p>
        </w:tc>
      </w:tr>
      <w:tr>
        <w:trPr>
          <w:trHeight w:val="134"/>
        </w:trPr>
        <w:tc>
          <w:tcPr>
            <w:tcW w:w="99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and other information.</w:t>
      </w:r>
    </w:p>
    <w:p>
      <w:pPr>
        <w:spacing w:after="0" w:line="29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selling stockholders purchased the securities covered by this prospectus in a private placement by us consummated on March 15, 2007. In the private placement, we sold an aggregate of 18,805,197 ordinary shares and issued warrants to purchase 9,402,599 shares at an exercise price of $2.04 per share and warrants to purchase 18,805,197 shares at an exercise price of $1.70 per share. The higher-priced warrants, which we refer to as Series I Warrants, expire on the fifth anniversary of the private placement, and the lower-priced warrants, which we refer to as Series II Warrants, expire on the later of December 31, 2007 and 90 days after the effective date of the registration statement of which this prospectus forms a part. The warrant expiration date of the Series II Warrants is subject to extension to reflect periods during which the registration statement may not be effective or may otherwise become suspended or subject to a stop order. Both series of warrants contain antidilution protections that are triggered upon the occurrence of certain events. The Series I Warrants also contain a “net exercise” feature, enabling the holders to exercise their warrants on a “cashless” basis.</w:t>
      </w:r>
    </w:p>
    <w:p>
      <w:pPr>
        <w:sectPr>
          <w:pgSz w:w="11900" w:h="16838" w:orient="portrait"/>
          <w:cols w:equalWidth="0" w:num="1">
            <w:col w:w="11420"/>
          </w:cols>
          <w:pgMar w:left="240" w:top="131" w:right="239" w:bottom="0" w:gutter="0" w:footer="0" w:header="0"/>
        </w:sectPr>
      </w:pPr>
    </w:p>
    <w:bookmarkStart w:id="14" w:name="page15"/>
    <w:bookmarkEnd w:id="14"/>
    <w:p>
      <w:pPr>
        <w:spacing w:after="0" w:line="32"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Except as described herein, we have no material relationships with any of the selling stockholders and have not had any material relationships with any of the selling stockholders in the past three years. CE Unterberg, Towbin acted as co-placement agent for the private placement in which the securities covered by this prospectus were sold. The following selling stockholders are affiliated with the placement agent or its principals: C.E. Unterberg, Towbin Capital Partners I, L.P., Marjorie &amp; Clarence E. Unterberg Foundation Inc., Thomas I. Unterberg and UT Special Opportunities Fund, L.P.</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Nothing in this Registration Statement shall be construed as an admission that any selling stockholder is the beneficial owner of any of our securities, other than the securities held directly by such party, nor that any selling stockholder or other persons or entities constitute a “group”, for purposes of Section 13(d) of the Exchange Act and the rules promulgated thereunder. The Series I Warrants and Series II Warrants contain a limitation on the number of ordinary shares purchasable thereunder. Under the limitation, the holder will not have the right to exercise any portion of the warrants, to the extent that after giving effect to such exercise, the holder and other persons with whom such holder’s ownership would be aggregated for purposes of beneficial ownership rules, would own in excess of 4.99% of our outstanding ordinary shares immediately after such exercise; the number of shares in the second column in the below table does not reflect this limitation. This limitation is not applicable in the case of a call by us of the Series II Warrants and may be increased to 9.99% at the election of the holder, which election will not become effective until 61 days after a holder provides us with notice thereof.</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assumes that each selling stockholder will sell all of the securities owned by it and covered by this prospectus. Information included in the table is based upon information provided by the selling stockholders. Our registration of these securities does not necessarily mean that the selling stockholders will sell any or all of the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otherwise noted below none of the selling stockholders are broker-dealers or affiliates of broker-dealers.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Beneficially Owned</w:t>
            </w:r>
          </w:p>
        </w:tc>
      </w:tr>
      <w:tr>
        <w:trPr>
          <w:trHeight w:val="149"/>
        </w:trPr>
        <w:tc>
          <w:tcPr>
            <w:tcW w:w="4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Name and Address of Selling</w:t>
            </w:r>
          </w:p>
        </w:tc>
        <w:tc>
          <w:tcPr>
            <w:tcW w:w="16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 Offering/</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Upon Completion of Offering /</w:t>
            </w:r>
          </w:p>
        </w:tc>
      </w:tr>
      <w:tr>
        <w:trPr>
          <w:trHeight w:val="28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Stockholder</w:t>
            </w:r>
          </w:p>
        </w:tc>
        <w:tc>
          <w:tcPr>
            <w:tcW w:w="16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Percentage of Class</w:t>
            </w:r>
            <w:r>
              <w:rPr>
                <w:rFonts w:ascii="Arial" w:cs="Arial" w:eastAsia="Arial" w:hAnsi="Arial"/>
                <w:sz w:val="22"/>
                <w:szCs w:val="22"/>
                <w:b w:val="1"/>
                <w:bCs w:val="1"/>
                <w:color w:val="auto"/>
                <w:w w:val="83"/>
                <w:vertAlign w:val="superscript"/>
              </w:rPr>
              <w:t>1</w:t>
            </w:r>
          </w:p>
        </w:tc>
        <w:tc>
          <w:tcPr>
            <w:tcW w:w="80" w:type="dxa"/>
            <w:vAlign w:val="bottom"/>
          </w:tcPr>
          <w:p>
            <w:pPr>
              <w:spacing w:after="0"/>
              <w:rPr>
                <w:sz w:val="24"/>
                <w:szCs w:val="24"/>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Shares Being Offered</w:t>
            </w:r>
          </w:p>
        </w:tc>
        <w:tc>
          <w:tcPr>
            <w:tcW w:w="6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Percentage of Class</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C.E. Unterberg, Towbin Capital</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Partners I, L.P.</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324,677/*(2)</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324,677</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Capital Ventures International</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 Heights Capital Management</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101 California Street, Suite</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3250 San Francisco, CA 94111</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4,870,130/3.87%(3)</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Enable Growth Partners</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One Ferry Building, Suite 255</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4,139,610/3.31%(4)</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4,139,610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Enable Opportunity Partners</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One Ferry Building, Suite 255</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San Francisco, CA 94111</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487,012/*(5)</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487,012</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Fort Mason Master, LP</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4 Embarcadero Center, Suite</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2050 San Francisco, CA 94111</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4,573,540/3.65%(6)</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4,573,540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Fort Mason Partners, LP</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4 Embarcadero Center, Suite</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2050 San Francisco, CA 94111</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296,590/*(7)</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296,590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Highbridge International LLC</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 Highbridge Capital</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Management, LLC</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9 West 57th Street, 27th Floor</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10019</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10,000,000/7.64%(8)</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10,000,000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Investcorp Interlachen</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Multi-Strategy Master Fund Limited</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 Interlachen Capital Group LP</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800 Nicollet Mall,</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Suite 2500 Minneapolis, MN 55402</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5,681,820/4.49%(9)</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5,681,820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Iroquois Master Fund Ltd.</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641 Lexington Avenue, 26th</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Floor New York, NY 10022</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3,246,755/2.62%(10)</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3,246,755</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LB I Group Inc.</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 Eric Salzman, Lehman Brothers</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399 Park Avenue, 9th Floor</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New York, NY 10022</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4,870,130/3.87%(11)</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Majorie &amp; Clarence E</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Unterberg Foundation Inc.</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811,688/*(12)</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Menora Mivtachim Insurance Ltd.</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115 Allenby Road</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Tel Aviv Israel</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2,573,351/2.08%(13)</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1,623,378</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949,973/0.79%</w:t>
            </w: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Pierce Diversified Strategy</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Master Fund LLC, Ena</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One Ferry Building, Suite 255</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243,508/*(14)</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243,508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bl>
    <w:p>
      <w:pPr>
        <w:sectPr>
          <w:pgSz w:w="11900" w:h="16870" w:orient="portrait"/>
          <w:cols w:equalWidth="0" w:num="1">
            <w:col w:w="11420"/>
          </w:cols>
          <w:pgMar w:left="240" w:top="131"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Tempo Master Fund LP</w:t>
            </w: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Two Greenwich Plaza 2nd Floor</w:t>
            </w: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Greenwich, CT 06830</w:t>
            </w:r>
          </w:p>
        </w:tc>
        <w:tc>
          <w:tcPr>
            <w:tcW w:w="3920" w:type="dxa"/>
            <w:vAlign w:val="bottom"/>
          </w:tcPr>
          <w:p>
            <w:pPr>
              <w:jc w:val="right"/>
              <w:ind w:right="352"/>
              <w:spacing w:after="0"/>
              <w:rPr>
                <w:sz w:val="20"/>
                <w:szCs w:val="20"/>
                <w:color w:val="auto"/>
              </w:rPr>
            </w:pPr>
            <w:r>
              <w:rPr>
                <w:rFonts w:ascii="Arial" w:cs="Arial" w:eastAsia="Arial" w:hAnsi="Arial"/>
                <w:sz w:val="18"/>
                <w:szCs w:val="18"/>
                <w:color w:val="auto"/>
              </w:rPr>
              <w:t>4,870,130/3.87%(15)</w:t>
            </w:r>
          </w:p>
        </w:tc>
        <w:tc>
          <w:tcPr>
            <w:tcW w:w="160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I. Unterberg</w:t>
            </w:r>
          </w:p>
        </w:tc>
        <w:tc>
          <w:tcPr>
            <w:tcW w:w="3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811,688/*(16)</w:t>
            </w:r>
          </w:p>
        </w:tc>
        <w:tc>
          <w:tcPr>
            <w:tcW w:w="16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UT Special Opportunities Fund, L.P.</w:t>
            </w: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 C.E. Unterberg Towbin</w:t>
            </w: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350 Madison Avenue, 10th Floor</w:t>
            </w: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3920" w:type="dxa"/>
            <w:vAlign w:val="bottom"/>
          </w:tcPr>
          <w:p>
            <w:pPr>
              <w:jc w:val="right"/>
              <w:ind w:right="352"/>
              <w:spacing w:after="0"/>
              <w:rPr>
                <w:sz w:val="20"/>
                <w:szCs w:val="20"/>
                <w:color w:val="auto"/>
              </w:rPr>
            </w:pPr>
            <w:r>
              <w:rPr>
                <w:rFonts w:ascii="Arial" w:cs="Arial" w:eastAsia="Arial" w:hAnsi="Arial"/>
                <w:sz w:val="18"/>
                <w:szCs w:val="18"/>
                <w:color w:val="auto"/>
              </w:rPr>
              <w:t>162,337/*(17)</w:t>
            </w:r>
          </w:p>
        </w:tc>
        <w:tc>
          <w:tcPr>
            <w:tcW w:w="1600" w:type="dxa"/>
            <w:vAlign w:val="bottom"/>
          </w:tcPr>
          <w:p>
            <w:pPr>
              <w:jc w:val="right"/>
              <w:ind w:right="372"/>
              <w:spacing w:after="0"/>
              <w:rPr>
                <w:sz w:val="20"/>
                <w:szCs w:val="20"/>
                <w:color w:val="auto"/>
              </w:rPr>
            </w:pPr>
            <w:r>
              <w:rPr>
                <w:rFonts w:ascii="Arial" w:cs="Arial" w:eastAsia="Arial" w:hAnsi="Arial"/>
                <w:sz w:val="18"/>
                <w:szCs w:val="18"/>
                <w:color w:val="auto"/>
              </w:rPr>
              <w:t>162,337</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675"/>
        </w:trPr>
        <w:tc>
          <w:tcPr>
            <w:tcW w:w="1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20" w:type="dxa"/>
            <w:vAlign w:val="bottom"/>
          </w:tcPr>
          <w:p>
            <w:pPr>
              <w:jc w:val="right"/>
              <w:ind w:right="2132"/>
              <w:spacing w:after="0"/>
              <w:rPr>
                <w:sz w:val="20"/>
                <w:szCs w:val="20"/>
                <w:color w:val="auto"/>
              </w:rPr>
            </w:pPr>
            <w:r>
              <w:rPr>
                <w:rFonts w:ascii="Arial" w:cs="Arial" w:eastAsia="Arial" w:hAnsi="Arial"/>
                <w:sz w:val="18"/>
                <w:szCs w:val="18"/>
                <w:color w:val="auto"/>
              </w:rPr>
              <w:t>20</w:t>
            </w: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61"/>
        </w:trPr>
        <w:tc>
          <w:tcPr>
            <w:tcW w:w="176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3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0" w:type="dxa"/>
            <w:vAlign w:val="bottom"/>
          </w:tcPr>
          <w:p>
            <w:pPr>
              <w:spacing w:after="0"/>
              <w:rPr>
                <w:sz w:val="9"/>
                <w:szCs w:val="9"/>
                <w:color w:val="auto"/>
              </w:rPr>
            </w:pPr>
          </w:p>
        </w:tc>
      </w:tr>
    </w:tbl>
    <w:p>
      <w:pPr>
        <w:spacing w:after="0" w:line="208"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225" w:lineRule="exact"/>
        <w:rPr>
          <w:rFonts w:ascii="Arial" w:cs="Arial" w:eastAsia="Arial" w:hAnsi="Arial"/>
          <w:sz w:val="18"/>
          <w:szCs w:val="18"/>
          <w:color w:val="auto"/>
        </w:rPr>
      </w:pPr>
    </w:p>
    <w:p>
      <w:pPr>
        <w:ind w:left="1160" w:right="340" w:hanging="567"/>
        <w:spacing w:after="0" w:line="268"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Beneficial ownership is calculated as of March 15, 2007 in accordance with General Instruction F. to Form 20-F and is based on 120,865,310 ordinary shares outstanding.</w:t>
      </w:r>
    </w:p>
    <w:p>
      <w:pPr>
        <w:spacing w:after="0" w:line="213" w:lineRule="exact"/>
        <w:rPr>
          <w:sz w:val="20"/>
          <w:szCs w:val="20"/>
          <w:color w:val="auto"/>
        </w:rPr>
      </w:pPr>
    </w:p>
    <w:p>
      <w:pPr>
        <w:ind w:left="1160" w:right="280" w:hanging="571"/>
        <w:spacing w:after="0" w:line="236" w:lineRule="auto"/>
        <w:tabs>
          <w:tab w:leader="none" w:pos="116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Includes 64,935 ordinary shares underlying Series I Warrants and 129,871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8" w:lineRule="exact"/>
        <w:rPr>
          <w:sz w:val="20"/>
          <w:szCs w:val="20"/>
          <w:color w:val="auto"/>
        </w:rPr>
      </w:pPr>
    </w:p>
    <w:p>
      <w:pPr>
        <w:ind w:left="1160" w:right="100" w:hanging="571"/>
        <w:spacing w:after="0" w:line="249" w:lineRule="auto"/>
        <w:tabs>
          <w:tab w:leader="none" w:pos="116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Includes 974,026 ordinary shares underlying Series I Warrants and 1,948,052 ordinary shares underlying Series II Warrants. Heights Capital Management, Inc., the authorized agent of Capital Ventures International (“CVI”), has discretionary authority to vote and dispose of the shares held by CVI and may be deemed to be the beneficial owner of these shares. Mr. Martin Kobinger, in his capacity as Investment Manager of Heights Capital Management, Inc., may also be deemed to have investment discretion and voting power over the shares held by CVI. Mr. Kobinger disclaims any such beneficial ownership of the shares. This selling stockholder is under common control with one or more NASD members, none of whom are currently expected to participate in the sale pursuant to this prospectus of ordinary shares purchased by the selling stockholder in this offering.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1" w:lineRule="exact"/>
        <w:rPr>
          <w:sz w:val="20"/>
          <w:szCs w:val="20"/>
          <w:color w:val="auto"/>
        </w:rPr>
      </w:pPr>
    </w:p>
    <w:p>
      <w:pPr>
        <w:ind w:left="1160" w:right="80" w:hanging="571"/>
        <w:spacing w:after="0" w:line="220" w:lineRule="auto"/>
        <w:tabs>
          <w:tab w:leader="none" w:pos="116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Includes 827,922 ordinary shares underlying Series I Warrants and 1,655,844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8" w:lineRule="exact"/>
        <w:rPr>
          <w:sz w:val="20"/>
          <w:szCs w:val="20"/>
          <w:color w:val="auto"/>
        </w:rPr>
      </w:pPr>
    </w:p>
    <w:p>
      <w:pPr>
        <w:ind w:left="1160" w:right="80" w:hanging="571"/>
        <w:spacing w:after="0" w:line="210" w:lineRule="auto"/>
        <w:tabs>
          <w:tab w:leader="none" w:pos="116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Includes 97,402 ordinary shares underlying Series I Warrants and 194,805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7" w:lineRule="exact"/>
        <w:rPr>
          <w:sz w:val="20"/>
          <w:szCs w:val="20"/>
          <w:color w:val="auto"/>
        </w:rPr>
      </w:pPr>
    </w:p>
    <w:p>
      <w:pPr>
        <w:ind w:left="1160" w:right="60" w:hanging="571"/>
        <w:spacing w:after="0" w:line="247" w:lineRule="auto"/>
        <w:tabs>
          <w:tab w:leader="none" w:pos="116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Includes 914,708 ordinary shares underlying Series I Warrants and 1,829,416 ordinary shares underlying Series II Warrants. Fort Mason Capital, LLC, serves as the general partner of Fort Mason Master,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80" w:hanging="571"/>
        <w:spacing w:after="0" w:line="247" w:lineRule="auto"/>
        <w:tabs>
          <w:tab w:leader="none" w:pos="116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Includes 59,318 ordinary shares underlying Series I Warrants and 118,636 ordinary shares underlying Series II Warrants. Fort Mason Capital, LLC, serves as the general partner of Fort Mason Partners,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32" w:lineRule="exact"/>
        <w:rPr>
          <w:sz w:val="20"/>
          <w:szCs w:val="20"/>
          <w:color w:val="auto"/>
        </w:rPr>
      </w:pPr>
    </w:p>
    <w:p>
      <w:pPr>
        <w:ind w:left="1160" w:right="40" w:hanging="571"/>
        <w:spacing w:after="0" w:line="267" w:lineRule="auto"/>
        <w:tabs>
          <w:tab w:leader="none" w:pos="116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Includes 2,000,000 ordinary shares underlying Series I Warrants and 4,000,000 ordinary shares underlying Series II Warrants. Highbridge Capital Management, LLC is the trading manager of Highbridge International LLC and has voting control and investment discretion over the securities held by Highbridge International LLC. Mr. Glenn Dubin and Mr. Henry Swieca control Highbridge Capital Management, LLC, and have voting control and investment discretion over the securities held by Highbridge International LLC. Each of Highbridge Capital Management, LLC, Mr. Dubin and Mr. Swieca disclaims beneficial ownership of the securities held by Highbridge International LLC. Notwithstanding the amount listed for the selling stockholder, with respect to the warrants held by the selling stockholder, such amount is subject to the exercise limitation set forth in the warrants which prohibits the exercise of the warrants if such action would result in the selling stockholder and other persons with whom such selling stockholder’s ownership would be aggregated for purposes of beneficial ownership rules, owning in excess of 4.99% of our outstanding ordinary shares immediately after such exercise.</w:t>
      </w:r>
    </w:p>
    <w:p>
      <w:pPr>
        <w:spacing w:after="0" w:line="218" w:lineRule="exact"/>
        <w:rPr>
          <w:sz w:val="20"/>
          <w:szCs w:val="20"/>
          <w:color w:val="auto"/>
        </w:rPr>
      </w:pPr>
    </w:p>
    <w:p>
      <w:pPr>
        <w:ind w:left="1160" w:right="40" w:hanging="571"/>
        <w:spacing w:after="0" w:line="228" w:lineRule="auto"/>
        <w:tabs>
          <w:tab w:leader="none" w:pos="11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Includes 1,136,364 ordinary shares underlying Series I Warrants and 2,272,728 ordinary shares underlying Series II Warrants. Interlachen Capital Group LP is the trading manager of Investcorp Interlachen Multi-Strategy Master Fund Limited and has voting and investment discretion over securities held by Investcorp Interlachen Multi-Strategy Master Fund Limited. Andrew Fraley, in his role as Chief Investment Officer of Interlachen Capital Group LP, has voting control and investment discretion over securities held by Investcorp Interlachen Multi-Strategy Master Fund Limited. Interlachen Capital Group LP and Andrew Fraley disclaim beneficial ownership of the securities held by Investcorp Interlachen Multi-Strategy Master Fund Limited.</w:t>
      </w:r>
    </w:p>
    <w:p>
      <w:pPr>
        <w:sectPr>
          <w:pgSz w:w="11900" w:h="16838" w:orient="portrait"/>
          <w:cols w:equalWidth="0" w:num="1">
            <w:col w:w="11420"/>
          </w:cols>
          <w:pgMar w:left="240" w:top="131" w:right="239" w:bottom="0" w:gutter="0" w:footer="0" w:header="0"/>
        </w:sectPr>
      </w:pPr>
    </w:p>
    <w:bookmarkStart w:id="16" w:name="page17"/>
    <w:bookmarkEnd w:id="16"/>
    <w:p>
      <w:pPr>
        <w:ind w:left="1160" w:right="620" w:hanging="571"/>
        <w:spacing w:after="0" w:line="210" w:lineRule="auto"/>
        <w:tabs>
          <w:tab w:leader="none" w:pos="11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649,351 ordinary shares underlying Series I Warrants and 1,298,702 ordinary shares underlying Series II Warrants. Mr. Joshua Silverman, an authorized representative of Iroquois Master Fund Ltd., has the dispositive and voting authority over the shares held by the corporation.</w:t>
      </w:r>
    </w:p>
    <w:p>
      <w:pPr>
        <w:spacing w:after="0" w:line="237" w:lineRule="exact"/>
        <w:rPr>
          <w:rFonts w:ascii="Arial" w:cs="Arial" w:eastAsia="Arial" w:hAnsi="Arial"/>
          <w:sz w:val="29"/>
          <w:szCs w:val="29"/>
          <w:color w:val="auto"/>
          <w:vertAlign w:val="superscript"/>
        </w:rPr>
      </w:pPr>
    </w:p>
    <w:p>
      <w:pPr>
        <w:ind w:left="1160" w:right="40" w:hanging="571"/>
        <w:spacing w:after="0" w:line="224" w:lineRule="auto"/>
        <w:tabs>
          <w:tab w:leader="none" w:pos="11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974,026 ordinary shares underlying Series I Warrants and 1,948,052 ordinary shares underlying Series II Warrants. Lehman Brothers Holdings, Inc., a public reporting company, has voting and dispositive authority over the shares held by this selling stockholder. LBI Group Inc. is an affiliate of Lehman Brothers Inc.,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9" w:lineRule="exact"/>
        <w:rPr>
          <w:rFonts w:ascii="Arial" w:cs="Arial" w:eastAsia="Arial" w:hAnsi="Arial"/>
          <w:sz w:val="29"/>
          <w:szCs w:val="29"/>
          <w:color w:val="auto"/>
          <w:vertAlign w:val="superscript"/>
        </w:rPr>
      </w:pPr>
    </w:p>
    <w:p>
      <w:pPr>
        <w:ind w:left="1160" w:right="80" w:hanging="571"/>
        <w:spacing w:after="0" w:line="224" w:lineRule="auto"/>
        <w:tabs>
          <w:tab w:leader="none" w:pos="11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162,338 ordinary shares underlying Series I Warrants and 324,675 ordinary shares underlying Series II Warrants. Thomas I. Unterberg, President of the selling stockholder, has voting and dispositive authority with respect to these securities. Mr. Unterberg is Chairman of C.E. Unterberg Towbin Holding Co.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9" w:lineRule="exact"/>
        <w:rPr>
          <w:rFonts w:ascii="Arial" w:cs="Arial" w:eastAsia="Arial" w:hAnsi="Arial"/>
          <w:sz w:val="29"/>
          <w:szCs w:val="29"/>
          <w:color w:val="auto"/>
          <w:vertAlign w:val="superscript"/>
        </w:rPr>
      </w:pPr>
    </w:p>
    <w:p>
      <w:pPr>
        <w:ind w:left="1160" w:right="100" w:hanging="571"/>
        <w:spacing w:after="0" w:line="224" w:lineRule="auto"/>
        <w:tabs>
          <w:tab w:leader="none" w:pos="11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324,676 ordinary shares underlying Series I Warrants and 649,351ordinary shares underlying Series II Warrants and 949,973 ordinary shares held by the selling stockholder prior to the private placement described above. This selling stockholder is a wholly-owned subsidiary of Menorah Holdings Ltd., a public company registered with the Israel Securities Authority. Certain mutual, pension and provident funds, managed by Menorah Finances Ltd., a wholly-owned subsidiary of Menorah Holdings Ltd., also hold ordinary shares. The selling stockholder disclaims beneficial ownership of these securities.</w:t>
      </w:r>
    </w:p>
    <w:p>
      <w:pPr>
        <w:spacing w:after="0" w:line="239" w:lineRule="exact"/>
        <w:rPr>
          <w:rFonts w:ascii="Arial" w:cs="Arial" w:eastAsia="Arial" w:hAnsi="Arial"/>
          <w:sz w:val="29"/>
          <w:szCs w:val="29"/>
          <w:color w:val="auto"/>
          <w:vertAlign w:val="superscript"/>
        </w:rPr>
      </w:pPr>
    </w:p>
    <w:p>
      <w:pPr>
        <w:ind w:left="1160" w:right="80" w:hanging="571"/>
        <w:spacing w:after="0" w:line="210" w:lineRule="auto"/>
        <w:tabs>
          <w:tab w:leader="none" w:pos="11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48,702 ordinary shares underlying Series I Warrants and 97,403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7" w:lineRule="exact"/>
        <w:rPr>
          <w:rFonts w:ascii="Arial" w:cs="Arial" w:eastAsia="Arial" w:hAnsi="Arial"/>
          <w:sz w:val="29"/>
          <w:szCs w:val="29"/>
          <w:color w:val="auto"/>
          <w:vertAlign w:val="superscript"/>
        </w:rPr>
      </w:pPr>
    </w:p>
    <w:p>
      <w:pPr>
        <w:ind w:left="1160" w:hanging="571"/>
        <w:spacing w:after="0" w:line="210" w:lineRule="auto"/>
        <w:tabs>
          <w:tab w:leader="none" w:pos="11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974,026 ordinary shares underlying Series I Warrants and 1,948,052 ordinary shares underlying Series II Warrants. Mr. Andrew Barnard, on behalf of JD Capital Management, LLC, the investment manager of this selling stockholder has voting and dispositive authority with respect to these securities.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480" w:hanging="571"/>
        <w:spacing w:after="0" w:line="218" w:lineRule="auto"/>
        <w:tabs>
          <w:tab w:leader="none" w:pos="11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Includes 162,338 ordinary shares underlying Series I Warrants and 324,675 ordinary shares underlying Series II Warrants. Mr. Unterberg is Chairman of C.E. Unterberg Towbin Holding Co. a registered broker-dealer. Mr. Unterberg has represented to us that he (i) purchased the securities in the ordinary course of business and (ii) did not have an agreement or understanding, directly or indirectly, with any person to distribute the securities at the time he purchased the securities.</w:t>
      </w:r>
    </w:p>
    <w:p>
      <w:pPr>
        <w:spacing w:after="0" w:line="240" w:lineRule="exact"/>
        <w:rPr>
          <w:rFonts w:ascii="Arial" w:cs="Arial" w:eastAsia="Arial" w:hAnsi="Arial"/>
          <w:sz w:val="29"/>
          <w:szCs w:val="29"/>
          <w:color w:val="auto"/>
          <w:vertAlign w:val="superscript"/>
        </w:rPr>
      </w:pPr>
    </w:p>
    <w:p>
      <w:pPr>
        <w:ind w:left="1160" w:right="280" w:hanging="571"/>
        <w:spacing w:after="0" w:line="236" w:lineRule="auto"/>
        <w:tabs>
          <w:tab w:leader="none" w:pos="116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Includes 32,467 ordinary shares underlying Series I Warrants and 64,935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w:t>
      </w:r>
    </w:p>
    <w:p>
      <w:pPr>
        <w:sectPr>
          <w:pgSz w:w="11900" w:h="16838" w:orient="portrait"/>
          <w:cols w:equalWidth="0" w:num="1">
            <w:col w:w="11420"/>
          </w:cols>
          <w:pgMar w:left="240" w:top="374" w:right="239" w:bottom="0" w:gutter="0" w:footer="0" w:header="0"/>
        </w:sectPr>
      </w:pPr>
    </w:p>
    <w:bookmarkStart w:id="17" w:name="page18"/>
    <w:bookmarkEnd w:id="17"/>
    <w:p>
      <w:pPr>
        <w:spacing w:after="0" w:line="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meeting convened upon advance notice of no less than twenty one days) of shareholders present in person or by proxy and holding shares conferring, in the aggregate, at least a majority of the votes actually cast on such resolutions.</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of March 15, 2007, 120,865,310 of our ordinary shares were outstanding. The above numbers of outstanding ordinary shares do not include 1.3 million treasury shares held by us through a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1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Israeli Capital Gains Tax</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January 1, 2006 an amendment to the Israeli tax regime became effective (the “2006 Tax Reform”). The 2006 Tax Reform significantly changed the tax rates applicable to income derived from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2"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ectPr>
          <w:pgSz w:w="11900" w:h="16881" w:orient="portrait"/>
          <w:cols w:equalWidth="0" w:num="1">
            <w:col w:w="11400"/>
          </w:cols>
          <w:pgMar w:left="240" w:top="131" w:right="259" w:bottom="0" w:gutter="0" w:footer="0" w:header="0"/>
        </w:sectPr>
      </w:pPr>
    </w:p>
    <w:bookmarkStart w:id="18" w:name="page19"/>
    <w:bookmarkEnd w:id="18"/>
    <w:p>
      <w:pPr>
        <w:ind w:right="60" w:firstLine="351"/>
        <w:spacing w:after="0" w:line="294" w:lineRule="auto"/>
        <w:rPr>
          <w:sz w:val="20"/>
          <w:szCs w:val="20"/>
          <w:color w:val="auto"/>
        </w:rPr>
      </w:pPr>
      <w:r>
        <w:rPr>
          <w:rFonts w:ascii="Arial" w:cs="Arial" w:eastAsia="Arial" w:hAnsi="Arial"/>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31% in 2006,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Israeli Tax on Dividend Income</w:t>
      </w:r>
    </w:p>
    <w:p>
      <w:pPr>
        <w:spacing w:after="0" w:line="225"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PFIC Rules</w:t>
      </w:r>
    </w:p>
    <w:p>
      <w:pPr>
        <w:spacing w:after="0" w:line="225"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ectPr>
          <w:pgSz w:w="11900" w:h="16838" w:orient="portrait"/>
          <w:cols w:equalWidth="0" w:num="1">
            <w:col w:w="11400"/>
          </w:cols>
          <w:pgMar w:left="240" w:top="131" w:right="259" w:bottom="171"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171"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99"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99"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audited consolidated financial statements incorporated in this prospectus by reference from the company’s Annual Report on Form 20-F for the year ended December 31, 2005 and the company’s report on Form 6-K filed on February 8, 2007,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2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1720" w:right="20" w:hanging="567"/>
        <w:spacing w:after="0" w:line="268" w:lineRule="auto"/>
        <w:rPr>
          <w:sz w:val="20"/>
          <w:szCs w:val="20"/>
          <w:color w:val="auto"/>
        </w:rPr>
      </w:pPr>
      <w:r>
        <w:rPr>
          <w:rFonts w:ascii="Arial" w:cs="Arial" w:eastAsia="Arial" w:hAnsi="Arial"/>
          <w:sz w:val="18"/>
          <w:szCs w:val="18"/>
          <w:color w:val="auto"/>
        </w:rPr>
        <w:t>—Annual report on Form 20-F for the year ended December 31, 2005, filed on July 13, 2006, to the extent the information in that report has not been updated or superseded by this prospectus;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2 (filed on July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3 (filed on July 26,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(filed on August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1 (filed on August 9,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3 (filed on August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4 (filed on August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2 (filed on September 12, 2006).</w:t>
      </w:r>
    </w:p>
    <w:p>
      <w:pPr>
        <w:sectPr>
          <w:pgSz w:w="11900" w:h="16838" w:orient="portrait"/>
          <w:cols w:equalWidth="0" w:num="1">
            <w:col w:w="11420"/>
          </w:cols>
          <w:pgMar w:left="240" w:top="125" w:right="239" w:bottom="0" w:gutter="0" w:footer="0" w:header="0"/>
        </w:sectPr>
      </w:pPr>
    </w:p>
    <w:bookmarkStart w:id="20" w:name="page21"/>
    <w:bookmarkEnd w:id="20"/>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3 (filed on September 13,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4 (filed on September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5 (filed on September 25,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6 (filed on September 26,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7 (filed on September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2006 No. 1 (filed on October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1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2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3 (filed on November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4 (filed on November 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5 (filed on November 7,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6 (filed on November 7,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8 (filed on November 24, 2006).</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2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3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4 (filed on December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January 2007 No. 2 (filed on January 23,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2007 No. 2 (filed on February 8,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2007 No. 3 (filed on February 12,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March 2007 No. 1 (filed on March 15, 2007).</w:t>
      </w:r>
    </w:p>
    <w:p>
      <w:pPr>
        <w:spacing w:after="0" w:line="252" w:lineRule="exact"/>
        <w:rPr>
          <w:sz w:val="20"/>
          <w:szCs w:val="20"/>
          <w:color w:val="auto"/>
        </w:rPr>
      </w:pPr>
    </w:p>
    <w:p>
      <w:pPr>
        <w:ind w:left="1720" w:right="2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38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the filing of the registration statement being filed in connection with this offering and before the date of termination of this offering. Any such Form 6-K which we intend to so incorporate shall state in such form that it is being incorporated by reference into this prospectus.</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ectPr>
          <w:pgSz w:w="11900" w:h="16838" w:orient="portrait"/>
          <w:cols w:equalWidth="0" w:num="1">
            <w:col w:w="11360"/>
          </w:cols>
          <w:pgMar w:left="240" w:top="374" w:right="299" w:bottom="1440" w:gutter="0" w:footer="0" w:header="0"/>
        </w:sectPr>
      </w:pP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308610</wp:posOffset>
            </wp:positionV>
            <wp:extent cx="2058035" cy="677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ectPr>
          <w:pgSz w:w="11900" w:h="16838" w:orient="portrait"/>
          <w:cols w:equalWidth="0" w:num="1">
            <w:col w:w="11360"/>
          </w:cols>
          <w:pgMar w:left="240" w:top="374" w:right="29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47,012,993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203835</wp:posOffset>
            </wp:positionV>
            <wp:extent cx="11061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_____________,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48" w:lineRule="exact"/>
        <w:rPr>
          <w:sz w:val="20"/>
          <w:szCs w:val="20"/>
          <w:color w:val="auto"/>
        </w:rPr>
      </w:pPr>
    </w:p>
    <w:p>
      <w:pPr>
        <w:jc w:val="both"/>
        <w:ind w:left="580" w:right="80" w:hanging="572"/>
        <w:spacing w:after="0" w:line="259"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60" w:hanging="571"/>
        <w:spacing w:after="0" w:line="259"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21" w:lineRule="exact"/>
        <w:rPr>
          <w:rFonts w:ascii="Arial" w:cs="Arial" w:eastAsia="Arial" w:hAnsi="Arial"/>
          <w:sz w:val="18"/>
          <w:szCs w:val="18"/>
          <w:color w:val="auto"/>
        </w:rPr>
      </w:pPr>
    </w:p>
    <w:p>
      <w:pPr>
        <w:ind w:left="1160" w:hanging="571"/>
        <w:spacing w:after="0" w:line="298" w:lineRule="auto"/>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93" w:lineRule="exact"/>
        <w:rPr>
          <w:rFonts w:ascii="Arial" w:cs="Arial" w:eastAsia="Arial" w:hAnsi="Arial"/>
          <w:sz w:val="16"/>
          <w:szCs w:val="16"/>
          <w:color w:val="auto"/>
        </w:rPr>
      </w:pPr>
    </w:p>
    <w:p>
      <w:pPr>
        <w:ind w:left="1160" w:right="20" w:hanging="571"/>
        <w:spacing w:after="0" w:line="291" w:lineRule="auto"/>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220" w:hanging="571"/>
        <w:spacing w:after="0" w:line="306" w:lineRule="auto"/>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ectPr>
          <w:pgSz w:w="11900" w:h="16838" w:orient="portrait"/>
          <w:cols w:equalWidth="0" w:num="1">
            <w:col w:w="11420"/>
          </w:cols>
          <w:pgMar w:left="240" w:top="131" w:right="239" w:bottom="0" w:gutter="0" w:footer="0" w:header="0"/>
        </w:sectPr>
      </w:pPr>
    </w:p>
    <w:bookmarkStart w:id="22" w:name="page23"/>
    <w:bookmarkEnd w:id="22"/>
    <w:p>
      <w:pPr>
        <w:ind w:left="1160" w:hanging="571"/>
        <w:spacing w:after="0"/>
        <w:tabs>
          <w:tab w:leader="none" w:pos="116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a breach of his fiduciary duty, except to the extent described above;</w:t>
      </w:r>
    </w:p>
    <w:p>
      <w:pPr>
        <w:spacing w:after="0" w:line="236" w:lineRule="exact"/>
        <w:rPr>
          <w:rFonts w:ascii="Arial" w:cs="Arial" w:eastAsia="Arial" w:hAnsi="Arial"/>
          <w:sz w:val="27"/>
          <w:szCs w:val="27"/>
          <w:color w:val="auto"/>
          <w:vertAlign w:val="superscript"/>
        </w:rPr>
      </w:pPr>
    </w:p>
    <w:p>
      <w:pPr>
        <w:ind w:left="1160" w:right="780" w:hanging="571"/>
        <w:spacing w:after="0" w:line="203" w:lineRule="auto"/>
        <w:tabs>
          <w:tab w:leader="none" w:pos="116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149"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an act or omission done with the intent to unlawfully realize personal gain; or</w:t>
      </w:r>
    </w:p>
    <w:p>
      <w:pPr>
        <w:spacing w:after="0" w:line="148"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a fine or monetary settlement imposed upon him.</w:t>
      </w:r>
    </w:p>
    <w:p>
      <w:pPr>
        <w:spacing w:after="0" w:line="200" w:lineRule="exact"/>
        <w:rPr>
          <w:sz w:val="20"/>
          <w:szCs w:val="20"/>
          <w:color w:val="auto"/>
        </w:rPr>
      </w:pPr>
    </w:p>
    <w:p>
      <w:pPr>
        <w:spacing w:after="0" w:line="253"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ind w:left="4300"/>
              <w:spacing w:after="0"/>
              <w:rPr>
                <w:sz w:val="20"/>
                <w:szCs w:val="20"/>
                <w:color w:val="auto"/>
              </w:rPr>
            </w:pPr>
            <w:r>
              <w:rPr>
                <w:rFonts w:ascii="Arial" w:cs="Arial" w:eastAsia="Arial" w:hAnsi="Arial"/>
                <w:sz w:val="18"/>
                <w:szCs w:val="18"/>
                <w:color w:val="auto"/>
              </w:rPr>
              <w:t>2</w:t>
            </w: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19"/>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447"/>
        </w:trPr>
        <w:tc>
          <w:tcPr>
            <w:tcW w:w="3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102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Numbers</w:t>
            </w:r>
          </w:p>
        </w:tc>
        <w:tc>
          <w:tcPr>
            <w:tcW w:w="1004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 of Document</w:t>
            </w: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71"/>
        </w:trPr>
        <w:tc>
          <w:tcPr>
            <w:tcW w:w="360" w:type="dxa"/>
            <w:vAlign w:val="bottom"/>
          </w:tcPr>
          <w:p>
            <w:pPr>
              <w:spacing w:after="0"/>
              <w:rPr>
                <w:sz w:val="24"/>
                <w:szCs w:val="24"/>
                <w:color w:val="auto"/>
              </w:rPr>
            </w:pPr>
          </w:p>
        </w:tc>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Articles of Association of the Registrant, approved by shareholders on November 14, 2000, as amended (incorporated by reference to like</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number exhibit filed with the Registrant's Registration Statement on Form F-1, File No. 333-0126909). Pursuant to approvals by shareholders,</w:t>
            </w:r>
          </w:p>
        </w:tc>
      </w:tr>
      <w:tr>
        <w:trPr>
          <w:trHeight w:val="222"/>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the Registrant's Articles of Association provide for an authorized share capital of NIS 800,000,000 divided into 800,000,000 shares.</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Disclosure Schedules to the Securities Purchase Agreement*</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Schedule 6(b) to the Registration Rights Agreement*</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23.2</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24.1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Power of Attorney (set forth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our Report on Form 6-K dated March 2007 No. 1 (filed on March 15, 2007).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74" w:lineRule="exact"/>
        <w:rPr>
          <w:sz w:val="20"/>
          <w:szCs w:val="20"/>
          <w:color w:val="auto"/>
        </w:rPr>
      </w:pPr>
    </w:p>
    <w:p>
      <w:pPr>
        <w:ind w:left="720" w:hanging="53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60" w:firstLine="184"/>
        <w:spacing w:after="0" w:line="291" w:lineRule="auto"/>
        <w:tabs>
          <w:tab w:leader="none" w:pos="131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1" w:lineRule="exact"/>
        <w:rPr>
          <w:rFonts w:ascii="Arial" w:cs="Arial" w:eastAsia="Arial" w:hAnsi="Arial"/>
          <w:sz w:val="16"/>
          <w:szCs w:val="16"/>
          <w:color w:val="auto"/>
        </w:rPr>
      </w:pPr>
    </w:p>
    <w:p>
      <w:pPr>
        <w:ind w:left="580" w:right="420" w:firstLine="184"/>
        <w:spacing w:after="0" w:line="268" w:lineRule="auto"/>
        <w:tabs>
          <w:tab w:leader="none" w:pos="13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ectPr>
          <w:pgSz w:w="11900" w:h="16838" w:orient="portrait"/>
          <w:cols w:equalWidth="0" w:num="1">
            <w:col w:w="11420"/>
          </w:cols>
          <w:pgMar w:left="240" w:top="43" w:right="239" w:bottom="0" w:gutter="0" w:footer="0" w:header="0"/>
        </w:sectPr>
      </w:pPr>
    </w:p>
    <w:bookmarkStart w:id="23" w:name="page24"/>
    <w:bookmarkEnd w:id="23"/>
    <w:p>
      <w:pPr>
        <w:spacing w:after="0" w:line="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right="260" w:firstLine="184"/>
        <w:spacing w:after="0" w:line="259" w:lineRule="auto"/>
        <w:tabs>
          <w:tab w:leader="none" w:pos="7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289" w:lineRule="auto"/>
        <w:tabs>
          <w:tab w:leader="none" w:pos="7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72" w:lineRule="exact"/>
        <w:rPr>
          <w:rFonts w:ascii="Arial" w:cs="Arial" w:eastAsia="Arial" w:hAnsi="Arial"/>
          <w:sz w:val="16"/>
          <w:szCs w:val="16"/>
          <w:color w:val="auto"/>
        </w:rPr>
      </w:pPr>
    </w:p>
    <w:p>
      <w:pPr>
        <w:ind w:left="740" w:hanging="55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4"/>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 is relying on Rule 430B (230.430B of this chapter):</w:t>
      </w:r>
    </w:p>
    <w:p>
      <w:pPr>
        <w:spacing w:after="0" w:line="252" w:lineRule="exact"/>
        <w:rPr>
          <w:rFonts w:ascii="Arial" w:cs="Arial" w:eastAsia="Arial" w:hAnsi="Arial"/>
          <w:sz w:val="18"/>
          <w:szCs w:val="18"/>
          <w:color w:val="auto"/>
        </w:rPr>
      </w:pPr>
    </w:p>
    <w:p>
      <w:pPr>
        <w:ind w:left="2300" w:right="120" w:hanging="577"/>
        <w:spacing w:after="0" w:line="268" w:lineRule="auto"/>
        <w:tabs>
          <w:tab w:leader="none" w:pos="2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2300" w:right="100" w:hanging="577"/>
        <w:spacing w:after="0" w:line="306" w:lineRule="auto"/>
        <w:tabs>
          <w:tab w:leader="none" w:pos="23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7" w:lineRule="exact"/>
        <w:rPr>
          <w:rFonts w:ascii="Arial" w:cs="Arial" w:eastAsia="Arial" w:hAnsi="Arial"/>
          <w:sz w:val="15"/>
          <w:szCs w:val="15"/>
          <w:color w:val="auto"/>
        </w:rPr>
      </w:pPr>
    </w:p>
    <w:p>
      <w:pPr>
        <w:ind w:left="1720" w:right="40" w:hanging="564"/>
        <w:spacing w:after="0" w:line="253" w:lineRule="auto"/>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42" w:lineRule="exact"/>
        <w:rPr>
          <w:sz w:val="20"/>
          <w:szCs w:val="20"/>
          <w:color w:val="auto"/>
        </w:rPr>
      </w:pPr>
    </w:p>
    <w:p>
      <w:pPr>
        <w:ind w:right="320" w:firstLine="184"/>
        <w:spacing w:after="0" w:line="323" w:lineRule="auto"/>
        <w:tabs>
          <w:tab w:leader="none" w:pos="728"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4"/>
        <w:spacing w:after="0"/>
        <w:tabs>
          <w:tab w:leader="none" w:pos="1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720" w:right="280" w:hanging="564"/>
        <w:spacing w:after="0" w:line="268" w:lineRule="auto"/>
        <w:tabs>
          <w:tab w:leader="none" w:pos="1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720" w:right="120" w:hanging="564"/>
        <w:spacing w:after="0" w:line="268" w:lineRule="auto"/>
        <w:tabs>
          <w:tab w:leader="none" w:pos="1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140" w:firstLine="184"/>
        <w:spacing w:after="0" w:line="335" w:lineRule="auto"/>
        <w:tabs>
          <w:tab w:leader="none" w:pos="728"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w:t>
      </w:r>
    </w:p>
    <w:p>
      <w:pPr>
        <w:sectPr>
          <w:pgSz w:w="11900" w:h="16855" w:orient="portrait"/>
          <w:cols w:equalWidth="0" w:num="1">
            <w:col w:w="11420"/>
          </w:cols>
          <w:pgMar w:left="240" w:top="131" w:right="239" w:bottom="0" w:gutter="0" w:footer="0" w:header="0"/>
        </w:sectPr>
      </w:pPr>
    </w:p>
    <w:bookmarkStart w:id="24" w:name="page25"/>
    <w:bookmarkEnd w:id="24"/>
    <w:p>
      <w:pPr>
        <w:ind w:right="200"/>
        <w:spacing w:after="0" w:line="268" w:lineRule="auto"/>
        <w:rPr>
          <w:sz w:val="20"/>
          <w:szCs w:val="20"/>
          <w:color w:val="auto"/>
        </w:rPr>
      </w:pPr>
      <w:r>
        <w:rPr>
          <w:rFonts w:ascii="Arial" w:cs="Arial" w:eastAsia="Arial" w:hAnsi="Arial"/>
          <w:sz w:val="18"/>
          <w:szCs w:val="18"/>
          <w:color w:val="auto"/>
        </w:rPr>
        <w:t>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right="140" w:firstLine="184"/>
        <w:spacing w:after="0" w:line="290" w:lineRule="auto"/>
        <w:tabs>
          <w:tab w:leader="none" w:pos="7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the City of Migdal Haemek, Israel, on March 29, 2007.</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1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KNOW ALL MEN BY THESE PRESENTS, each director and officer whose signature appears below constitutes and appoints, Russell C. Ellwanger, Oren Shirazi or any of them, his true and lawful attorney-in-fact and agent, with full power of substitution and re-substitution, to sign in any and all capacities any and all amendments or post-effective amendments to this registration statement on Form F-3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780" w:type="dxa"/>
            <w:vAlign w:val="bottom"/>
            <w:gridSpan w:val="2"/>
          </w:tcPr>
          <w:p>
            <w:pPr>
              <w:spacing w:after="0"/>
              <w:rPr>
                <w:sz w:val="20"/>
                <w:szCs w:val="20"/>
                <w:color w:val="auto"/>
              </w:rPr>
            </w:pPr>
            <w:r>
              <w:rPr>
                <w:rFonts w:ascii="Arial" w:cs="Arial" w:eastAsia="Arial" w:hAnsi="Arial"/>
                <w:sz w:val="18"/>
                <w:szCs w:val="18"/>
                <w:color w:val="auto"/>
              </w:rPr>
              <w:t>/s/ Dov Moran</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March 29,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Dov Moran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March 29,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Vice President of Finance and Acting Chief</w:t>
            </w:r>
          </w:p>
        </w:tc>
        <w:tc>
          <w:tcPr>
            <w:tcW w:w="3760" w:type="dxa"/>
            <w:vAlign w:val="bottom"/>
            <w:gridSpan w:val="2"/>
          </w:tcPr>
          <w:p>
            <w:pPr>
              <w:spacing w:after="0"/>
              <w:rPr>
                <w:sz w:val="20"/>
                <w:szCs w:val="20"/>
                <w:color w:val="auto"/>
              </w:rPr>
            </w:pPr>
            <w:r>
              <w:rPr>
                <w:rFonts w:ascii="Arial" w:cs="Arial" w:eastAsia="Arial" w:hAnsi="Arial"/>
                <w:sz w:val="18"/>
                <w:szCs w:val="18"/>
                <w:color w:val="auto"/>
              </w:rPr>
              <w:t>March 29,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March __, 2007</w:t>
            </w: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Udi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80" w:type="dxa"/>
            <w:vAlign w:val="bottom"/>
            <w:gridSpan w:val="2"/>
          </w:tcPr>
          <w:p>
            <w:pPr>
              <w:ind w:left="190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780" w:type="dxa"/>
            <w:vAlign w:val="bottom"/>
            <w:gridSpan w:val="2"/>
          </w:tcPr>
          <w:p>
            <w:pPr>
              <w:spacing w:after="0"/>
              <w:rPr>
                <w:sz w:val="20"/>
                <w:szCs w:val="20"/>
                <w:color w:val="auto"/>
              </w:rPr>
            </w:pPr>
            <w:r>
              <w:rPr>
                <w:rFonts w:ascii="Arial" w:cs="Arial" w:eastAsia="Arial" w:hAnsi="Arial"/>
                <w:sz w:val="18"/>
                <w:szCs w:val="18"/>
                <w:color w:val="auto"/>
              </w:rPr>
              <w:t>/s/ Yossi Rosen</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March 29,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March __, 2007</w:t>
            </w: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tcPr>
          <w:p>
            <w:pPr>
              <w:spacing w:after="0"/>
              <w:rPr>
                <w:sz w:val="20"/>
                <w:szCs w:val="20"/>
                <w:color w:val="auto"/>
              </w:rPr>
            </w:pPr>
            <w:r>
              <w:rPr>
                <w:rFonts w:ascii="Arial" w:cs="Arial" w:eastAsia="Arial" w:hAnsi="Arial"/>
                <w:sz w:val="18"/>
                <w:szCs w:val="18"/>
                <w:color w:val="auto"/>
              </w:rPr>
              <w:t>/s/ Miin Wu</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March 29, 2007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Miin Wu</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w w:val="95"/>
              </w:rPr>
              <w:t>/s/ Melvin Keating</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20"/>
              <w:spacing w:after="0"/>
              <w:rPr>
                <w:sz w:val="20"/>
                <w:szCs w:val="20"/>
                <w:color w:val="auto"/>
              </w:rPr>
            </w:pPr>
            <w:r>
              <w:rPr>
                <w:rFonts w:ascii="Arial" w:cs="Arial" w:eastAsia="Arial" w:hAnsi="Arial"/>
                <w:sz w:val="18"/>
                <w:szCs w:val="18"/>
                <w:color w:val="auto"/>
              </w:rPr>
              <w:t>March 29, 2007</w:t>
            </w: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w:t>
            </w:r>
          </w:p>
        </w:tc>
        <w:tc>
          <w:tcPr>
            <w:tcW w:w="37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Melvin Keating</w:t>
            </w: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53"/>
        </w:trPr>
        <w:tc>
          <w:tcPr>
            <w:tcW w:w="3660" w:type="dxa"/>
            <w:vAlign w:val="bottom"/>
            <w:gridSpan w:val="4"/>
          </w:tcPr>
          <w:p>
            <w:pPr>
              <w:spacing w:after="0"/>
              <w:rPr>
                <w:sz w:val="20"/>
                <w:szCs w:val="20"/>
                <w:color w:val="auto"/>
              </w:rPr>
            </w:pPr>
            <w:r>
              <w:rPr>
                <w:rFonts w:ascii="Arial" w:cs="Arial" w:eastAsia="Arial" w:hAnsi="Arial"/>
                <w:sz w:val="18"/>
                <w:szCs w:val="18"/>
                <w:color w:val="auto"/>
              </w:rPr>
              <w:t>/s/ Kalman Kaufman</w:t>
            </w:r>
          </w:p>
        </w:tc>
        <w:tc>
          <w:tcPr>
            <w:tcW w:w="3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20"/>
              <w:spacing w:after="0"/>
              <w:rPr>
                <w:sz w:val="20"/>
                <w:szCs w:val="20"/>
                <w:color w:val="auto"/>
              </w:rPr>
            </w:pPr>
            <w:r>
              <w:rPr>
                <w:rFonts w:ascii="Arial" w:cs="Arial" w:eastAsia="Arial" w:hAnsi="Arial"/>
                <w:sz w:val="18"/>
                <w:szCs w:val="18"/>
                <w:color w:val="auto"/>
              </w:rPr>
              <w:t>March 29, 2007</w:t>
            </w: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w:t>
            </w:r>
          </w:p>
        </w:tc>
        <w:tc>
          <w:tcPr>
            <w:tcW w:w="37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w w:val="98"/>
              </w:rPr>
              <w:t>Kalman Kaufman</w:t>
            </w: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/s/ Hans Rohrer</w:t>
            </w: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20"/>
              <w:spacing w:after="0"/>
              <w:rPr>
                <w:sz w:val="20"/>
                <w:szCs w:val="20"/>
                <w:color w:val="auto"/>
              </w:rPr>
            </w:pPr>
            <w:r>
              <w:rPr>
                <w:rFonts w:ascii="Arial" w:cs="Arial" w:eastAsia="Arial" w:hAnsi="Arial"/>
                <w:sz w:val="18"/>
                <w:szCs w:val="18"/>
                <w:color w:val="auto"/>
              </w:rPr>
              <w:t>March 29, 2007</w:t>
            </w: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w:t>
            </w:r>
          </w:p>
        </w:tc>
        <w:tc>
          <w:tcPr>
            <w:tcW w:w="37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/s/ Miri Katz</w:t>
            </w: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20"/>
              <w:spacing w:after="0"/>
              <w:rPr>
                <w:sz w:val="20"/>
                <w:szCs w:val="20"/>
                <w:color w:val="auto"/>
              </w:rPr>
            </w:pPr>
            <w:r>
              <w:rPr>
                <w:rFonts w:ascii="Arial" w:cs="Arial" w:eastAsia="Arial" w:hAnsi="Arial"/>
                <w:sz w:val="18"/>
                <w:szCs w:val="18"/>
                <w:color w:val="auto"/>
              </w:rPr>
              <w:t>March 29, 2007</w:t>
            </w: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w:t>
            </w:r>
          </w:p>
        </w:tc>
        <w:tc>
          <w:tcPr>
            <w:tcW w:w="37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Miri Katz</w:t>
            </w: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53"/>
        </w:trPr>
        <w:tc>
          <w:tcPr>
            <w:tcW w:w="7440" w:type="dxa"/>
            <w:vAlign w:val="bottom"/>
            <w:gridSpan w:val="5"/>
          </w:tcPr>
          <w:p>
            <w:pPr>
              <w:spacing w:after="0"/>
              <w:rPr>
                <w:sz w:val="20"/>
                <w:szCs w:val="20"/>
                <w:color w:val="auto"/>
              </w:rPr>
            </w:pPr>
            <w:r>
              <w:rPr>
                <w:rFonts w:ascii="Arial" w:cs="Arial" w:eastAsia="Arial" w:hAnsi="Arial"/>
                <w:sz w:val="18"/>
                <w:szCs w:val="18"/>
                <w:color w:val="auto"/>
              </w:rPr>
              <w:t>AUTHORIZED REPRESENTATIVE IN THE UNITED STATES</w:t>
            </w:r>
          </w:p>
        </w:tc>
        <w:tc>
          <w:tcPr>
            <w:tcW w:w="3980" w:type="dxa"/>
            <w:vAlign w:val="bottom"/>
          </w:tcPr>
          <w:p>
            <w:pPr>
              <w:spacing w:after="0"/>
              <w:rPr>
                <w:sz w:val="24"/>
                <w:szCs w:val="24"/>
                <w:color w:val="auto"/>
              </w:rPr>
            </w:pPr>
          </w:p>
        </w:tc>
      </w:tr>
      <w:tr>
        <w:trPr>
          <w:trHeight w:val="222"/>
        </w:trPr>
        <w:tc>
          <w:tcPr>
            <w:tcW w:w="3660" w:type="dxa"/>
            <w:vAlign w:val="bottom"/>
            <w:gridSpan w:val="4"/>
          </w:tcPr>
          <w:p>
            <w:pPr>
              <w:spacing w:after="0"/>
              <w:rPr>
                <w:sz w:val="20"/>
                <w:szCs w:val="20"/>
                <w:color w:val="auto"/>
              </w:rPr>
            </w:pPr>
            <w:r>
              <w:rPr>
                <w:rFonts w:ascii="Arial" w:cs="Arial" w:eastAsia="Arial" w:hAnsi="Arial"/>
                <w:sz w:val="18"/>
                <w:szCs w:val="18"/>
                <w:color w:val="auto"/>
              </w:rPr>
              <w:t>Tower Semiconductor USA, Inc.</w:t>
            </w:r>
          </w:p>
        </w:tc>
        <w:tc>
          <w:tcPr>
            <w:tcW w:w="37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642"/>
        </w:trPr>
        <w:tc>
          <w:tcPr>
            <w:tcW w:w="3660" w:type="dxa"/>
            <w:vAlign w:val="bottom"/>
            <w:gridSpan w:val="4"/>
          </w:tcPr>
          <w:p>
            <w:pPr>
              <w:spacing w:after="0"/>
              <w:rPr>
                <w:sz w:val="20"/>
                <w:szCs w:val="20"/>
                <w:color w:val="auto"/>
              </w:rPr>
            </w:pPr>
            <w:r>
              <w:rPr>
                <w:rFonts w:ascii="Arial" w:cs="Arial" w:eastAsia="Arial" w:hAnsi="Arial"/>
                <w:sz w:val="18"/>
                <w:szCs w:val="18"/>
                <w:color w:val="auto"/>
              </w:rPr>
              <w:t>By: /s/ Russell C. Ellwanger</w:t>
            </w:r>
          </w:p>
        </w:tc>
        <w:tc>
          <w:tcPr>
            <w:tcW w:w="3780" w:type="dxa"/>
            <w:vAlign w:val="bottom"/>
          </w:tcPr>
          <w:p>
            <w:pPr>
              <w:spacing w:after="0"/>
              <w:rPr>
                <w:sz w:val="24"/>
                <w:szCs w:val="24"/>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March 29, 2007</w:t>
            </w: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w:t>
            </w:r>
          </w:p>
        </w:tc>
        <w:tc>
          <w:tcPr>
            <w:tcW w:w="37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Russell C. Ellwanger</w:t>
            </w:r>
          </w:p>
        </w:tc>
        <w:tc>
          <w:tcPr>
            <w:tcW w:w="37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36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37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675"/>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ind w:left="2020"/>
              <w:spacing w:after="0"/>
              <w:rPr>
                <w:sz w:val="20"/>
                <w:szCs w:val="20"/>
                <w:color w:val="auto"/>
              </w:rPr>
            </w:pPr>
            <w:r>
              <w:rPr>
                <w:rFonts w:ascii="Arial" w:cs="Arial" w:eastAsia="Arial" w:hAnsi="Arial"/>
                <w:sz w:val="18"/>
                <w:szCs w:val="18"/>
                <w:color w:val="auto"/>
              </w:rPr>
              <w:t>8</w:t>
            </w:r>
          </w:p>
        </w:tc>
        <w:tc>
          <w:tcPr>
            <w:tcW w:w="3980" w:type="dxa"/>
            <w:vAlign w:val="bottom"/>
          </w:tcPr>
          <w:p>
            <w:pPr>
              <w:spacing w:after="0"/>
              <w:rPr>
                <w:sz w:val="24"/>
                <w:szCs w:val="24"/>
                <w:color w:val="auto"/>
              </w:rPr>
            </w:pPr>
          </w:p>
        </w:tc>
      </w:tr>
      <w:tr>
        <w:trPr>
          <w:trHeight w:val="174"/>
        </w:trPr>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61"/>
        </w:trPr>
        <w:tc>
          <w:tcPr>
            <w:tcW w:w="7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7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r>
      <w:tr>
        <w:trPr>
          <w:trHeight w:val="307"/>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90"/>
        </w:trPr>
        <w:tc>
          <w:tcPr>
            <w:tcW w:w="138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Numbers</w:t>
            </w:r>
          </w:p>
        </w:tc>
        <w:tc>
          <w:tcPr>
            <w:tcW w:w="228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 of Document</w:t>
            </w:r>
          </w:p>
        </w:tc>
        <w:tc>
          <w:tcPr>
            <w:tcW w:w="378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r>
      <w:tr>
        <w:trPr>
          <w:trHeight w:val="471"/>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3.1</w:t>
            </w:r>
          </w:p>
        </w:tc>
        <w:tc>
          <w:tcPr>
            <w:tcW w:w="68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1"/>
              </w:rPr>
              <w:t>Articles of Association of the Registrant, approved by shareholders on November 14, 2000, as amended (incorporated by reference to like</w:t>
            </w: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8"/>
              </w:rPr>
              <w:t>number exhibit filed with the Registrant's Registration Statement on Form F-1, File No. 333-0126909). Pursuant to approvals by shareholders,</w:t>
            </w:r>
          </w:p>
        </w:tc>
      </w:tr>
      <w:tr>
        <w:trPr>
          <w:trHeight w:val="222"/>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6"/>
              </w:rPr>
              <w:t>the Registrant's Articles of Association provide for an authorized share capital of NIS 800,000,000 divided into 800,000,000 shares.</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4.1</w:t>
            </w:r>
          </w:p>
        </w:tc>
        <w:tc>
          <w:tcPr>
            <w:tcW w:w="68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Form of Securities Purchase Agreement*</w:t>
            </w:r>
          </w:p>
        </w:tc>
        <w:tc>
          <w:tcPr>
            <w:tcW w:w="3980" w:type="dxa"/>
            <w:vAlign w:val="bottom"/>
          </w:tcPr>
          <w:p>
            <w:pPr>
              <w:spacing w:after="0"/>
              <w:rPr>
                <w:sz w:val="24"/>
                <w:szCs w:val="24"/>
                <w:color w:val="auto"/>
              </w:rPr>
            </w:pP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4.2</w:t>
            </w:r>
          </w:p>
        </w:tc>
        <w:tc>
          <w:tcPr>
            <w:tcW w:w="68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Disclosure Schedules to the Securities Purchase Agreement*</w:t>
            </w:r>
          </w:p>
        </w:tc>
        <w:tc>
          <w:tcPr>
            <w:tcW w:w="3980" w:type="dxa"/>
            <w:vAlign w:val="bottom"/>
          </w:tcPr>
          <w:p>
            <w:pPr>
              <w:spacing w:after="0"/>
              <w:rPr>
                <w:sz w:val="24"/>
                <w:szCs w:val="24"/>
                <w:color w:val="auto"/>
              </w:rPr>
            </w:pP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4.3</w:t>
            </w:r>
          </w:p>
        </w:tc>
        <w:tc>
          <w:tcPr>
            <w:tcW w:w="68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Form of Registration Rights Agreement*</w:t>
            </w:r>
          </w:p>
        </w:tc>
        <w:tc>
          <w:tcPr>
            <w:tcW w:w="3980" w:type="dxa"/>
            <w:vAlign w:val="bottom"/>
          </w:tcPr>
          <w:p>
            <w:pPr>
              <w:spacing w:after="0"/>
              <w:rPr>
                <w:sz w:val="24"/>
                <w:szCs w:val="24"/>
                <w:color w:val="auto"/>
              </w:rPr>
            </w:pP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4.4</w:t>
            </w:r>
          </w:p>
        </w:tc>
        <w:tc>
          <w:tcPr>
            <w:tcW w:w="68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Schedule 6(b) to the Registration Rights Agreement*</w:t>
            </w:r>
          </w:p>
        </w:tc>
        <w:tc>
          <w:tcPr>
            <w:tcW w:w="3980" w:type="dxa"/>
            <w:vAlign w:val="bottom"/>
          </w:tcPr>
          <w:p>
            <w:pPr>
              <w:spacing w:after="0"/>
              <w:rPr>
                <w:sz w:val="24"/>
                <w:szCs w:val="24"/>
                <w:color w:val="auto"/>
              </w:rPr>
            </w:pP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5.1</w:t>
            </w:r>
          </w:p>
        </w:tc>
        <w:tc>
          <w:tcPr>
            <w:tcW w:w="6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8"/>
              </w:rPr>
              <w:t>Opinion of Yigal Arnon &amp; Co.</w:t>
            </w:r>
          </w:p>
        </w:tc>
        <w:tc>
          <w:tcPr>
            <w:tcW w:w="37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5"/>
              </w:rPr>
              <w:t>23.1</w:t>
            </w:r>
          </w:p>
        </w:tc>
        <w:tc>
          <w:tcPr>
            <w:tcW w:w="68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w w:val="94"/>
              </w:rPr>
              <w:t>Consent of Yigal Arnon &amp; Co. (contained in their opinion constituting Exhibit 5.1)</w:t>
            </w:r>
          </w:p>
        </w:tc>
        <w:tc>
          <w:tcPr>
            <w:tcW w:w="3980" w:type="dxa"/>
            <w:vAlign w:val="bottom"/>
          </w:tcPr>
          <w:p>
            <w:pPr>
              <w:spacing w:after="0"/>
              <w:rPr>
                <w:sz w:val="24"/>
                <w:szCs w:val="24"/>
                <w:color w:val="auto"/>
              </w:rPr>
            </w:pP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5"/>
              </w:rPr>
              <w:t>23.2</w:t>
            </w:r>
          </w:p>
        </w:tc>
        <w:tc>
          <w:tcPr>
            <w:tcW w:w="68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Consent of Brightman Almagor &amp; Co.</w:t>
            </w:r>
          </w:p>
        </w:tc>
        <w:tc>
          <w:tcPr>
            <w:tcW w:w="3980" w:type="dxa"/>
            <w:vAlign w:val="bottom"/>
          </w:tcPr>
          <w:p>
            <w:pPr>
              <w:spacing w:after="0"/>
              <w:rPr>
                <w:sz w:val="24"/>
                <w:szCs w:val="24"/>
                <w:color w:val="auto"/>
              </w:rPr>
            </w:pP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5"/>
              </w:rPr>
              <w:t>24.1</w:t>
            </w:r>
          </w:p>
        </w:tc>
        <w:tc>
          <w:tcPr>
            <w:tcW w:w="68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Power of Attorney (set forth on signature page)</w:t>
            </w:r>
          </w:p>
        </w:tc>
        <w:tc>
          <w:tcPr>
            <w:tcW w:w="3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80" w:right="3420" w:hanging="5672"/>
        <w:spacing w:after="0" w:line="800" w:lineRule="auto"/>
        <w:tabs>
          <w:tab w:leader="none" w:pos="5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our Report on Form 6-K dated March 2007 No. 1 (filed on March 15, 2007).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1699895</wp:posOffset>
            </wp:positionV>
            <wp:extent cx="72675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YIGAL ARNON &amp; CO.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ADVOCATES AND NOTARY</w:t>
      </w:r>
    </w:p>
    <w:p>
      <w:pPr>
        <w:spacing w:after="0" w:line="213"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Tel Aviv</w:t>
      </w:r>
      <w:r>
        <w:rPr>
          <w:sz w:val="20"/>
          <w:szCs w:val="20"/>
          <w:color w:val="auto"/>
        </w:rPr>
        <w:tab/>
      </w:r>
      <w:r>
        <w:rPr>
          <w:rFonts w:ascii="Arial" w:cs="Arial" w:eastAsia="Arial" w:hAnsi="Arial"/>
          <w:sz w:val="15"/>
          <w:szCs w:val="15"/>
          <w:color w:val="auto"/>
        </w:rPr>
        <w:t>March 29, 2007</w:t>
      </w: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Direct Dial:</w:t>
      </w:r>
      <w:r>
        <w:rPr>
          <w:sz w:val="20"/>
          <w:szCs w:val="20"/>
          <w:color w:val="auto"/>
        </w:rPr>
        <w:tab/>
      </w:r>
      <w:r>
        <w:rPr>
          <w:rFonts w:ascii="Arial" w:cs="Arial" w:eastAsia="Arial" w:hAnsi="Arial"/>
          <w:sz w:val="16"/>
          <w:szCs w:val="16"/>
          <w:color w:val="auto"/>
        </w:rPr>
        <w:t>972-608-7856</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Direct Fax:</w:t>
      </w:r>
      <w:r>
        <w:rPr>
          <w:sz w:val="20"/>
          <w:szCs w:val="20"/>
          <w:color w:val="auto"/>
        </w:rPr>
        <w:tab/>
      </w:r>
      <w:r>
        <w:rPr>
          <w:rFonts w:ascii="Arial" w:cs="Arial" w:eastAsia="Arial" w:hAnsi="Arial"/>
          <w:sz w:val="16"/>
          <w:szCs w:val="16"/>
          <w:color w:val="auto"/>
        </w:rPr>
        <w:t>972-608-7714</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davids@arnon.co.il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 and Madam:</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have acted as Israeli counsel to Tower Semiconductor Ltd. (the "Company"), a corporation organized under the laws of the State of Israel. As such, we have participated in the preparation of the Company's registration statement on Form F-3 (the "Registration Statement") relating to the registration under the United States Securities Act of 1933, as amended, of the offering for resale by certain selling stockholders of (i) up to 18,805,197 ordinary shares of the Company, par value of 1.00 NIS each (the "Shares"), and (ii) up to 28,207,796 ordinary shares issuable upon exercise of warrants (the "Warrants") by the selling stockholders (the "Warrant Shares").</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As counsel to the Company in Israel, we have examined such corporate records, documents, agreements and such matters of law as we have considered necessary or appropriate for the purpose of rendering this opinion. Upon the basis of such examination, we advise you that in our opinion:</w:t>
      </w:r>
    </w:p>
    <w:p>
      <w:pPr>
        <w:spacing w:after="0" w:line="139"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Shares, when issued, were duly authorized and validly issued, fully paid and nonassessable.</w:t>
      </w:r>
    </w:p>
    <w:p>
      <w:pPr>
        <w:spacing w:after="0" w:line="252" w:lineRule="exact"/>
        <w:rPr>
          <w:rFonts w:ascii="Arial" w:cs="Arial" w:eastAsia="Arial" w:hAnsi="Arial"/>
          <w:sz w:val="18"/>
          <w:szCs w:val="18"/>
          <w:color w:val="auto"/>
        </w:rPr>
      </w:pPr>
    </w:p>
    <w:p>
      <w:pPr>
        <w:ind w:left="1160" w:right="500" w:hanging="571"/>
        <w:spacing w:after="0" w:line="268"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Warrant Shares, when paid for and issued in accordance with the terms and conditions of the Warrants, will be duly authorized, validly issued, fully paid and nonassessable.</w:t>
      </w:r>
    </w:p>
    <w:p>
      <w:pPr>
        <w:spacing w:after="0" w:line="200" w:lineRule="exact"/>
        <w:rPr>
          <w:sz w:val="20"/>
          <w:szCs w:val="20"/>
          <w:color w:val="auto"/>
        </w:rPr>
      </w:pPr>
    </w:p>
    <w:p>
      <w:pPr>
        <w:spacing w:after="0" w:line="229"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are members of the Israel Bar, and the opinions expressed herein are limited to questions arising under the laws of the State of Israel, and we disclaim any opinion whatsoever with respect to matters governed by the laws of any other jurisdiction.</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consent to the reference to this firm under the caption "Legal Matters" in the Registration Statement, and we consent to the filing of this opinion as an exhibit to the Registration Statement.</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/s/Yigal Arnon &amp; Co.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4275455</wp:posOffset>
            </wp:positionV>
            <wp:extent cx="72675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We consent to the incorporation by reference in this Registration Statement on Form F-3, of (i) our report dated February 1, 2006, relating to the financial statements of Tower Semiconductor Ltd. appearing in the Annual Report on Form 20-F of Tower Semiconductor Ltd. for the year ended December 31, 2005, and</w:t>
      </w:r>
    </w:p>
    <w:p>
      <w:pPr>
        <w:ind w:right="240" w:firstLine="8"/>
        <w:spacing w:after="0" w:line="255" w:lineRule="auto"/>
        <w:tabs>
          <w:tab w:leader="none" w:pos="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report dated February 7, 2007, relating to the financial statements of Tower Semiconductor Ltd. for the year ended December 31, 2006 appearing in the Report on Form 6-K of Tower Semiconductor Ltd. filed on February 8, 2007. We also consent to the reference to us under the heading “Experts” in this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Brightman Almagor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2"/>
    </w:lvl>
  </w:abstractNum>
  <w:abstractNum w:abstractNumId="2">
    <w:nsid w:val="6763845E"/>
    <w:multiLevelType w:val="hybridMultilevel"/>
    <w:lvl w:ilvl="0">
      <w:lvlJc w:val="left"/>
      <w:lvlText w:val="\emdash "/>
      <w:numFmt w:val="bullet"/>
      <w:start w:val="1"/>
    </w:lvl>
  </w:abstractNum>
  <w:abstractNum w:abstractNumId="3">
    <w:nsid w:val="75A2A8D4"/>
    <w:multiLevelType w:val="hybridMultilevel"/>
    <w:lvl w:ilvl="0">
      <w:lvlJc w:val="left"/>
      <w:lvlText w:val="\emdash "/>
      <w:numFmt w:val="bullet"/>
      <w:start w:val="1"/>
    </w:lvl>
  </w:abstractNum>
  <w:abstractNum w:abstractNumId="4">
    <w:nsid w:val="8EDBDAB"/>
    <w:multiLevelType w:val="hybridMultilevel"/>
    <w:lvl w:ilvl="0">
      <w:lvlJc w:val="left"/>
      <w:lvlText w:val="\emdash "/>
      <w:numFmt w:val="bullet"/>
      <w:start w:val="1"/>
    </w:lvl>
  </w:abstractNum>
  <w:abstractNum w:abstractNumId="5">
    <w:nsid w:val="79838CB2"/>
    <w:multiLevelType w:val="hybridMultilevel"/>
    <w:lvl w:ilvl="0">
      <w:lvlJc w:val="left"/>
      <w:lvlText w:val="\emdash "/>
      <w:numFmt w:val="bullet"/>
      <w:start w:val="1"/>
    </w:lvl>
  </w:abstractNum>
  <w:abstractNum w:abstractNumId="6">
    <w:nsid w:val="4353D0CD"/>
    <w:multiLevelType w:val="hybridMultilevel"/>
    <w:lvl w:ilvl="0">
      <w:lvlJc w:val="left"/>
      <w:lvlText w:val="\emdash "/>
      <w:numFmt w:val="bullet"/>
      <w:start w:val="1"/>
    </w:lvl>
  </w:abstractNum>
  <w:abstractNum w:abstractNumId="7">
    <w:nsid w:val="B03E0C6"/>
    <w:multiLevelType w:val="hybridMultilevel"/>
    <w:lvl w:ilvl="0">
      <w:lvlJc w:val="left"/>
      <w:lvlText w:val="\emdash "/>
      <w:numFmt w:val="bullet"/>
      <w:start w:val="1"/>
    </w:lvl>
  </w:abstractNum>
  <w:abstractNum w:abstractNumId="8">
    <w:nsid w:val="189A769B"/>
    <w:multiLevelType w:val="hybridMultilevel"/>
    <w:lvl w:ilvl="0">
      <w:lvlJc w:val="left"/>
      <w:lvlText w:val="\emdash "/>
      <w:numFmt w:val="bullet"/>
      <w:start w:val="1"/>
    </w:lvl>
  </w:abstractNum>
  <w:abstractNum w:abstractNumId="9">
    <w:nsid w:val="54E49EB4"/>
    <w:multiLevelType w:val="hybridMultilevel"/>
    <w:lvl w:ilvl="0">
      <w:lvlJc w:val="left"/>
      <w:lvlText w:val="\emdash "/>
      <w:numFmt w:val="bullet"/>
      <w:start w:val="1"/>
    </w:lvl>
  </w:abstractNum>
  <w:abstractNum w:abstractNumId="10">
    <w:nsid w:val="71F32454"/>
    <w:multiLevelType w:val="hybridMultilevel"/>
    <w:lvl w:ilvl="0">
      <w:lvlJc w:val="left"/>
      <w:lvlText w:val="\emdash "/>
      <w:numFmt w:val="bullet"/>
      <w:start w:val="1"/>
    </w:lvl>
  </w:abstractNum>
  <w:abstractNum w:abstractNumId="11">
    <w:nsid w:val="2CA88611"/>
    <w:multiLevelType w:val="hybridMultilevel"/>
    <w:lvl w:ilvl="0">
      <w:lvlJc w:val="left"/>
      <w:lvlText w:val="(%1)"/>
      <w:numFmt w:val="lowerRoman"/>
      <w:start w:val="1"/>
    </w:lvl>
  </w:abstractNum>
  <w:abstractNum w:abstractNumId="12">
    <w:nsid w:val="836C40E"/>
    <w:multiLevelType w:val="hybridMultilevel"/>
    <w:lvl w:ilvl="0">
      <w:lvlJc w:val="left"/>
      <w:lvlText w:val="(%1)"/>
      <w:numFmt w:val="lowerRoman"/>
      <w:start w:val="6"/>
    </w:lvl>
  </w:abstractNum>
  <w:abstractNum w:abstractNumId="13">
    <w:nsid w:val="2901D82"/>
    <w:multiLevelType w:val="hybridMultilevel"/>
    <w:lvl w:ilvl="0">
      <w:lvlJc w:val="left"/>
      <w:lvlText w:val="(%1)"/>
      <w:numFmt w:val="lowerRoman"/>
      <w:start w:val="9"/>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lvl w:ilvl="1">
      <w:lvlJc w:val="left"/>
      <w:lvlText w:val="%2"/>
      <w:numFmt w:val="decimal"/>
      <w:start w:val="1"/>
    </w:lvl>
  </w:abstractNum>
  <w:abstractNum w:abstractNumId="16">
    <w:nsid w:val="1E7FF521"/>
    <w:multiLevelType w:val="hybridMultilevel"/>
    <w:lvl w:ilvl="0">
      <w:lvlJc w:val="left"/>
      <w:lvlText w:val="2"/>
      <w:numFmt w:val="bullet"/>
      <w:start w:val="1"/>
    </w:lvl>
  </w:abstractNum>
  <w:abstractNum w:abstractNumId="17">
    <w:nsid w:val="7C3DBD3D"/>
    <w:multiLevelType w:val="hybridMultilevel"/>
    <w:lvl w:ilvl="0">
      <w:lvlJc w:val="left"/>
      <w:lvlText w:val="3"/>
      <w:numFmt w:val="bullet"/>
      <w:start w:val="1"/>
    </w:lvl>
  </w:abstractNum>
  <w:abstractNum w:abstractNumId="18">
    <w:nsid w:val="737B8DDC"/>
    <w:multiLevelType w:val="hybridMultilevel"/>
    <w:lvl w:ilvl="0">
      <w:lvlJc w:val="left"/>
      <w:lvlText w:val="4"/>
      <w:numFmt w:val="bullet"/>
      <w:start w:val="1"/>
    </w:lvl>
  </w:abstractNum>
  <w:abstractNum w:abstractNumId="19">
    <w:nsid w:val="6CEAF087"/>
    <w:multiLevelType w:val="hybridMultilevel"/>
    <w:lvl w:ilvl="0">
      <w:lvlJc w:val="left"/>
      <w:lvlText w:val="5"/>
      <w:numFmt w:val="bullet"/>
      <w:start w:val="1"/>
    </w:lvl>
  </w:abstractNum>
  <w:abstractNum w:abstractNumId="20">
    <w:nsid w:val="22221A70"/>
    <w:multiLevelType w:val="hybridMultilevel"/>
    <w:lvl w:ilvl="0">
      <w:lvlJc w:val="left"/>
      <w:lvlText w:val="6"/>
      <w:numFmt w:val="bullet"/>
      <w:start w:val="1"/>
    </w:lvl>
  </w:abstractNum>
  <w:abstractNum w:abstractNumId="21">
    <w:nsid w:val="4516DDE9"/>
    <w:multiLevelType w:val="hybridMultilevel"/>
    <w:lvl w:ilvl="0">
      <w:lvlJc w:val="left"/>
      <w:lvlText w:val="7"/>
      <w:numFmt w:val="bullet"/>
      <w:start w:val="1"/>
    </w:lvl>
  </w:abstractNum>
  <w:abstractNum w:abstractNumId="22">
    <w:nsid w:val="3006C83E"/>
    <w:multiLevelType w:val="hybridMultilevel"/>
    <w:lvl w:ilvl="0">
      <w:lvlJc w:val="left"/>
      <w:lvlText w:val="8"/>
      <w:numFmt w:val="bullet"/>
      <w:start w:val="1"/>
    </w:lvl>
  </w:abstractNum>
  <w:abstractNum w:abstractNumId="23">
    <w:nsid w:val="614FD4A1"/>
    <w:multiLevelType w:val="hybridMultilevel"/>
    <w:lvl w:ilvl="0">
      <w:lvlJc w:val="left"/>
      <w:lvlText w:val="9"/>
      <w:numFmt w:val="bullet"/>
      <w:start w:val="1"/>
    </w:lvl>
  </w:abstractNum>
  <w:abstractNum w:abstractNumId="24">
    <w:nsid w:val="419AC241"/>
    <w:multiLevelType w:val="hybridMultilevel"/>
    <w:lvl w:ilvl="0">
      <w:lvlJc w:val="left"/>
      <w:lvlText w:val="%1"/>
      <w:numFmt w:val="decimal"/>
      <w:start w:val="10"/>
    </w:lvl>
  </w:abstractNum>
  <w:abstractNum w:abstractNumId="25">
    <w:nsid w:val="5577F8E1"/>
    <w:multiLevelType w:val="hybridMultilevel"/>
    <w:lvl w:ilvl="0">
      <w:lvlJc w:val="left"/>
      <w:lvlText w:val="%1"/>
      <w:numFmt w:val="decimal"/>
      <w:start w:val="16"/>
    </w:lvl>
  </w:abstractNum>
  <w:abstractNum w:abstractNumId="26">
    <w:nsid w:val="440BADFC"/>
    <w:multiLevelType w:val="hybridMultilevel"/>
    <w:lvl w:ilvl="0">
      <w:lvlJc w:val="left"/>
      <w:lvlText w:val="\emdash "/>
      <w:numFmt w:val="bullet"/>
      <w:start w:val="1"/>
    </w:lvl>
  </w:abstractNum>
  <w:abstractNum w:abstractNumId="27">
    <w:nsid w:val="5072367"/>
    <w:multiLevelType w:val="hybridMultilevel"/>
    <w:lvl w:ilvl="0">
      <w:lvlJc w:val="left"/>
      <w:lvlText w:val="\emdash "/>
      <w:numFmt w:val="bullet"/>
      <w:start w:val="1"/>
    </w:lvl>
  </w:abstractNum>
  <w:abstractNum w:abstractNumId="28">
    <w:nsid w:val="3804823E"/>
    <w:multiLevelType w:val="hybridMultilevel"/>
    <w:lvl w:ilvl="0">
      <w:lvlJc w:val="left"/>
      <w:lvlText w:val="\emdash "/>
      <w:numFmt w:val="bullet"/>
      <w:start w:val="1"/>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š"/>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1"/>
    </w:lvl>
    <w:lvl w:ilvl="1">
      <w:lvlJc w:val="left"/>
      <w:lvlText w:val="(%2)"/>
      <w:numFmt w:val="lowerRoman"/>
      <w:start w:val="1"/>
    </w:lvl>
  </w:abstractNum>
  <w:abstractNum w:abstractNumId="35">
    <w:nsid w:val="2D517796"/>
    <w:multiLevelType w:val="hybridMultilevel"/>
    <w:lvl w:ilvl="0">
      <w:lvlJc w:val="left"/>
      <w:lvlText w:val="(%1)"/>
      <w:numFmt w:val="decimal"/>
      <w:start w:val="2"/>
    </w:lvl>
  </w:abstractNum>
  <w:abstractNum w:abstractNumId="36">
    <w:nsid w:val="580BD78F"/>
    <w:multiLevelType w:val="hybridMultilevel"/>
    <w:lvl w:ilvl="0">
      <w:lvlJc w:val="left"/>
      <w:lvlText w:val="%1."/>
      <w:numFmt w:val="lowerRoman"/>
      <w:start w:val="1"/>
    </w:lvl>
    <w:lvl w:ilvl="1">
      <w:lvlJc w:val="left"/>
      <w:lvlText w:val="%2."/>
      <w:numFmt w:val="upperLetter"/>
      <w:start w:val="1"/>
    </w:lvl>
  </w:abstractNum>
  <w:abstractNum w:abstractNumId="37">
    <w:nsid w:val="153EA438"/>
    <w:multiLevelType w:val="hybridMultilevel"/>
    <w:lvl w:ilvl="0">
      <w:lvlJc w:val="left"/>
      <w:lvlText w:val="(%1)"/>
      <w:numFmt w:val="decimal"/>
      <w:start w:val="6"/>
    </w:lvl>
  </w:abstractNum>
  <w:abstractNum w:abstractNumId="38">
    <w:nsid w:val="3855585C"/>
    <w:multiLevelType w:val="hybridMultilevel"/>
    <w:lvl w:ilvl="0">
      <w:lvlJc w:val="left"/>
      <w:lvlText w:val="%1"/>
      <w:numFmt w:val="lowerLetter"/>
      <w:start w:val="1"/>
    </w:lvl>
    <w:lvl w:ilvl="1">
      <w:lvlJc w:val="left"/>
      <w:lvlText w:val="%2."/>
      <w:numFmt w:val="lowerRoman"/>
      <w:start w:val="1"/>
    </w:lvl>
  </w:abstractNum>
  <w:abstractNum w:abstractNumId="39">
    <w:nsid w:val="70A64E2A"/>
    <w:multiLevelType w:val="hybridMultilevel"/>
    <w:lvl w:ilvl="0">
      <w:lvlJc w:val="left"/>
      <w:lvlText w:val="(%1)"/>
      <w:numFmt w:val="lowerLetter"/>
      <w:start w:val="2"/>
    </w:lvl>
    <w:lvl w:ilvl="1">
      <w:lvlJc w:val="left"/>
      <w:lvlText w:val="%2"/>
      <w:numFmt w:val="lowerRoman"/>
      <w:start w:val="1"/>
    </w:lvl>
  </w:abstractNum>
  <w:abstractNum w:abstractNumId="40">
    <w:nsid w:val="6A2342EC"/>
    <w:multiLevelType w:val="hybridMultilevel"/>
    <w:lvl w:ilvl="0">
      <w:lvlJc w:val="left"/>
      <w:lvlText w:val="(%1)"/>
      <w:numFmt w:val="lowerLetter"/>
      <w:start w:val="3"/>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2019-12-14T03:28:02Z</dcterms:created>
  <dcterms:modified xsi:type="dcterms:W3CDTF">2019-12-14T03:28:02Z</dcterms:modified>
</cp:coreProperties>
</file>